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both"/>
        <w:rPr>
          <w:rFonts w:hint="eastAsia" w:ascii="仿宋_GB2312" w:eastAsia="仿宋_GB2312"/>
          <w:sz w:val="32"/>
          <w:szCs w:val="32"/>
        </w:rPr>
      </w:pPr>
    </w:p>
    <w:p>
      <w:pPr>
        <w:pStyle w:val="2"/>
        <w:rPr>
          <w:rFonts w:hint="eastAsia"/>
        </w:rPr>
      </w:pPr>
    </w:p>
    <w:p>
      <w:pPr>
        <w:spacing w:line="600" w:lineRule="exact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冠政办发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〔202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号</w:t>
      </w:r>
    </w:p>
    <w:p>
      <w:pPr>
        <w:spacing w:line="600" w:lineRule="exact"/>
        <w:jc w:val="center"/>
        <w:rPr>
          <w:rFonts w:hint="eastAsia" w:ascii="方正大标宋简体" w:hAnsi="方正大标宋简体" w:eastAsia="方正大标宋简体" w:cs="方正大标宋简体"/>
          <w:sz w:val="44"/>
          <w:szCs w:val="44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冠县人民政府办公室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关于印发《2022年冠县林业高质量发展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实施意见》的通知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sz w:val="32"/>
          <w:szCs w:val="32"/>
        </w:rPr>
      </w:pPr>
      <w:r>
        <w:rPr>
          <w:rFonts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各乡镇人民政府、街道办事处，县经济开发区管委会，县直各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有关部门（单位）：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现将《2022年冠县林业高质量发展实施意见》印发给你们，请认真贯彻落实。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                 </w:t>
      </w:r>
      <w:r>
        <w:rPr>
          <w:rFonts w:hint="eastAsia" w:ascii="仿宋_GB2312" w:hAnsi="宋体" w:cs="仿宋_GB2312"/>
          <w:color w:val="000000"/>
          <w:kern w:val="0"/>
          <w:sz w:val="32"/>
          <w:szCs w:val="32"/>
          <w:lang w:val="en-US" w:eastAsia="zh-CN" w:bidi="ar"/>
        </w:rPr>
        <w:t xml:space="preserve">     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冠县人民政府办公室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                2022年</w:t>
      </w:r>
      <w:r>
        <w:rPr>
          <w:rFonts w:hint="eastAsia" w:ascii="仿宋_GB2312" w:hAnsi="宋体" w:cs="仿宋_GB2312"/>
          <w:color w:val="000000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宋体" w:cs="仿宋_GB2312"/>
          <w:color w:val="000000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日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sectPr>
          <w:footerReference r:id="rId3" w:type="default"/>
          <w:pgSz w:w="11906" w:h="16838"/>
          <w:pgMar w:top="1701" w:right="1701" w:bottom="1701" w:left="1701" w:header="851" w:footer="1417" w:gutter="0"/>
          <w:pgNumType w:fmt="numberInDash"/>
          <w:cols w:space="0" w:num="1"/>
          <w:rtlGutter w:val="0"/>
          <w:docGrid w:type="lines" w:linePitch="447" w:charSpace="0"/>
        </w:sect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（此件公开发布）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2022年冠县林业高质量发展实施意见</w:t>
      </w:r>
    </w:p>
    <w:p>
      <w:pPr>
        <w:pStyle w:val="8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为进一步提高全县造林绿化水平，实现科学绿化、生态惠民的目标要求，结合冠县实际，特制定本实施意见。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/>
          <w:bCs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Cs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一、指导思想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以习近平新时代中国特色社会主义思想为指导，贯彻落实“绿水青山就是金山银山”发展理念，统筹山水林田湖草沙系统治理，按照县委“1457”工作思路，以持续推进林长制工作为抓手，开展国土绿化行动，加强林业资源培育，深挖绿化造林潜力，强化林业资源监管，提升林业资源效益，全面落实科学绿化、科技兴林、依法治林及国家土地政策，协调推进耕地保护与生态建设，努力营造功能完善、生态优良、效益显著的林业生产体系，实现冠县林业的高质量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/>
          <w:bCs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Cs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二、任务目标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以林长制为抓手，强化森林资源管护；以绿化水平提升为基础，着力构筑绿色屏障；以生态建设为契机，大力发展林业产业。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黑体" w:hAnsi="黑体" w:eastAsia="黑体"/>
          <w:bCs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Cs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三、工作重点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2" w:firstLineChars="200"/>
        <w:jc w:val="left"/>
        <w:textAlignment w:val="auto"/>
        <w:outlineLvl w:val="9"/>
        <w:rPr>
          <w:rFonts w:hint="default" w:ascii="楷体_GB2312" w:hAnsi="楷体_GB2312" w:eastAsia="楷体_GB2312" w:cs="楷体_GB2312"/>
          <w:b/>
          <w:bCs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（一）以林长制为抓手，强化森林资源管护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林长制工作成效已纳入国务院督查激励事项，与中央财政资金拨付挂钩。按照国家林草局要求，省市县要参照上级主管部门工作模式开展林长制工作。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2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1、压实林长责任。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按照省、市林长制办公室的要求，使林长制工作更加信息化、精准化，各乡镇（街道）在省林长制信息综合管理系统中做好乡、村级林长及护林员信息的录入，明确网格责任，逐地逐片落实管理主体，确保森林资源都有具体管护人员负责管理。乡级林长要分工明确、责任清晰；村级林长要清楚本村森林资源底数，负责组织开展村庄绿化、美化工作，做到应绿尽绿。各乡镇（街道）可建立“民间林长”志愿队伍，发动党员群众积极参与林长制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2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2、提高森林资源保护意识。一是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有效防控林业灾害。抓好美国白蛾、春尺蠖等林业有害生物防控工作，各乡镇（街道）负责组织本辖区的森林病虫害防治工作，积极督导落实林业经营主体的林业有害生物防治责任；加强野生动植物保护及疫源疫病监测，打击乱捕滥猎、非法经营野生动物行为；全面做好森林防火工作，确保无森林火灾事故发生，发现火情、林业有害生物以及破坏森林资源（包含野生动植物）的行为，乡镇（街道）应当及时处理并向林业部门报告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二是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加强林业资源监管。严格落实林木限额采伐制度，强化林地管理，严守林地红线，严禁擅自改变林地用途及违法违规占用林地，持续开展森林资源巡查工作，严厉打击破坏森林资源违法犯罪行为，切实保障森林资源生态安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2" w:firstLineChars="200"/>
        <w:jc w:val="left"/>
        <w:textAlignment w:val="auto"/>
        <w:outlineLvl w:val="9"/>
        <w:rPr>
          <w:rFonts w:hint="default" w:ascii="楷体_GB2312" w:hAnsi="楷体_GB2312" w:eastAsia="楷体_GB2312" w:cs="楷体_GB2312"/>
          <w:b/>
          <w:bCs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（二）以绿化水平提升为基础，着力构筑绿色屏障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以国土“三调”成果变更数据为依据，合理安排生态绿化空间，统筹做好造林绿化及上图工作。扎实推进沙化土地、废弃砖窑、坑塘、空闲宅基地等区域绿化，加强中幼林抚育及低产低效林改造，开展防沙治沙、湿地保护等生态修复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2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1、优化绿化结构，着力推进乡村绿化、美化。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各乡镇（街道）、村庄要因地制宜在乡村四旁等地点植树。要实施科学造林、丰富造林树种，在利用好乡土树种的前提下，引进一些具有较高经济、生态效益的树种。抓好庭院绿化、乡村休憩公园等建设，采取乔灌结合、花草点缀的形式，栽植灌木、花草等形成多层次、错落有序的绿化空间。设计推广不同风格的农村庭院绿化模式，打造独具特色的庭院绿色养生环境，着力打造有道路就有绿荫、有河渠就有绿屏、有村庄就有绿景、有空地就有绿色的良好生态景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2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2、继续做好农田林网、河渠绿化。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各乡镇（街道）要对辖区内农田林网按标准进行补植完善。道路两侧是果园或大棚的，可要栽植低矮花灌木，根据不同河流、干渠和河岸的宽度，在合适区域设计不同宽度的林带，对主要河流、沟渠、湖库两侧绿化进行完善提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2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3、做好新修和原有道路的绿化、提升工作。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新修道路的绿化要严格落实“非农化”“非粮化”政策，绿化要突出“抑尘、降噪、吸收尾气”的生态屏障功能，择优选择一些吸附性较强、有益于空气质量改善的树种；在原有道路绿化的基础上，对路肩进行绿化提升，种植二年生及多年生花草等地被植物，丰富绿化空间的层次感、立体感，提高观赏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2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4、开展全民义务植树活动。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各单位要按照《全民义务植树尽责形式管理办法》（试行）的要求，围绕造林绿化、抚育管护、自然保护、认种认养、捐款捐物、志愿服务等形式，开展形式多样、内容丰富的义务植树活动，提高全民义务植树参与率和尽责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2" w:firstLineChars="200"/>
        <w:jc w:val="left"/>
        <w:textAlignment w:val="auto"/>
        <w:outlineLvl w:val="9"/>
        <w:rPr>
          <w:rFonts w:hint="default" w:ascii="楷体_GB2312" w:hAnsi="楷体_GB2312" w:eastAsia="楷体_GB2312" w:cs="楷体_GB2312"/>
          <w:b/>
          <w:bCs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（三）以生态建设为契机，大力发展林业产业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2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1、积极发展林下经济。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充分利用林业资源空间优势，在不破坏林木资源的前提下，大力发展林菌、林菜、林药、林禽等林下经营模式，促进林业增效、农民增收。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2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2、做大做强育苗产业。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为了更好的发展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我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县苗木产业，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今年重点发展工程化、规模化、差异化和容器化的彩叶苗木。以点带面、稳步推进，大力发展彩叶苗木和容器苗产业。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一是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彩叶苗木方面：我县现有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金叶国槐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、金叶白蜡、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红叶椿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等彩叶苗木，通过新建以及在现有普通绿化苗木的基础上改接换头、提档升级，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发展彩叶苗木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二是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容器苗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方面：容器育苗周期短、适应性强，不受造林季节限制，造林成活率高、附加值高，在有育苗基础的乡镇（街道）筹建一处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容器苗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示范基地。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2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3、推动经济林产业提质增效。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林果业是我县一项富民产业，今年把发展优质林果作为增加农民收入的重点，以山农酥梨为主要发展方向，大力发展梨(如秋月梨)、大樱桃（如鲁樱系列）、苹果（如维纳斯黄金、鲁丽）、葡萄(如阳光玫瑰)等林果的经济林，采取伐旧建新和嫁接的方式,做好经济林的低产园改造，助力乡村振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2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4、加强</w:t>
      </w:r>
      <w:r>
        <w:rPr>
          <w:rFonts w:hint="default" w:ascii="仿宋_GB2312" w:hAnsi="仿宋_GB2312" w:eastAsia="仿宋_GB2312" w:cs="仿宋_GB2312"/>
          <w:b/>
          <w:bCs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食用林产品安全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工作。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各乡镇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（街道）要积极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配合做好省、市、县食用林产品质量安全抽检检测，督促农产品生产销售企业和农民专业合作社经济组织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落实食用林产品安全工作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促进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全县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林产品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质量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安全水平提升。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2" w:firstLineChars="200"/>
        <w:jc w:val="left"/>
        <w:textAlignment w:val="auto"/>
        <w:outlineLvl w:val="9"/>
        <w:rPr>
          <w:rFonts w:hint="default"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5、引导林农开展林业保险工作。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为有效分散转移林业自然灾害风险，提高林业抗风险能力，按照“政府引导、市场运作、自主自愿、协同推进”原则，引导农民群众积极参保，提升抗险意识，消除后顾之忧。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Cs/>
          <w:sz w:val="32"/>
          <w:szCs w:val="28"/>
        </w:rPr>
      </w:pPr>
      <w:r>
        <w:rPr>
          <w:rFonts w:hint="eastAsia" w:ascii="黑体" w:hAnsi="黑体" w:eastAsia="黑体" w:cs="黑体"/>
          <w:bCs/>
          <w:sz w:val="32"/>
          <w:szCs w:val="28"/>
          <w:lang w:val="en-US" w:eastAsia="zh-CN"/>
        </w:rPr>
        <w:t>四</w:t>
      </w:r>
      <w:r>
        <w:rPr>
          <w:rFonts w:hint="eastAsia" w:ascii="黑体" w:hAnsi="黑体" w:eastAsia="黑体" w:cs="黑体"/>
          <w:bCs/>
          <w:sz w:val="32"/>
          <w:szCs w:val="28"/>
          <w:lang w:eastAsia="zh-CN"/>
        </w:rPr>
        <w:t>、</w:t>
      </w:r>
      <w:r>
        <w:rPr>
          <w:rFonts w:hint="eastAsia" w:ascii="黑体" w:hAnsi="黑体" w:eastAsia="黑体" w:cs="黑体"/>
          <w:bCs/>
          <w:sz w:val="32"/>
          <w:szCs w:val="28"/>
        </w:rPr>
        <w:t>保障措施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2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（一）加强组织领导，确保落实到位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各乡镇（街道）要成立机构，乡镇（街道）党（工）委书记是第一责任人，乡镇（街道）乡镇长（主任）具体负责林业生产的组织、协调、督促检查，明确责任、落实举措，切实把林业工作摆上重要议事日程，真正纳入到经济社会发展的全局之中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2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（二）加大宣传力度，营造良好舆论氛围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充分利用村村响、电视台及网络新媒体等多种传播方式，加大对林业建设的宣传力度，开展形式多样的林长制工作宣传活动，提高全民生态环境保护意识，努力营造全社会重视林业、发展林业的良好舆论氛围。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2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（三）加强林木管护，巩固造林绿化成果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牢固树立“建管并重”思想，一手抓造林绿化，一手抓成果管护，要强化幼林抚育，加大古树名木保护力度，严厉打击乱砍滥伐、乱捕滥猎、非法占用林地、湿地等各种破坏生态资源的违法行为。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2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（四）强化监督检查，提高工作效能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28"/>
          <w:lang w:val="en-US" w:eastAsia="zh-CN"/>
          <w14:textFill>
            <w14:solidFill>
              <w14:schemeClr w14:val="tx1"/>
            </w14:solidFill>
          </w14:textFill>
        </w:rPr>
        <w:t>成立造林绿化督导组，强化督导检查，全方位督导林业工作，重点是在造林绿化期间，对发现的问题要及时纠正，发现的典型做法及时宣传。林业部门组织技术人员深入生产一线，开展技术指导服务，把提高造林成活率和保存率贯穿林业生产全过程，确保造林绿化工作有序推进和落实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5"/>
        <w:rPr>
          <w:rFonts w:hint="eastAsia" w:ascii="仿宋_GB2312" w:eastAsia="仿宋_GB2312"/>
          <w:bCs/>
          <w:sz w:val="32"/>
          <w:szCs w:val="32"/>
        </w:rPr>
      </w:pPr>
    </w:p>
    <w:p>
      <w:pPr>
        <w:pStyle w:val="5"/>
        <w:rPr>
          <w:rFonts w:hint="eastAsia" w:ascii="仿宋_GB2312" w:eastAsia="仿宋_GB2312"/>
          <w:bCs/>
          <w:sz w:val="32"/>
          <w:szCs w:val="32"/>
        </w:rPr>
      </w:pPr>
    </w:p>
    <w:p>
      <w:pPr>
        <w:pStyle w:val="5"/>
        <w:rPr>
          <w:rFonts w:hint="eastAsia" w:ascii="仿宋_GB2312" w:eastAsia="仿宋_GB2312"/>
          <w:bCs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0"/>
        <w:textAlignment w:val="auto"/>
        <w:rPr>
          <w:rFonts w:hint="eastAsia" w:ascii="仿宋_GB2312" w:eastAsia="仿宋_GB2312"/>
          <w:bCs/>
          <w:sz w:val="32"/>
          <w:szCs w:val="32"/>
        </w:rPr>
      </w:pPr>
    </w:p>
    <w:p>
      <w:pPr>
        <w:pStyle w:val="5"/>
        <w:rPr>
          <w:rFonts w:hint="eastAsia" w:ascii="仿宋_GB2312" w:eastAsia="仿宋_GB2312"/>
          <w:bCs/>
          <w:sz w:val="32"/>
          <w:szCs w:val="32"/>
        </w:rPr>
      </w:pPr>
    </w:p>
    <w:p>
      <w:pPr>
        <w:pStyle w:val="5"/>
        <w:rPr>
          <w:rFonts w:hint="eastAsia" w:ascii="仿宋_GB2312" w:eastAsia="仿宋_GB2312"/>
          <w:bCs/>
          <w:sz w:val="32"/>
          <w:szCs w:val="32"/>
        </w:rPr>
      </w:pPr>
    </w:p>
    <w:p>
      <w:pPr>
        <w:pStyle w:val="5"/>
        <w:rPr>
          <w:rFonts w:hint="eastAsia" w:ascii="仿宋_GB2312" w:eastAsia="仿宋_GB2312"/>
          <w:bCs/>
          <w:sz w:val="32"/>
          <w:szCs w:val="32"/>
        </w:rPr>
      </w:pPr>
    </w:p>
    <w:p>
      <w:pPr>
        <w:pStyle w:val="5"/>
        <w:rPr>
          <w:rFonts w:hint="eastAsia" w:ascii="仿宋_GB2312" w:eastAsia="仿宋_GB2312"/>
          <w:bCs/>
          <w:sz w:val="32"/>
          <w:szCs w:val="32"/>
        </w:rPr>
      </w:pPr>
    </w:p>
    <w:p>
      <w:pPr>
        <w:pStyle w:val="5"/>
        <w:rPr>
          <w:rFonts w:hint="eastAsia" w:ascii="仿宋_GB2312" w:eastAsia="仿宋_GB2312"/>
          <w:bCs/>
          <w:sz w:val="32"/>
          <w:szCs w:val="32"/>
        </w:rPr>
      </w:pPr>
    </w:p>
    <w:p>
      <w:pPr>
        <w:pStyle w:val="5"/>
        <w:rPr>
          <w:rFonts w:hint="eastAsia" w:ascii="仿宋_GB2312" w:eastAsia="仿宋_GB2312"/>
          <w:bCs/>
          <w:sz w:val="32"/>
          <w:szCs w:val="32"/>
        </w:rPr>
      </w:pPr>
    </w:p>
    <w:p>
      <w:pPr>
        <w:pStyle w:val="5"/>
        <w:rPr>
          <w:rFonts w:hint="eastAsia" w:ascii="仿宋_GB2312" w:eastAsia="仿宋_GB2312"/>
          <w:bCs/>
          <w:sz w:val="32"/>
          <w:szCs w:val="32"/>
        </w:rPr>
      </w:pPr>
    </w:p>
    <w:p>
      <w:pPr>
        <w:pStyle w:val="5"/>
        <w:rPr>
          <w:rFonts w:hint="eastAsia" w:ascii="仿宋_GB2312" w:eastAsia="仿宋_GB2312"/>
          <w:bCs/>
          <w:sz w:val="32"/>
          <w:szCs w:val="32"/>
        </w:rPr>
      </w:pPr>
    </w:p>
    <w:p>
      <w:pPr>
        <w:pStyle w:val="5"/>
        <w:rPr>
          <w:rFonts w:hint="eastAsia" w:ascii="仿宋_GB2312" w:eastAsia="仿宋_GB2312"/>
          <w:bCs/>
          <w:sz w:val="32"/>
          <w:szCs w:val="32"/>
        </w:rPr>
      </w:pPr>
    </w:p>
    <w:p>
      <w:pPr>
        <w:pStyle w:val="5"/>
        <w:rPr>
          <w:rFonts w:hint="eastAsia" w:ascii="仿宋_GB2312" w:eastAsia="仿宋_GB2312"/>
          <w:bCs/>
          <w:sz w:val="32"/>
          <w:szCs w:val="32"/>
        </w:rPr>
      </w:pPr>
    </w:p>
    <w:p>
      <w:pPr>
        <w:pStyle w:val="5"/>
        <w:rPr>
          <w:rFonts w:hint="eastAsia" w:ascii="仿宋_GB2312" w:eastAsia="仿宋_GB2312"/>
          <w:bCs/>
          <w:sz w:val="32"/>
          <w:szCs w:val="32"/>
        </w:rPr>
      </w:pPr>
    </w:p>
    <w:p>
      <w:pPr>
        <w:pStyle w:val="5"/>
        <w:rPr>
          <w:rFonts w:hint="eastAsia" w:ascii="仿宋_GB2312" w:eastAsia="仿宋_GB2312"/>
          <w:bCs/>
          <w:sz w:val="32"/>
          <w:szCs w:val="32"/>
        </w:rPr>
      </w:pPr>
    </w:p>
    <w:p>
      <w:pPr>
        <w:pStyle w:val="5"/>
        <w:rPr>
          <w:rFonts w:hint="eastAsia" w:ascii="仿宋_GB2312" w:eastAsia="仿宋_GB2312"/>
          <w:bCs/>
          <w:sz w:val="32"/>
          <w:szCs w:val="32"/>
        </w:rPr>
      </w:pPr>
    </w:p>
    <w:p>
      <w:pPr>
        <w:pStyle w:val="5"/>
        <w:rPr>
          <w:rFonts w:hint="eastAsia" w:ascii="仿宋_GB2312" w:eastAsia="仿宋_GB2312"/>
          <w:bCs/>
          <w:sz w:val="32"/>
          <w:szCs w:val="32"/>
        </w:rPr>
      </w:pPr>
    </w:p>
    <w:p>
      <w:pPr>
        <w:pStyle w:val="5"/>
        <w:rPr>
          <w:rFonts w:hint="eastAsia" w:ascii="仿宋_GB2312" w:eastAsia="仿宋_GB2312"/>
          <w:bCs/>
          <w:sz w:val="32"/>
          <w:szCs w:val="32"/>
        </w:rPr>
      </w:pPr>
    </w:p>
    <w:p>
      <w:pPr>
        <w:pStyle w:val="5"/>
        <w:rPr>
          <w:rFonts w:hint="eastAsia" w:ascii="仿宋_GB2312" w:eastAsia="仿宋_GB2312"/>
          <w:bCs/>
          <w:sz w:val="32"/>
          <w:szCs w:val="32"/>
        </w:rPr>
      </w:pPr>
    </w:p>
    <w:p>
      <w:pPr>
        <w:pStyle w:val="5"/>
        <w:rPr>
          <w:rFonts w:hint="eastAsia" w:ascii="仿宋_GB2312" w:eastAsia="仿宋_GB2312"/>
          <w:bCs/>
          <w:sz w:val="32"/>
          <w:szCs w:val="32"/>
        </w:rPr>
      </w:pPr>
    </w:p>
    <w:p>
      <w:pPr>
        <w:pStyle w:val="5"/>
        <w:rPr>
          <w:rFonts w:hint="eastAsia" w:ascii="仿宋_GB2312" w:eastAsia="仿宋_GB2312"/>
          <w:bCs/>
          <w:sz w:val="32"/>
          <w:szCs w:val="32"/>
        </w:rPr>
      </w:pPr>
    </w:p>
    <w:p>
      <w:pPr>
        <w:pStyle w:val="5"/>
        <w:rPr>
          <w:rFonts w:hint="eastAsia" w:ascii="仿宋_GB2312" w:eastAsia="仿宋_GB2312"/>
          <w:bCs/>
          <w:sz w:val="32"/>
          <w:szCs w:val="32"/>
        </w:rPr>
      </w:pPr>
    </w:p>
    <w:p>
      <w:pPr>
        <w:pStyle w:val="5"/>
        <w:rPr>
          <w:rFonts w:hint="eastAsia" w:ascii="仿宋_GB2312" w:eastAsia="仿宋_GB2312"/>
          <w:bCs/>
          <w:sz w:val="32"/>
          <w:szCs w:val="32"/>
        </w:rPr>
      </w:pPr>
    </w:p>
    <w:p>
      <w:pPr>
        <w:pStyle w:val="5"/>
        <w:rPr>
          <w:rFonts w:hint="eastAsia" w:ascii="仿宋_GB2312" w:eastAsia="仿宋_GB2312"/>
          <w:bCs/>
          <w:sz w:val="32"/>
          <w:szCs w:val="32"/>
        </w:rPr>
      </w:pPr>
    </w:p>
    <w:p>
      <w:pPr>
        <w:pStyle w:val="5"/>
        <w:rPr>
          <w:rFonts w:hint="eastAsia" w:ascii="仿宋_GB2312" w:eastAsia="仿宋_GB2312"/>
          <w:bCs/>
          <w:sz w:val="32"/>
          <w:szCs w:val="32"/>
        </w:rPr>
      </w:pPr>
    </w:p>
    <w:p>
      <w:pPr>
        <w:pStyle w:val="5"/>
        <w:rPr>
          <w:rFonts w:hint="eastAsia" w:ascii="仿宋_GB2312" w:eastAsia="仿宋_GB2312"/>
          <w:bCs/>
          <w:sz w:val="32"/>
          <w:szCs w:val="32"/>
        </w:rPr>
      </w:pPr>
    </w:p>
    <w:p>
      <w:pPr>
        <w:pStyle w:val="5"/>
        <w:rPr>
          <w:rFonts w:hint="eastAsia" w:ascii="仿宋_GB2312" w:eastAsia="仿宋_GB2312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eastAsia="仿宋_GB2312"/>
          <w:bCs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17780</wp:posOffset>
                </wp:positionV>
                <wp:extent cx="5408295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829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5pt;margin-top:1.4pt;height:0.05pt;width:425.85pt;z-index:251660288;mso-width-relative:page;mso-height-relative:page;" filled="f" stroked="t" coordsize="21600,21600" o:gfxdata="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BYAAABkcnMvUEsBAhQAFAAA&#10;AAgAh07iQMWVbE7TAAAABQEAAA8AAAAAAAAAAQAgAAAAOAAAAGRycy9kb3ducmV2LnhtbFBLAQIU&#10;ABQAAAAIAIdO4kDGBY6u4gEAAKkDAAAOAAAAAAAAAAEAIAAAADg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冠县人民政府办公室                 2022年3月</w:t>
      </w:r>
      <w:r>
        <w:rPr>
          <w:rFonts w:hint="eastAsia" w:ascii="仿宋_GB2312"/>
          <w:bCs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日印发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47625</wp:posOffset>
                </wp:positionV>
                <wp:extent cx="5408295" cy="63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829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8pt;margin-top:3.75pt;height:0.05pt;width:425.85pt;z-index:251659264;mso-width-relative:page;mso-height-relative:page;" filled="f" stroked="t" coordsize="21600,21600" o:gfxdata="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WAAAAZHJzL1BLAQIUABQA&#10;AAAIAIdO4kAgkkBW1AAAAAYBAAAPAAAAAAAAAAEAIAAAADgAAABkcnMvZG93bnJldi54bWxQSwEC&#10;FAAUAAAACACHTuJAXDOYSOIBAACpAwAADgAAAAAAAAABACAAAAA5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（共印</w:t>
      </w:r>
      <w:r>
        <w:rPr>
          <w:rFonts w:hint="eastAsia" w:ascii="仿宋_GB2312"/>
          <w:bCs/>
          <w:sz w:val="32"/>
          <w:szCs w:val="32"/>
          <w:lang w:val="en-US" w:eastAsia="zh-CN"/>
        </w:rPr>
        <w:t>150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 xml:space="preserve">份） </w:t>
      </w:r>
    </w:p>
    <w:sectPr>
      <w:footerReference r:id="rId4" w:type="default"/>
      <w:pgSz w:w="11906" w:h="16838"/>
      <w:pgMar w:top="1701" w:right="1701" w:bottom="1701" w:left="1701" w:header="851" w:footer="1417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altName w:val="方正书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443212"/>
    <w:rsid w:val="00733E26"/>
    <w:rsid w:val="013435B5"/>
    <w:rsid w:val="02A62291"/>
    <w:rsid w:val="02BC3862"/>
    <w:rsid w:val="02CB1A74"/>
    <w:rsid w:val="05443212"/>
    <w:rsid w:val="0596483F"/>
    <w:rsid w:val="05BB42A5"/>
    <w:rsid w:val="06565D7C"/>
    <w:rsid w:val="09F93A8B"/>
    <w:rsid w:val="0A2D3298"/>
    <w:rsid w:val="0E236E8B"/>
    <w:rsid w:val="0E5C05EF"/>
    <w:rsid w:val="10EA3C90"/>
    <w:rsid w:val="1517701E"/>
    <w:rsid w:val="15E62AFE"/>
    <w:rsid w:val="16161084"/>
    <w:rsid w:val="1890511D"/>
    <w:rsid w:val="18C82B09"/>
    <w:rsid w:val="19306900"/>
    <w:rsid w:val="194B54E8"/>
    <w:rsid w:val="1CC036FA"/>
    <w:rsid w:val="1EA71413"/>
    <w:rsid w:val="1FD44489"/>
    <w:rsid w:val="21B75E11"/>
    <w:rsid w:val="222D1C2F"/>
    <w:rsid w:val="245929DF"/>
    <w:rsid w:val="24C30629"/>
    <w:rsid w:val="25DD571A"/>
    <w:rsid w:val="275071D7"/>
    <w:rsid w:val="29B42C36"/>
    <w:rsid w:val="2AD417E1"/>
    <w:rsid w:val="2BBB64FD"/>
    <w:rsid w:val="2E8E1CA7"/>
    <w:rsid w:val="2F391C13"/>
    <w:rsid w:val="2F851058"/>
    <w:rsid w:val="300C557A"/>
    <w:rsid w:val="30E91417"/>
    <w:rsid w:val="336D27D3"/>
    <w:rsid w:val="33E67E90"/>
    <w:rsid w:val="36F72605"/>
    <w:rsid w:val="386A2F95"/>
    <w:rsid w:val="39A27EE2"/>
    <w:rsid w:val="3A222964"/>
    <w:rsid w:val="3A443B62"/>
    <w:rsid w:val="3A4A6105"/>
    <w:rsid w:val="3A4F49E1"/>
    <w:rsid w:val="3C887535"/>
    <w:rsid w:val="3C8A61A4"/>
    <w:rsid w:val="3F2D1069"/>
    <w:rsid w:val="406B3BF6"/>
    <w:rsid w:val="409B4103"/>
    <w:rsid w:val="411E510D"/>
    <w:rsid w:val="41720FB5"/>
    <w:rsid w:val="432B3B11"/>
    <w:rsid w:val="435B61A4"/>
    <w:rsid w:val="48EB39BD"/>
    <w:rsid w:val="48EE1869"/>
    <w:rsid w:val="4A370FED"/>
    <w:rsid w:val="4AC42EF0"/>
    <w:rsid w:val="4B294DDA"/>
    <w:rsid w:val="4B3317B5"/>
    <w:rsid w:val="526236A6"/>
    <w:rsid w:val="5794381B"/>
    <w:rsid w:val="58C36693"/>
    <w:rsid w:val="59771406"/>
    <w:rsid w:val="59A05F41"/>
    <w:rsid w:val="5AAB75B9"/>
    <w:rsid w:val="5CE96177"/>
    <w:rsid w:val="5DA86032"/>
    <w:rsid w:val="5E0A45F7"/>
    <w:rsid w:val="5FAB1E0A"/>
    <w:rsid w:val="5FF23595"/>
    <w:rsid w:val="5FF5A2AC"/>
    <w:rsid w:val="62255EA3"/>
    <w:rsid w:val="63FC2C34"/>
    <w:rsid w:val="654B2955"/>
    <w:rsid w:val="6716225F"/>
    <w:rsid w:val="68016A6B"/>
    <w:rsid w:val="68E0416A"/>
    <w:rsid w:val="6A6B28C1"/>
    <w:rsid w:val="6A75672B"/>
    <w:rsid w:val="6AFC5C0F"/>
    <w:rsid w:val="6C411B2C"/>
    <w:rsid w:val="6EF22094"/>
    <w:rsid w:val="70F21646"/>
    <w:rsid w:val="73AD5CF9"/>
    <w:rsid w:val="76984A3E"/>
    <w:rsid w:val="776B5CAF"/>
    <w:rsid w:val="77A967D7"/>
    <w:rsid w:val="799534B7"/>
    <w:rsid w:val="79FE3F97"/>
    <w:rsid w:val="7EA61CC2"/>
    <w:rsid w:val="EB7FC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adjustRightInd w:val="0"/>
      <w:snapToGrid w:val="0"/>
      <w:spacing w:line="300" w:lineRule="auto"/>
      <w:ind w:firstLine="640" w:firstLineChars="200"/>
    </w:pPr>
    <w:rPr>
      <w:rFonts w:ascii="Times New Roman" w:hAnsi="Times New Roman" w:eastAsia="华文仿宋"/>
      <w:sz w:val="32"/>
      <w:szCs w:val="32"/>
    </w:rPr>
  </w:style>
  <w:style w:type="paragraph" w:styleId="4">
    <w:name w:val="Normal Indent"/>
    <w:basedOn w:val="1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qFormat/>
    <w:uiPriority w:val="0"/>
    <w:pPr>
      <w:snapToGrid w:val="0"/>
      <w:spacing w:line="640" w:lineRule="exact"/>
      <w:ind w:firstLine="705"/>
    </w:pPr>
    <w:rPr>
      <w:rFonts w:ascii="仿宋_GB2312" w:eastAsia="仿宋_GB2312"/>
      <w:color w:val="000000"/>
      <w:sz w:val="36"/>
      <w:szCs w:val="36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2">
    <w:name w:val="无间隔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2022-02-28T09:05:00Z</dcterms:created>
  <dc:creator>Administrator</dc:creator>
  <cp:lastModifiedBy>嘎查</cp:lastModifiedBy>
  <cp:lastPrinted>2022-03-08T01:54:00Z</cp:lastPrinted>
  <dcterms:modified xsi:type="dcterms:W3CDTF">2023-12-06T19:17:51Z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60005ECDD69E480BB9DA9E7BD6858CB9</vt:lpwstr>
  </property>
</Properties>
</file>