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13478">
      <w:pPr>
        <w:keepNext w:val="0"/>
        <w:keepLines w:val="0"/>
        <w:kinsoku/>
        <w:wordWrap/>
        <w:overflowPunct/>
        <w:topLinePunct w:val="0"/>
        <w:bidi w:val="0"/>
        <w:snapToGrid/>
        <w:spacing w:beforeLines="0" w:afterLines="0" w:line="600" w:lineRule="exact"/>
        <w:ind w:left="0"/>
        <w:jc w:val="both"/>
        <w:textAlignment w:val="auto"/>
        <w:rPr>
          <w:rFonts w:hint="default" w:ascii="FangSong_GB2312" w:hAnsi="FangSong_GB2312" w:eastAsia="FangSong_GB2312"/>
          <w:color w:val="000000"/>
          <w:sz w:val="32"/>
          <w:szCs w:val="24"/>
        </w:rPr>
      </w:pPr>
    </w:p>
    <w:p w14:paraId="5B2E4F06">
      <w:pPr>
        <w:pStyle w:val="2"/>
        <w:rPr>
          <w:rFonts w:hint="default" w:ascii="FangSong_GB2312" w:hAnsi="FangSong_GB2312" w:eastAsia="FangSong_GB2312"/>
          <w:color w:val="000000"/>
          <w:sz w:val="32"/>
          <w:szCs w:val="24"/>
        </w:rPr>
      </w:pPr>
    </w:p>
    <w:p w14:paraId="7D587BE6">
      <w:pPr>
        <w:pStyle w:val="2"/>
        <w:rPr>
          <w:rFonts w:hint="default" w:ascii="FangSong_GB2312" w:hAnsi="FangSong_GB2312" w:eastAsia="FangSong_GB2312"/>
          <w:color w:val="000000"/>
          <w:sz w:val="32"/>
          <w:szCs w:val="24"/>
        </w:rPr>
      </w:pPr>
    </w:p>
    <w:p w14:paraId="11999731">
      <w:pPr>
        <w:pStyle w:val="2"/>
        <w:rPr>
          <w:rFonts w:hint="default" w:ascii="FangSong_GB2312" w:hAnsi="FangSong_GB2312" w:eastAsia="FangSong_GB2312"/>
          <w:color w:val="000000"/>
          <w:sz w:val="32"/>
          <w:szCs w:val="24"/>
        </w:rPr>
      </w:pPr>
    </w:p>
    <w:p w14:paraId="1F108721">
      <w:pPr>
        <w:pStyle w:val="2"/>
        <w:rPr>
          <w:rFonts w:hint="default" w:ascii="FangSong_GB2312" w:hAnsi="FangSong_GB2312" w:eastAsia="FangSong_GB2312"/>
          <w:color w:val="000000"/>
          <w:sz w:val="32"/>
          <w:szCs w:val="24"/>
        </w:rPr>
      </w:pPr>
    </w:p>
    <w:p w14:paraId="2585AAE1">
      <w:pPr>
        <w:pStyle w:val="2"/>
        <w:rPr>
          <w:rFonts w:hint="default" w:ascii="FangSong_GB2312" w:hAnsi="FangSong_GB2312" w:eastAsia="FangSong_GB2312"/>
          <w:color w:val="000000"/>
          <w:sz w:val="32"/>
          <w:szCs w:val="24"/>
        </w:rPr>
      </w:pPr>
    </w:p>
    <w:p w14:paraId="34E61CC0">
      <w:pPr>
        <w:pStyle w:val="2"/>
        <w:rPr>
          <w:rFonts w:hint="default" w:ascii="FangSong_GB2312" w:hAnsi="FangSong_GB2312" w:eastAsia="FangSong_GB2312"/>
          <w:color w:val="000000"/>
          <w:sz w:val="32"/>
          <w:szCs w:val="24"/>
        </w:rPr>
      </w:pPr>
    </w:p>
    <w:p w14:paraId="60BA3F57">
      <w:pPr>
        <w:pStyle w:val="2"/>
        <w:rPr>
          <w:rFonts w:hint="default" w:ascii="FangSong_GB2312" w:hAnsi="FangSong_GB2312" w:eastAsia="FangSong_GB2312"/>
          <w:color w:val="000000"/>
          <w:sz w:val="32"/>
          <w:szCs w:val="24"/>
        </w:rPr>
      </w:pPr>
    </w:p>
    <w:p w14:paraId="128DEBBF">
      <w:pPr>
        <w:keepNext w:val="0"/>
        <w:keepLines w:val="0"/>
        <w:kinsoku/>
        <w:wordWrap/>
        <w:overflowPunct/>
        <w:topLinePunct w:val="0"/>
        <w:bidi w:val="0"/>
        <w:snapToGrid/>
        <w:spacing w:beforeLines="0" w:afterLines="0" w:line="600" w:lineRule="exact"/>
        <w:ind w:left="0"/>
        <w:jc w:val="center"/>
        <w:textAlignment w:val="auto"/>
        <w:rPr>
          <w:rFonts w:hint="eastAsia" w:ascii="FangSong_GB2312" w:hAnsi="FangSong_GB2312" w:eastAsia="FangSong_GB2312"/>
          <w:color w:val="000000"/>
          <w:sz w:val="32"/>
          <w:szCs w:val="24"/>
        </w:rPr>
      </w:pPr>
      <w:r>
        <w:rPr>
          <w:rFonts w:hint="eastAsia" w:ascii="仿宋_GB2312" w:hAnsi="仿宋_GB2312" w:eastAsia="仿宋_GB2312" w:cs="仿宋_GB2312"/>
          <w:bCs/>
          <w:color w:val="000000"/>
          <w:sz w:val="32"/>
          <w:szCs w:val="32"/>
        </w:rPr>
        <w:t>冠自然资规发﹝</w:t>
      </w:r>
      <w:r>
        <w:rPr>
          <w:rFonts w:hint="eastAsia" w:ascii="仿宋_GB2312" w:hAnsi="仿宋_GB2312" w:eastAsia="仿宋_GB2312" w:cs="仿宋_GB2312"/>
          <w:bCs/>
          <w:color w:val="000000"/>
          <w:sz w:val="32"/>
          <w:szCs w:val="32"/>
          <w:lang w:val="en-US" w:eastAsia="zh-CN"/>
        </w:rPr>
        <w:t>2024</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12号</w:t>
      </w:r>
    </w:p>
    <w:p w14:paraId="064ED6A9">
      <w:pPr>
        <w:keepNext w:val="0"/>
        <w:keepLines w:val="0"/>
        <w:kinsoku/>
        <w:wordWrap/>
        <w:overflowPunct/>
        <w:topLinePunct w:val="0"/>
        <w:bidi w:val="0"/>
        <w:snapToGrid/>
        <w:spacing w:beforeLines="0" w:afterLines="0" w:line="600" w:lineRule="exact"/>
        <w:ind w:left="0"/>
        <w:jc w:val="center"/>
        <w:textAlignment w:val="auto"/>
        <w:rPr>
          <w:rFonts w:hint="default" w:ascii="FangSong_GB2312" w:hAnsi="FangSong_GB2312" w:eastAsia="FangSong_GB2312"/>
          <w:color w:val="000000"/>
          <w:sz w:val="32"/>
          <w:szCs w:val="24"/>
        </w:rPr>
      </w:pPr>
    </w:p>
    <w:p w14:paraId="76ED036E">
      <w:pPr>
        <w:pStyle w:val="2"/>
        <w:rPr>
          <w:rFonts w:hint="default" w:ascii="FangSong_GB2312" w:hAnsi="FangSong_GB2312" w:eastAsia="FangSong_GB2312"/>
          <w:color w:val="000000"/>
          <w:sz w:val="32"/>
          <w:szCs w:val="24"/>
        </w:rPr>
      </w:pPr>
    </w:p>
    <w:p w14:paraId="52255EF1">
      <w:pPr>
        <w:pStyle w:val="2"/>
        <w:rPr>
          <w:rFonts w:hint="default" w:ascii="FangSong_GB2312" w:hAnsi="FangSong_GB2312" w:eastAsia="FangSong_GB2312"/>
          <w:color w:val="000000"/>
          <w:sz w:val="32"/>
          <w:szCs w:val="24"/>
        </w:rPr>
      </w:pPr>
    </w:p>
    <w:p w14:paraId="27B79579">
      <w:pPr>
        <w:pStyle w:val="2"/>
        <w:rPr>
          <w:rFonts w:hint="default"/>
        </w:rPr>
      </w:pPr>
    </w:p>
    <w:p w14:paraId="77BAB881">
      <w:pPr>
        <w:keepNext w:val="0"/>
        <w:keepLines w:val="0"/>
        <w:kinsoku/>
        <w:wordWrap/>
        <w:overflowPunct/>
        <w:topLinePunct w:val="0"/>
        <w:bidi w:val="0"/>
        <w:snapToGrid/>
        <w:spacing w:beforeLines="0" w:afterLines="0" w:line="600" w:lineRule="exact"/>
        <w:ind w:left="0"/>
        <w:jc w:val="center"/>
        <w:textAlignment w:val="auto"/>
        <w:rPr>
          <w:rFonts w:hint="eastAsia" w:ascii="方正小标宋简体" w:hAnsi="方正小标宋简体" w:eastAsia="方正小标宋简体" w:cs="方正小标宋简体"/>
          <w:b w:val="0"/>
          <w:bCs w:val="0"/>
          <w:color w:val="000000"/>
          <w:sz w:val="44"/>
          <w:szCs w:val="24"/>
        </w:rPr>
      </w:pPr>
      <w:r>
        <w:rPr>
          <w:rFonts w:hint="eastAsia" w:ascii="方正小标宋简体" w:hAnsi="方正小标宋简体" w:eastAsia="方正小标宋简体" w:cs="方正小标宋简体"/>
          <w:b w:val="0"/>
          <w:bCs w:val="0"/>
          <w:color w:val="000000"/>
          <w:sz w:val="44"/>
          <w:szCs w:val="24"/>
        </w:rPr>
        <w:t>关于健全土地房屋产权问题防范长效机制的</w:t>
      </w:r>
    </w:p>
    <w:p w14:paraId="71F9BAE4">
      <w:pPr>
        <w:keepNext w:val="0"/>
        <w:keepLines w:val="0"/>
        <w:pageBreakBefore w:val="0"/>
        <w:widowControl w:val="0"/>
        <w:kinsoku/>
        <w:wordWrap/>
        <w:overflowPunct/>
        <w:topLinePunct w:val="0"/>
        <w:bidi w:val="0"/>
        <w:snapToGrid/>
        <w:spacing w:beforeLines="0" w:afterLines="0" w:line="600" w:lineRule="exact"/>
        <w:ind w:left="0"/>
        <w:jc w:val="center"/>
        <w:textAlignment w:val="auto"/>
        <w:rPr>
          <w:rFonts w:hint="eastAsia" w:ascii="方正小标宋简体" w:hAnsi="方正小标宋简体" w:eastAsia="方正小标宋简体" w:cs="方正小标宋简体"/>
          <w:b w:val="0"/>
          <w:bCs w:val="0"/>
          <w:color w:val="000000"/>
          <w:sz w:val="44"/>
          <w:szCs w:val="24"/>
          <w:lang w:eastAsia="zh-CN"/>
        </w:rPr>
      </w:pPr>
      <w:r>
        <w:rPr>
          <w:rFonts w:hint="eastAsia" w:ascii="方正小标宋简体" w:hAnsi="方正小标宋简体" w:eastAsia="方正小标宋简体" w:cs="方正小标宋简体"/>
          <w:b w:val="0"/>
          <w:bCs w:val="0"/>
          <w:color w:val="000000"/>
          <w:sz w:val="44"/>
          <w:szCs w:val="24"/>
        </w:rPr>
        <w:t>意</w:t>
      </w:r>
      <w:r>
        <w:rPr>
          <w:rFonts w:hint="eastAsia" w:ascii="方正小标宋简体" w:hAnsi="方正小标宋简体" w:eastAsia="方正小标宋简体" w:cs="方正小标宋简体"/>
          <w:b w:val="0"/>
          <w:bCs w:val="0"/>
          <w:color w:val="000000"/>
          <w:sz w:val="44"/>
          <w:szCs w:val="24"/>
          <w:lang w:val="en-US" w:eastAsia="zh-CN"/>
        </w:rPr>
        <w:t xml:space="preserve">   </w:t>
      </w:r>
      <w:r>
        <w:rPr>
          <w:rFonts w:hint="eastAsia" w:ascii="方正小标宋简体" w:hAnsi="方正小标宋简体" w:eastAsia="方正小标宋简体" w:cs="方正小标宋简体"/>
          <w:b w:val="0"/>
          <w:bCs w:val="0"/>
          <w:color w:val="000000"/>
          <w:sz w:val="44"/>
          <w:szCs w:val="24"/>
        </w:rPr>
        <w:t>见</w:t>
      </w:r>
    </w:p>
    <w:p w14:paraId="57B2BA04">
      <w:pPr>
        <w:keepNext w:val="0"/>
        <w:keepLines w:val="0"/>
        <w:pageBreakBefore w:val="0"/>
        <w:widowControl w:val="0"/>
        <w:kinsoku/>
        <w:wordWrap/>
        <w:overflowPunct/>
        <w:topLinePunct w:val="0"/>
        <w:bidi w:val="0"/>
        <w:snapToGrid/>
        <w:spacing w:beforeLines="0" w:afterLines="0" w:line="600" w:lineRule="exact"/>
        <w:ind w:left="0"/>
        <w:jc w:val="center"/>
        <w:textAlignment w:val="auto"/>
        <w:rPr>
          <w:rFonts w:hint="default"/>
          <w:color w:val="000000"/>
          <w:sz w:val="44"/>
          <w:szCs w:val="24"/>
        </w:rPr>
      </w:pPr>
    </w:p>
    <w:p w14:paraId="2E8A4BE3">
      <w:pPr>
        <w:keepNext w:val="0"/>
        <w:keepLines w:val="0"/>
        <w:pageBreakBefore w:val="0"/>
        <w:widowControl w:val="0"/>
        <w:kinsoku/>
        <w:wordWrap/>
        <w:overflowPunct/>
        <w:topLinePunct w:val="0"/>
        <w:autoSpaceDE/>
        <w:autoSpaceDN/>
        <w:bidi w:val="0"/>
        <w:adjustRightInd/>
        <w:snapToGrid/>
        <w:spacing w:beforeLines="0" w:afterLines="0" w:line="600" w:lineRule="exact"/>
        <w:ind w:left="0" w:firstLine="640" w:firstLineChars="200"/>
        <w:textAlignment w:val="auto"/>
        <w:rPr>
          <w:rFonts w:hint="eastAsia" w:ascii="FangSong_GB2312" w:hAnsi="FangSong_GB2312" w:eastAsia="FangSong_GB2312"/>
          <w:color w:val="000000"/>
          <w:sz w:val="32"/>
          <w:szCs w:val="24"/>
        </w:rPr>
      </w:pPr>
      <w:r>
        <w:rPr>
          <w:rFonts w:hint="eastAsia" w:ascii="FangSong_GB2312" w:hAnsi="FangSong_GB2312" w:eastAsia="FangSong_GB2312"/>
          <w:color w:val="000000"/>
          <w:sz w:val="32"/>
          <w:szCs w:val="24"/>
        </w:rPr>
        <w:t>为强化国有土地上新建城镇住宅全生命周期监管，从源头防止产生新的</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办证难</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问题，</w:t>
      </w:r>
      <w:r>
        <w:rPr>
          <w:rFonts w:hint="eastAsia" w:ascii="FangSong_GB2312" w:hAnsi="FangSong_GB2312" w:eastAsia="FangSong_GB2312"/>
          <w:color w:val="000000"/>
          <w:sz w:val="32"/>
          <w:szCs w:val="24"/>
          <w:lang w:val="en-US" w:eastAsia="zh-CN"/>
        </w:rPr>
        <w:t>根据</w:t>
      </w:r>
      <w:r>
        <w:rPr>
          <w:rFonts w:hint="eastAsia" w:ascii="FangSong_GB2312" w:hAnsi="FangSong_GB2312" w:eastAsia="FangSong_GB2312"/>
          <w:color w:val="000000"/>
          <w:sz w:val="32"/>
          <w:szCs w:val="24"/>
        </w:rPr>
        <w:t>山东省自然资源厅</w:t>
      </w:r>
      <w:r>
        <w:rPr>
          <w:rFonts w:hint="eastAsia" w:ascii="FangSong_GB2312" w:hAnsi="FangSong_GB2312" w:eastAsia="FangSong_GB2312"/>
          <w:color w:val="000000"/>
          <w:sz w:val="32"/>
          <w:szCs w:val="24"/>
          <w:lang w:eastAsia="zh-CN"/>
        </w:rPr>
        <w:t>、</w:t>
      </w:r>
      <w:r>
        <w:rPr>
          <w:rFonts w:hint="eastAsia" w:ascii="FangSong_GB2312" w:hAnsi="FangSong_GB2312" w:eastAsia="FangSong_GB2312"/>
          <w:color w:val="000000"/>
          <w:sz w:val="32"/>
          <w:szCs w:val="24"/>
        </w:rPr>
        <w:t>山东省发展和改革委员会</w:t>
      </w:r>
      <w:r>
        <w:rPr>
          <w:rFonts w:hint="eastAsia" w:ascii="FangSong_GB2312" w:hAnsi="FangSong_GB2312" w:eastAsia="FangSong_GB2312"/>
          <w:color w:val="000000"/>
          <w:sz w:val="32"/>
          <w:szCs w:val="24"/>
          <w:lang w:eastAsia="zh-CN"/>
        </w:rPr>
        <w:t>等</w:t>
      </w:r>
      <w:r>
        <w:rPr>
          <w:rFonts w:hint="eastAsia" w:ascii="FangSong_GB2312" w:hAnsi="FangSong_GB2312" w:eastAsia="FangSong_GB2312"/>
          <w:color w:val="000000"/>
          <w:sz w:val="32"/>
          <w:szCs w:val="24"/>
          <w:lang w:val="en-US" w:eastAsia="zh-CN"/>
        </w:rPr>
        <w:t>12部门《</w:t>
      </w:r>
      <w:r>
        <w:rPr>
          <w:rFonts w:hint="default" w:ascii="FangSong_GB2312" w:hAnsi="FangSong_GB2312" w:eastAsia="FangSong_GB2312"/>
          <w:color w:val="000000"/>
          <w:sz w:val="32"/>
          <w:szCs w:val="24"/>
        </w:rPr>
        <w:t>关于健全土地房屋产权问题防范长效机制的意见</w:t>
      </w:r>
      <w:r>
        <w:rPr>
          <w:rFonts w:hint="eastAsia" w:ascii="FangSong_GB2312" w:hAnsi="FangSong_GB2312" w:eastAsia="FangSong_GB2312"/>
          <w:color w:val="000000"/>
          <w:sz w:val="32"/>
          <w:szCs w:val="24"/>
          <w:lang w:val="en-US" w:eastAsia="zh-CN"/>
        </w:rPr>
        <w:t>》（</w:t>
      </w:r>
      <w:r>
        <w:rPr>
          <w:rFonts w:hint="eastAsia" w:ascii="FangSong_GB2312" w:hAnsi="FangSong_GB2312" w:eastAsia="FangSong_GB2312"/>
          <w:color w:val="000000"/>
          <w:sz w:val="32"/>
          <w:szCs w:val="24"/>
        </w:rPr>
        <w:t>鲁自然资规〔2024〕5号</w:t>
      </w:r>
      <w:r>
        <w:rPr>
          <w:rFonts w:hint="eastAsia" w:ascii="FangSong_GB2312" w:hAnsi="FangSong_GB2312" w:eastAsia="FangSong_GB2312"/>
          <w:color w:val="000000"/>
          <w:sz w:val="32"/>
          <w:szCs w:val="24"/>
          <w:lang w:val="en-US" w:eastAsia="zh-CN"/>
        </w:rPr>
        <w:t>）文件精神</w:t>
      </w:r>
      <w:r>
        <w:rPr>
          <w:rFonts w:hint="eastAsia" w:ascii="FangSong_GB2312" w:hAnsi="FangSong_GB2312" w:eastAsia="FangSong_GB2312"/>
          <w:color w:val="000000"/>
          <w:sz w:val="32"/>
          <w:szCs w:val="24"/>
        </w:rPr>
        <w:t>，就健全土地房屋产权问题防范长效机制提出以下</w:t>
      </w:r>
      <w:r>
        <w:rPr>
          <w:rFonts w:hint="eastAsia" w:ascii="FangSong_GB2312" w:hAnsi="FangSong_GB2312" w:eastAsia="FangSong_GB2312"/>
          <w:color w:val="000000"/>
          <w:sz w:val="32"/>
          <w:szCs w:val="24"/>
          <w:lang w:eastAsia="zh-CN"/>
        </w:rPr>
        <w:t>落实</w:t>
      </w:r>
      <w:r>
        <w:rPr>
          <w:rFonts w:hint="eastAsia" w:ascii="FangSong_GB2312" w:hAnsi="FangSong_GB2312" w:eastAsia="FangSong_GB2312"/>
          <w:color w:val="000000"/>
          <w:sz w:val="32"/>
          <w:szCs w:val="24"/>
        </w:rPr>
        <w:t>意见。</w:t>
      </w:r>
    </w:p>
    <w:p w14:paraId="5997A69E">
      <w:pPr>
        <w:pStyle w:val="10"/>
        <w:keepNext w:val="0"/>
        <w:keepLines w:val="0"/>
        <w:pageBreakBefore w:val="0"/>
        <w:widowControl w:val="0"/>
        <w:kinsoku/>
        <w:wordWrap/>
        <w:overflowPunct/>
        <w:topLinePunct w:val="0"/>
        <w:bidi w:val="0"/>
        <w:snapToGrid/>
        <w:spacing w:beforeLines="0" w:afterLines="0" w:line="600" w:lineRule="exact"/>
        <w:ind w:left="0" w:firstLine="632"/>
        <w:jc w:val="both"/>
        <w:textAlignment w:val="auto"/>
        <w:rPr>
          <w:rFonts w:hint="eastAsia" w:ascii="黑体" w:hAnsi="黑体" w:eastAsia="黑体"/>
          <w:color w:val="000000"/>
          <w:sz w:val="32"/>
          <w:szCs w:val="24"/>
        </w:rPr>
      </w:pPr>
      <w:r>
        <w:rPr>
          <w:rFonts w:hint="eastAsia" w:ascii="黑体" w:hAnsi="黑体" w:eastAsia="黑体"/>
          <w:color w:val="000000"/>
          <w:sz w:val="32"/>
          <w:szCs w:val="24"/>
        </w:rPr>
        <w:t>一、完善建设项目全链条约束机制</w:t>
      </w:r>
    </w:p>
    <w:p w14:paraId="2ECA5049">
      <w:pPr>
        <w:pStyle w:val="10"/>
        <w:keepNext w:val="0"/>
        <w:keepLines w:val="0"/>
        <w:pageBreakBefore w:val="0"/>
        <w:widowControl w:val="0"/>
        <w:kinsoku/>
        <w:wordWrap/>
        <w:overflowPunct/>
        <w:topLinePunct w:val="0"/>
        <w:bidi w:val="0"/>
        <w:snapToGrid/>
        <w:spacing w:beforeLines="0" w:afterLines="0"/>
        <w:ind w:firstLine="632"/>
        <w:jc w:val="both"/>
        <w:textAlignment w:val="auto"/>
        <w:rPr>
          <w:rFonts w:hint="eastAsia" w:ascii="KaiTi_GB2312" w:hAnsi="KaiTi_GB2312" w:eastAsia="KaiTi_GB2312"/>
          <w:color w:val="000000"/>
          <w:sz w:val="32"/>
          <w:szCs w:val="24"/>
        </w:rPr>
      </w:pPr>
      <w:r>
        <w:rPr>
          <w:rFonts w:hint="eastAsia" w:ascii="KaiTi_GB2312" w:hAnsi="KaiTi_GB2312" w:eastAsia="KaiTi_GB2312"/>
          <w:color w:val="000000"/>
          <w:sz w:val="32"/>
          <w:szCs w:val="24"/>
        </w:rPr>
        <w:t>（一）关于规划条件。</w:t>
      </w:r>
      <w:r>
        <w:rPr>
          <w:rFonts w:hint="eastAsia" w:ascii="FangSong_GB2312" w:hAnsi="FangSong_GB2312" w:eastAsia="FangSong_GB2312"/>
          <w:color w:val="000000"/>
          <w:sz w:val="32"/>
          <w:szCs w:val="24"/>
        </w:rPr>
        <w:t>严格依据详细规划和有关技术标准、规范核定规划条件，作为出让公告、有偿使用合同的组成部分。未依法确定规划条件的地块，不得出让建设用地使用权。</w:t>
      </w:r>
      <w:r>
        <w:rPr>
          <w:rFonts w:hint="eastAsia" w:ascii="KaiTi_GB2312" w:hAnsi="KaiTi_GB2312" w:eastAsia="KaiTi_GB2312"/>
          <w:color w:val="000000"/>
          <w:sz w:val="32"/>
          <w:szCs w:val="24"/>
        </w:rPr>
        <w:t>（牵头部门：</w:t>
      </w:r>
      <w:r>
        <w:rPr>
          <w:rFonts w:hint="eastAsia" w:ascii="KaiTi_GB2312" w:hAnsi="KaiTi_GB2312" w:eastAsia="KaiTi_GB2312"/>
          <w:color w:val="000000"/>
          <w:sz w:val="32"/>
          <w:szCs w:val="24"/>
          <w:lang w:eastAsia="zh-CN"/>
        </w:rPr>
        <w:t>县自然资源和规划局</w:t>
      </w:r>
      <w:r>
        <w:rPr>
          <w:rFonts w:hint="eastAsia" w:ascii="KaiTi_GB2312" w:hAnsi="KaiTi_GB2312" w:eastAsia="KaiTi_GB2312"/>
          <w:color w:val="000000"/>
          <w:sz w:val="32"/>
          <w:szCs w:val="24"/>
        </w:rPr>
        <w:t>）</w:t>
      </w:r>
    </w:p>
    <w:p w14:paraId="0E404183">
      <w:pPr>
        <w:pStyle w:val="10"/>
        <w:keepNext w:val="0"/>
        <w:keepLines w:val="0"/>
        <w:pageBreakBefore w:val="0"/>
        <w:widowControl w:val="0"/>
        <w:kinsoku/>
        <w:wordWrap/>
        <w:overflowPunct/>
        <w:topLinePunct w:val="0"/>
        <w:bidi w:val="0"/>
        <w:snapToGrid/>
        <w:spacing w:beforeLines="0" w:afterLines="0"/>
        <w:ind w:firstLine="632"/>
        <w:jc w:val="both"/>
        <w:textAlignment w:val="auto"/>
        <w:rPr>
          <w:rFonts w:hint="eastAsia" w:ascii="KaiTi_GB2312" w:hAnsi="KaiTi_GB2312" w:eastAsia="KaiTi_GB2312"/>
          <w:color w:val="000000"/>
          <w:sz w:val="32"/>
          <w:szCs w:val="24"/>
        </w:rPr>
      </w:pPr>
      <w:r>
        <w:rPr>
          <w:rFonts w:hint="eastAsia" w:ascii="KaiTi_GB2312" w:hAnsi="KaiTi_GB2312" w:eastAsia="KaiTi_GB2312"/>
          <w:color w:val="000000"/>
          <w:sz w:val="32"/>
          <w:szCs w:val="24"/>
        </w:rPr>
        <w:t>（二）关于土地供应。</w:t>
      </w:r>
      <w:r>
        <w:rPr>
          <w:rFonts w:hint="eastAsia" w:ascii="FangSong_GB2312" w:hAnsi="FangSong_GB2312" w:eastAsia="FangSong_GB2312"/>
          <w:color w:val="000000"/>
          <w:sz w:val="32"/>
          <w:szCs w:val="24"/>
        </w:rPr>
        <w:t>严格实施土地招拍挂制度，住宅、商业等不同用途土地混合出让的，应依据国土空间详细规划确定主导土地用途、空间布局及比例，依法依规合理确定土地使用年限，按不同用途分项评估后确定出让底价。土地出让后不得擅自改变容积率等规划条件。自然资源部门在土地供应前完成地籍调查工作，预编不动产单元号，不动产单元号关联建设项目全生命周期各环节。</w:t>
      </w:r>
      <w:r>
        <w:rPr>
          <w:rFonts w:hint="eastAsia" w:ascii="KaiTi_GB2312" w:hAnsi="KaiTi_GB2312" w:eastAsia="KaiTi_GB2312"/>
          <w:color w:val="000000"/>
          <w:sz w:val="32"/>
          <w:szCs w:val="24"/>
        </w:rPr>
        <w:t>（牵头部门：</w:t>
      </w:r>
      <w:r>
        <w:rPr>
          <w:rFonts w:hint="eastAsia" w:ascii="KaiTi_GB2312" w:hAnsi="KaiTi_GB2312" w:eastAsia="KaiTi_GB2312"/>
          <w:color w:val="000000"/>
          <w:sz w:val="32"/>
          <w:szCs w:val="24"/>
          <w:lang w:eastAsia="zh-CN"/>
        </w:rPr>
        <w:t>县自然资源和规划局</w:t>
      </w:r>
      <w:r>
        <w:rPr>
          <w:rFonts w:hint="eastAsia" w:ascii="KaiTi_GB2312" w:hAnsi="KaiTi_GB2312" w:eastAsia="KaiTi_GB2312"/>
          <w:color w:val="000000"/>
          <w:sz w:val="32"/>
          <w:szCs w:val="24"/>
        </w:rPr>
        <w:t>）</w:t>
      </w:r>
    </w:p>
    <w:p w14:paraId="33CE5905">
      <w:pPr>
        <w:pStyle w:val="10"/>
        <w:keepNext w:val="0"/>
        <w:keepLines w:val="0"/>
        <w:pageBreakBefore w:val="0"/>
        <w:widowControl w:val="0"/>
        <w:kinsoku/>
        <w:wordWrap/>
        <w:overflowPunct/>
        <w:topLinePunct w:val="0"/>
        <w:bidi w:val="0"/>
        <w:snapToGrid/>
        <w:spacing w:beforeLines="0" w:afterLines="0"/>
        <w:ind w:firstLine="632"/>
        <w:jc w:val="both"/>
        <w:textAlignment w:val="auto"/>
        <w:rPr>
          <w:rFonts w:hint="eastAsia" w:ascii="KaiTi_GB2312" w:hAnsi="KaiTi_GB2312" w:eastAsia="KaiTi_GB2312"/>
          <w:color w:val="000000"/>
          <w:sz w:val="32"/>
          <w:szCs w:val="24"/>
        </w:rPr>
      </w:pPr>
      <w:r>
        <w:rPr>
          <w:rFonts w:hint="eastAsia" w:ascii="KaiTi_GB2312" w:hAnsi="KaiTi_GB2312" w:eastAsia="KaiTi_GB2312"/>
          <w:color w:val="000000"/>
          <w:sz w:val="32"/>
          <w:szCs w:val="24"/>
        </w:rPr>
        <w:t>（三）关于土地登记。</w:t>
      </w:r>
      <w:r>
        <w:rPr>
          <w:rFonts w:hint="eastAsia" w:ascii="FangSong_GB2312" w:hAnsi="FangSong_GB2312" w:eastAsia="FangSong_GB2312"/>
          <w:color w:val="000000"/>
          <w:sz w:val="32"/>
          <w:szCs w:val="24"/>
        </w:rPr>
        <w:t>建设单位签订国有建设用地使用权出让合同并依法缴清土地出让金后，可凭出让合同、缴清土地出让金凭证、契税完税凭证、不动产地籍调查成果等，在土地交付时，申请国有建设用地使用权首次登记，实现</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交地即办证</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w:t>
      </w:r>
      <w:r>
        <w:rPr>
          <w:rFonts w:hint="eastAsia" w:ascii="KaiTi_GB2312" w:hAnsi="KaiTi_GB2312" w:eastAsia="KaiTi_GB2312"/>
          <w:color w:val="000000"/>
          <w:sz w:val="32"/>
          <w:szCs w:val="24"/>
        </w:rPr>
        <w:t>（牵头部门：</w:t>
      </w:r>
      <w:r>
        <w:rPr>
          <w:rFonts w:hint="eastAsia" w:ascii="KaiTi_GB2312" w:hAnsi="KaiTi_GB2312" w:eastAsia="KaiTi_GB2312"/>
          <w:color w:val="000000"/>
          <w:sz w:val="32"/>
          <w:szCs w:val="24"/>
          <w:lang w:eastAsia="zh-CN"/>
        </w:rPr>
        <w:t>县自然资源和规划局</w:t>
      </w:r>
      <w:r>
        <w:rPr>
          <w:rFonts w:hint="eastAsia" w:ascii="KaiTi_GB2312" w:hAnsi="KaiTi_GB2312" w:eastAsia="KaiTi_GB2312"/>
          <w:color w:val="000000"/>
          <w:sz w:val="32"/>
          <w:szCs w:val="24"/>
        </w:rPr>
        <w:t>）</w:t>
      </w:r>
    </w:p>
    <w:p w14:paraId="1995F3F9">
      <w:pPr>
        <w:pStyle w:val="11"/>
        <w:keepNext w:val="0"/>
        <w:keepLines w:val="0"/>
        <w:pageBreakBefore w:val="0"/>
        <w:widowControl w:val="0"/>
        <w:kinsoku/>
        <w:wordWrap/>
        <w:overflowPunct/>
        <w:topLinePunct w:val="0"/>
        <w:bidi w:val="0"/>
        <w:snapToGrid/>
        <w:spacing w:beforeLines="0" w:afterLines="0"/>
        <w:ind w:firstLine="632"/>
        <w:textAlignment w:val="auto"/>
        <w:rPr>
          <w:rFonts w:hint="eastAsia" w:ascii="KaiTi_GB2312" w:hAnsi="KaiTi_GB2312" w:eastAsia="KaiTi_GB2312"/>
          <w:color w:val="000000"/>
          <w:sz w:val="32"/>
          <w:szCs w:val="24"/>
        </w:rPr>
      </w:pPr>
      <w:r>
        <w:rPr>
          <w:rFonts w:hint="eastAsia" w:ascii="KaiTi_GB2312" w:hAnsi="KaiTi_GB2312" w:eastAsia="KaiTi_GB2312"/>
          <w:color w:val="000000"/>
          <w:sz w:val="32"/>
          <w:szCs w:val="24"/>
        </w:rPr>
        <w:t>（四）关于规划许可。</w:t>
      </w:r>
      <w:r>
        <w:rPr>
          <w:rFonts w:hint="eastAsia" w:ascii="FangSong_GB2312" w:hAnsi="FangSong_GB2312" w:eastAsia="FangSong_GB2312"/>
          <w:color w:val="000000"/>
          <w:sz w:val="32"/>
          <w:szCs w:val="24"/>
        </w:rPr>
        <w:t>依据详细规划和规划条件核发建设用地规划许可证、建设工程规划许可证，建设用地规划许可证、国有建设用地使用权出让合同明确的宗地土地用途、容积率等应当符合经依法核定的规划条件。未依法依规取得规划许可，不得实施新建、改建、扩建工程，不得擅自改变土地用途。</w:t>
      </w:r>
      <w:r>
        <w:rPr>
          <w:rFonts w:hint="eastAsia" w:ascii="KaiTi_GB2312" w:hAnsi="KaiTi_GB2312" w:eastAsia="KaiTi_GB2312"/>
          <w:color w:val="000000"/>
          <w:sz w:val="32"/>
          <w:szCs w:val="24"/>
        </w:rPr>
        <w:t>（牵头部门：</w:t>
      </w:r>
      <w:r>
        <w:rPr>
          <w:rFonts w:hint="eastAsia" w:ascii="KaiTi_GB2312" w:hAnsi="KaiTi_GB2312" w:eastAsia="KaiTi_GB2312"/>
          <w:color w:val="000000"/>
          <w:sz w:val="32"/>
          <w:szCs w:val="24"/>
          <w:lang w:eastAsia="zh-CN"/>
        </w:rPr>
        <w:t>县自然资源和规划局</w:t>
      </w:r>
      <w:r>
        <w:rPr>
          <w:rFonts w:hint="eastAsia" w:ascii="KaiTi_GB2312" w:hAnsi="KaiTi_GB2312" w:eastAsia="KaiTi_GB2312"/>
          <w:color w:val="000000"/>
          <w:sz w:val="32"/>
          <w:szCs w:val="24"/>
        </w:rPr>
        <w:t>）</w:t>
      </w:r>
    </w:p>
    <w:p w14:paraId="7D421B44">
      <w:pPr>
        <w:pStyle w:val="11"/>
        <w:keepNext w:val="0"/>
        <w:keepLines w:val="0"/>
        <w:pageBreakBefore w:val="0"/>
        <w:widowControl w:val="0"/>
        <w:kinsoku/>
        <w:wordWrap/>
        <w:overflowPunct/>
        <w:topLinePunct w:val="0"/>
        <w:bidi w:val="0"/>
        <w:snapToGrid/>
        <w:spacing w:beforeLines="0" w:afterLines="0"/>
        <w:ind w:firstLine="632"/>
        <w:textAlignment w:val="auto"/>
        <w:rPr>
          <w:rFonts w:hint="eastAsia" w:ascii="KaiTi_GB2312" w:hAnsi="KaiTi_GB2312" w:eastAsia="KaiTi_GB2312"/>
          <w:color w:val="000000"/>
          <w:sz w:val="32"/>
          <w:szCs w:val="24"/>
        </w:rPr>
      </w:pPr>
      <w:r>
        <w:rPr>
          <w:rFonts w:hint="eastAsia" w:ascii="KaiTi_GB2312" w:hAnsi="KaiTi_GB2312" w:eastAsia="KaiTi_GB2312"/>
          <w:color w:val="000000"/>
          <w:sz w:val="32"/>
          <w:szCs w:val="24"/>
        </w:rPr>
        <w:t>（五）关于工程施工。</w:t>
      </w:r>
      <w:r>
        <w:rPr>
          <w:rFonts w:hint="eastAsia" w:ascii="FangSong_GB2312" w:hAnsi="FangSong_GB2312" w:eastAsia="FangSong_GB2312"/>
          <w:color w:val="000000"/>
          <w:sz w:val="32"/>
          <w:szCs w:val="24"/>
        </w:rPr>
        <w:t>建设工程施工应依法取得施工许可证，领取施工许可证之日起三个月内不开工且不申请延期或者超过延期次数、时限的，施工许可证自行废止。建设单位应严格按照经批准的用地范围、规划条件和建设条件意见进行开发建设，住宅小区水电气暖工程的配建应与住宅工程实现统一规划、设计、施工、验收、维保并移交。施工单位严格按审查合格的施工图纸进行施工。</w:t>
      </w:r>
      <w:r>
        <w:rPr>
          <w:rFonts w:hint="eastAsia" w:ascii="KaiTi_GB2312" w:hAnsi="KaiTi_GB2312" w:eastAsia="KaiTi_GB2312"/>
          <w:color w:val="000000"/>
          <w:sz w:val="32"/>
          <w:szCs w:val="24"/>
        </w:rPr>
        <w:t>（牵头部门：</w:t>
      </w:r>
      <w:r>
        <w:rPr>
          <w:rFonts w:hint="eastAsia" w:ascii="KaiTi_GB2312" w:hAnsi="KaiTi_GB2312" w:eastAsia="KaiTi_GB2312"/>
          <w:color w:val="000000"/>
          <w:sz w:val="32"/>
          <w:szCs w:val="24"/>
          <w:lang w:eastAsia="zh-CN"/>
        </w:rPr>
        <w:t>县住房和城乡建设局</w:t>
      </w:r>
      <w:r>
        <w:rPr>
          <w:rFonts w:hint="eastAsia" w:ascii="KaiTi_GB2312" w:hAnsi="KaiTi_GB2312" w:eastAsia="KaiTi_GB2312"/>
          <w:color w:val="000000"/>
          <w:sz w:val="32"/>
          <w:szCs w:val="24"/>
        </w:rPr>
        <w:t>）</w:t>
      </w:r>
    </w:p>
    <w:p w14:paraId="1DFEE670">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jc w:val="left"/>
        <w:textAlignment w:val="auto"/>
        <w:rPr>
          <w:rFonts w:hint="eastAsia" w:ascii="KaiTi_GB2312" w:hAnsi="KaiTi_GB2312" w:eastAsia="KaiTi_GB2312"/>
          <w:color w:val="000000"/>
          <w:sz w:val="32"/>
          <w:szCs w:val="24"/>
        </w:rPr>
      </w:pPr>
      <w:r>
        <w:rPr>
          <w:rFonts w:hint="eastAsia" w:ascii="KaiTi_GB2312" w:hAnsi="KaiTi_GB2312" w:eastAsia="KaiTi_GB2312"/>
          <w:color w:val="000000"/>
          <w:sz w:val="32"/>
          <w:szCs w:val="24"/>
        </w:rPr>
        <w:t>（六）关于房屋预售。</w:t>
      </w:r>
      <w:r>
        <w:rPr>
          <w:rFonts w:hint="eastAsia" w:ascii="FangSong_GB2312" w:hAnsi="FangSong_GB2312" w:eastAsia="FangSong_GB2312"/>
          <w:color w:val="000000"/>
          <w:sz w:val="32"/>
          <w:szCs w:val="24"/>
        </w:rPr>
        <w:t>严禁未经预售许可进行房屋销售。《新建商品房买卖合同（预售）》文本增加</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交房即办证</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 xml:space="preserve">、 </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 xml:space="preserve">是否办理新建商品房预告登记 </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相关约定。商品房预售资金应当全部直接存入监管账户，实行房屋预售和资金监管闭环管理。</w:t>
      </w:r>
      <w:r>
        <w:rPr>
          <w:rFonts w:hint="eastAsia" w:ascii="KaiTi_GB2312" w:hAnsi="KaiTi_GB2312" w:eastAsia="KaiTi_GB2312"/>
          <w:color w:val="000000"/>
          <w:sz w:val="32"/>
          <w:szCs w:val="24"/>
        </w:rPr>
        <w:t>（牵头部门：</w:t>
      </w:r>
      <w:r>
        <w:rPr>
          <w:rFonts w:hint="eastAsia" w:ascii="KaiTi_GB2312" w:hAnsi="KaiTi_GB2312" w:eastAsia="KaiTi_GB2312"/>
          <w:color w:val="000000"/>
          <w:sz w:val="32"/>
          <w:szCs w:val="24"/>
          <w:lang w:eastAsia="zh-CN"/>
        </w:rPr>
        <w:t>县住房和城乡建设局、国家金融监督管理总局冠县监管支局、县自然资源和规划局</w:t>
      </w:r>
      <w:r>
        <w:rPr>
          <w:rFonts w:hint="eastAsia" w:ascii="KaiTi_GB2312" w:hAnsi="KaiTi_GB2312" w:eastAsia="KaiTi_GB2312"/>
          <w:color w:val="000000"/>
          <w:sz w:val="32"/>
          <w:szCs w:val="24"/>
        </w:rPr>
        <w:t>）</w:t>
      </w:r>
    </w:p>
    <w:p w14:paraId="5C0CCC09">
      <w:pPr>
        <w:pStyle w:val="11"/>
        <w:spacing w:beforeLines="0" w:afterLines="0"/>
        <w:ind w:firstLine="632"/>
        <w:rPr>
          <w:rFonts w:hint="eastAsia" w:ascii="KaiTi_GB2312" w:hAnsi="KaiTi_GB2312" w:eastAsia="KaiTi_GB2312"/>
          <w:color w:val="000000"/>
          <w:sz w:val="32"/>
          <w:szCs w:val="24"/>
          <w:lang w:eastAsia="zh-CN"/>
        </w:rPr>
      </w:pPr>
      <w:r>
        <w:rPr>
          <w:rFonts w:hint="eastAsia" w:ascii="KaiTi_GB2312" w:hAnsi="KaiTi_GB2312" w:eastAsia="KaiTi_GB2312"/>
          <w:color w:val="000000"/>
          <w:sz w:val="32"/>
          <w:szCs w:val="24"/>
        </w:rPr>
        <w:t>（七）关于预告登记。</w:t>
      </w:r>
      <w:r>
        <w:rPr>
          <w:rFonts w:hint="eastAsia" w:ascii="FangSong_GB2312" w:hAnsi="FangSong_GB2312" w:eastAsia="FangSong_GB2312"/>
          <w:color w:val="000000"/>
          <w:sz w:val="32"/>
          <w:szCs w:val="24"/>
        </w:rPr>
        <w:t>预购商品房的，购房人可凭已备案的商品房预售合同等材料，向属地不动产登记机构申请预告登记。以预购商品房设定抵押权的，购房人可凭预购商品房预告登记材料、不动产抵押合同和主债权合同等材料，申请预购商品房抵押登记。住房城乡建设部门和自然资源主管部门实行新建商品房买卖合同网签备案、预告登记信息共享。</w:t>
      </w:r>
      <w:r>
        <w:rPr>
          <w:rFonts w:hint="eastAsia" w:ascii="KaiTi_GB2312" w:hAnsi="KaiTi_GB2312" w:eastAsia="KaiTi_GB2312"/>
          <w:color w:val="000000"/>
          <w:sz w:val="32"/>
          <w:szCs w:val="24"/>
        </w:rPr>
        <w:t>（牵头部门：</w:t>
      </w:r>
      <w:r>
        <w:rPr>
          <w:rFonts w:hint="eastAsia" w:ascii="KaiTi_GB2312" w:hAnsi="KaiTi_GB2312" w:eastAsia="KaiTi_GB2312"/>
          <w:color w:val="000000"/>
          <w:sz w:val="32"/>
          <w:szCs w:val="24"/>
          <w:lang w:eastAsia="zh-CN"/>
        </w:rPr>
        <w:t>县自然资源和规划局</w:t>
      </w:r>
      <w:r>
        <w:rPr>
          <w:rFonts w:hint="eastAsia" w:ascii="KaiTi_GB2312" w:hAnsi="KaiTi_GB2312" w:eastAsia="KaiTi_GB2312"/>
          <w:color w:val="000000"/>
          <w:sz w:val="32"/>
          <w:szCs w:val="24"/>
        </w:rPr>
        <w:t>、</w:t>
      </w:r>
      <w:r>
        <w:rPr>
          <w:rFonts w:hint="eastAsia" w:ascii="KaiTi_GB2312" w:hAnsi="KaiTi_GB2312" w:eastAsia="KaiTi_GB2312"/>
          <w:color w:val="000000"/>
          <w:sz w:val="32"/>
          <w:szCs w:val="24"/>
          <w:lang w:eastAsia="zh-CN"/>
        </w:rPr>
        <w:t>县住房和城乡建设局、国家金融监督管理总局冠县监管支局）</w:t>
      </w:r>
    </w:p>
    <w:p w14:paraId="49078B0A">
      <w:pPr>
        <w:pStyle w:val="11"/>
        <w:spacing w:beforeLines="0" w:afterLines="0"/>
        <w:ind w:firstLine="632"/>
        <w:rPr>
          <w:rFonts w:hint="eastAsia" w:ascii="KaiTi_GB2312" w:hAnsi="KaiTi_GB2312" w:eastAsia="KaiTi_GB2312"/>
          <w:color w:val="000000"/>
          <w:sz w:val="32"/>
          <w:szCs w:val="24"/>
        </w:rPr>
      </w:pPr>
      <w:r>
        <w:rPr>
          <w:rFonts w:hint="eastAsia" w:ascii="KaiTi_GB2312" w:hAnsi="KaiTi_GB2312" w:eastAsia="KaiTi_GB2312"/>
          <w:color w:val="000000"/>
          <w:sz w:val="32"/>
          <w:szCs w:val="24"/>
        </w:rPr>
        <w:t>（八）关于竣工验收。</w:t>
      </w:r>
      <w:r>
        <w:rPr>
          <w:rFonts w:hint="eastAsia" w:ascii="FangSong_GB2312" w:hAnsi="FangSong_GB2312" w:eastAsia="FangSong_GB2312"/>
          <w:color w:val="000000"/>
          <w:sz w:val="32"/>
          <w:szCs w:val="24"/>
        </w:rPr>
        <w:t>落实建设单位质量首要责任和竣工验收主体责任，严格对照设计文件、国家标准组织开展单位工程质量竣工验收。积极推行建设工程竣工联合验收，落实验收事项、流程、时限、材料等方面的要求，实行规划、土地、消防、人防、档案等事项限时联合验收，统一出具验收意见。规划核实、土地核验、竣工验收和房屋测绘相关成果与不动产登记信息实现互通共享。</w:t>
      </w:r>
      <w:r>
        <w:rPr>
          <w:rFonts w:hint="eastAsia" w:ascii="KaiTi_GB2312" w:hAnsi="KaiTi_GB2312" w:eastAsia="KaiTi_GB2312"/>
          <w:color w:val="000000"/>
          <w:sz w:val="32"/>
          <w:szCs w:val="24"/>
        </w:rPr>
        <w:t>（牵头部门：</w:t>
      </w:r>
      <w:r>
        <w:rPr>
          <w:rFonts w:hint="eastAsia" w:ascii="KaiTi_GB2312" w:hAnsi="KaiTi_GB2312" w:eastAsia="KaiTi_GB2312"/>
          <w:color w:val="000000"/>
          <w:sz w:val="32"/>
          <w:szCs w:val="24"/>
          <w:lang w:eastAsia="zh-CN"/>
        </w:rPr>
        <w:t>县住房和城乡建设局</w:t>
      </w:r>
      <w:r>
        <w:rPr>
          <w:rFonts w:hint="eastAsia" w:ascii="KaiTi_GB2312" w:hAnsi="KaiTi_GB2312" w:eastAsia="KaiTi_GB2312"/>
          <w:color w:val="000000"/>
          <w:sz w:val="32"/>
          <w:szCs w:val="24"/>
        </w:rPr>
        <w:t>、</w:t>
      </w:r>
      <w:r>
        <w:rPr>
          <w:rFonts w:hint="eastAsia" w:ascii="KaiTi_GB2312" w:hAnsi="KaiTi_GB2312" w:eastAsia="KaiTi_GB2312"/>
          <w:color w:val="000000"/>
          <w:sz w:val="32"/>
          <w:szCs w:val="24"/>
          <w:lang w:eastAsia="zh-CN"/>
        </w:rPr>
        <w:t>县自然资源和规划局</w:t>
      </w:r>
      <w:r>
        <w:rPr>
          <w:rFonts w:hint="eastAsia" w:ascii="KaiTi_GB2312" w:hAnsi="KaiTi_GB2312" w:eastAsia="KaiTi_GB2312"/>
          <w:color w:val="000000"/>
          <w:sz w:val="32"/>
          <w:szCs w:val="24"/>
        </w:rPr>
        <w:t>、</w:t>
      </w:r>
      <w:r>
        <w:rPr>
          <w:rFonts w:hint="eastAsia" w:ascii="KaiTi_GB2312" w:hAnsi="KaiTi_GB2312" w:eastAsia="KaiTi_GB2312"/>
          <w:color w:val="000000"/>
          <w:sz w:val="32"/>
          <w:szCs w:val="24"/>
          <w:lang w:eastAsia="zh-CN"/>
        </w:rPr>
        <w:t>县发改局）</w:t>
      </w:r>
    </w:p>
    <w:p w14:paraId="09951423">
      <w:pPr>
        <w:pStyle w:val="11"/>
        <w:spacing w:beforeLines="0" w:afterLines="0"/>
        <w:ind w:firstLine="632"/>
        <w:rPr>
          <w:rFonts w:hint="eastAsia" w:ascii="KaiTi_GB2312" w:hAnsi="KaiTi_GB2312" w:eastAsia="KaiTi_GB2312"/>
          <w:color w:val="000000"/>
          <w:sz w:val="32"/>
          <w:szCs w:val="24"/>
        </w:rPr>
      </w:pPr>
      <w:r>
        <w:rPr>
          <w:rFonts w:hint="eastAsia" w:ascii="KaiTi_GB2312" w:hAnsi="KaiTi_GB2312" w:eastAsia="KaiTi_GB2312"/>
          <w:color w:val="000000"/>
          <w:sz w:val="32"/>
          <w:szCs w:val="24"/>
        </w:rPr>
        <w:t>（九）关于建设项目办理</w:t>
      </w:r>
      <w:r>
        <w:rPr>
          <w:rFonts w:hint="default" w:ascii="KaiTi_GB2312" w:hAnsi="KaiTi_GB2312" w:eastAsia="KaiTi_GB2312"/>
          <w:color w:val="000000"/>
          <w:sz w:val="32"/>
          <w:szCs w:val="24"/>
        </w:rPr>
        <w:t>“</w:t>
      </w:r>
      <w:r>
        <w:rPr>
          <w:rFonts w:hint="eastAsia" w:ascii="KaiTi_GB2312" w:hAnsi="KaiTi_GB2312" w:eastAsia="KaiTi_GB2312"/>
          <w:color w:val="000000"/>
          <w:sz w:val="32"/>
          <w:szCs w:val="24"/>
        </w:rPr>
        <w:t>大证</w:t>
      </w:r>
      <w:r>
        <w:rPr>
          <w:rFonts w:hint="default" w:ascii="KaiTi_GB2312" w:hAnsi="KaiTi_GB2312" w:eastAsia="KaiTi_GB2312"/>
          <w:color w:val="000000"/>
          <w:sz w:val="32"/>
          <w:szCs w:val="24"/>
        </w:rPr>
        <w:t>”</w:t>
      </w:r>
      <w:r>
        <w:rPr>
          <w:rFonts w:hint="eastAsia" w:ascii="KaiTi_GB2312" w:hAnsi="KaiTi_GB2312" w:eastAsia="KaiTi_GB2312"/>
          <w:color w:val="000000"/>
          <w:sz w:val="32"/>
          <w:szCs w:val="24"/>
        </w:rPr>
        <w:t>。</w:t>
      </w:r>
      <w:r>
        <w:rPr>
          <w:rFonts w:hint="eastAsia" w:ascii="FangSong_GB2312" w:hAnsi="FangSong_GB2312" w:eastAsia="FangSong_GB2312"/>
          <w:color w:val="000000"/>
          <w:sz w:val="32"/>
          <w:szCs w:val="24"/>
        </w:rPr>
        <w:t>建设单位依法取得土地、规划、竣工验收备案手续后，可持土地权属来源材料或不动产权属证书（土地使用权登记）、建设工程符合规划的材料、竣工验收备案的材料等申请办理国有建设用地使用权及房屋所有权首次登记。通过部门信息共享支撑</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竣工即办证</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w:t>
      </w:r>
      <w:r>
        <w:rPr>
          <w:rFonts w:hint="eastAsia" w:ascii="KaiTi_GB2312" w:hAnsi="KaiTi_GB2312" w:eastAsia="KaiTi_GB2312"/>
          <w:color w:val="000000"/>
          <w:sz w:val="32"/>
          <w:szCs w:val="24"/>
        </w:rPr>
        <w:t>（牵头部门：</w:t>
      </w:r>
      <w:r>
        <w:rPr>
          <w:rFonts w:hint="eastAsia" w:ascii="KaiTi_GB2312" w:hAnsi="KaiTi_GB2312" w:eastAsia="KaiTi_GB2312"/>
          <w:color w:val="000000"/>
          <w:sz w:val="32"/>
          <w:szCs w:val="24"/>
          <w:lang w:eastAsia="zh-CN"/>
        </w:rPr>
        <w:t>县自然资源和规划局</w:t>
      </w:r>
      <w:r>
        <w:rPr>
          <w:rFonts w:hint="eastAsia" w:ascii="KaiTi_GB2312" w:hAnsi="KaiTi_GB2312" w:eastAsia="KaiTi_GB2312"/>
          <w:color w:val="000000"/>
          <w:sz w:val="32"/>
          <w:szCs w:val="24"/>
        </w:rPr>
        <w:t>、</w:t>
      </w:r>
      <w:r>
        <w:rPr>
          <w:rFonts w:hint="eastAsia" w:ascii="KaiTi_GB2312" w:hAnsi="KaiTi_GB2312" w:eastAsia="KaiTi_GB2312"/>
          <w:color w:val="000000"/>
          <w:sz w:val="32"/>
          <w:szCs w:val="24"/>
          <w:lang w:eastAsia="zh-CN"/>
        </w:rPr>
        <w:t>县住房和城乡建设局</w:t>
      </w:r>
      <w:r>
        <w:rPr>
          <w:rFonts w:hint="eastAsia" w:ascii="KaiTi_GB2312" w:hAnsi="KaiTi_GB2312" w:eastAsia="KaiTi_GB2312"/>
          <w:color w:val="000000"/>
          <w:sz w:val="32"/>
          <w:szCs w:val="24"/>
        </w:rPr>
        <w:t>）</w:t>
      </w:r>
    </w:p>
    <w:p w14:paraId="0220F5DD">
      <w:pPr>
        <w:pStyle w:val="11"/>
        <w:spacing w:beforeLines="0" w:afterLines="0"/>
        <w:ind w:firstLine="632"/>
        <w:rPr>
          <w:rFonts w:hint="eastAsia" w:ascii="KaiTi_GB2312" w:hAnsi="KaiTi_GB2312" w:eastAsia="KaiTi_GB2312"/>
          <w:color w:val="000000"/>
          <w:sz w:val="32"/>
          <w:szCs w:val="24"/>
        </w:rPr>
      </w:pPr>
      <w:r>
        <w:rPr>
          <w:rFonts w:hint="eastAsia" w:ascii="KaiTi_GB2312" w:hAnsi="KaiTi_GB2312" w:eastAsia="KaiTi_GB2312"/>
          <w:color w:val="000000"/>
          <w:sz w:val="32"/>
          <w:szCs w:val="24"/>
        </w:rPr>
        <w:t>（十）关于房屋交付。</w:t>
      </w:r>
      <w:r>
        <w:rPr>
          <w:rFonts w:hint="eastAsia" w:ascii="FangSong_GB2312" w:hAnsi="FangSong_GB2312" w:eastAsia="FangSong_GB2312"/>
          <w:color w:val="000000"/>
          <w:sz w:val="32"/>
          <w:szCs w:val="24"/>
        </w:rPr>
        <w:t>严格落实房屋交付条件、建设条件等相关交付标准，开发项目及其配套设施经验收合格后，方可向买受人交付。落实</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先验房后收房</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制度，指导建设单位通过</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业主开放日</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等形式，组织购房人对房屋质量进行查验。对于查验发现的质量问题，建设单位应及时维修，履行保修义务。交房前，建设单位应向购房人开具购房发票、备齐购房人办理</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小证</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所需材料。</w:t>
      </w:r>
      <w:r>
        <w:rPr>
          <w:rFonts w:hint="eastAsia" w:ascii="KaiTi_GB2312" w:hAnsi="KaiTi_GB2312" w:eastAsia="KaiTi_GB2312"/>
          <w:color w:val="000000"/>
          <w:sz w:val="32"/>
          <w:szCs w:val="24"/>
        </w:rPr>
        <w:t>（牵头部门：</w:t>
      </w:r>
      <w:r>
        <w:rPr>
          <w:rFonts w:hint="eastAsia" w:ascii="KaiTi_GB2312" w:hAnsi="KaiTi_GB2312" w:eastAsia="KaiTi_GB2312"/>
          <w:color w:val="000000"/>
          <w:sz w:val="32"/>
          <w:szCs w:val="24"/>
          <w:lang w:eastAsia="zh-CN"/>
        </w:rPr>
        <w:t>县住房和城乡建设局</w:t>
      </w:r>
      <w:r>
        <w:rPr>
          <w:rFonts w:hint="eastAsia" w:ascii="KaiTi_GB2312" w:hAnsi="KaiTi_GB2312" w:eastAsia="KaiTi_GB2312"/>
          <w:color w:val="000000"/>
          <w:sz w:val="32"/>
          <w:szCs w:val="24"/>
        </w:rPr>
        <w:t>、</w:t>
      </w:r>
      <w:r>
        <w:rPr>
          <w:rFonts w:hint="eastAsia" w:ascii="KaiTi_GB2312" w:hAnsi="KaiTi_GB2312" w:eastAsia="KaiTi_GB2312"/>
          <w:color w:val="000000"/>
          <w:sz w:val="32"/>
          <w:szCs w:val="24"/>
          <w:lang w:eastAsia="zh-CN"/>
        </w:rPr>
        <w:t>国家税务总局冠县税务局</w:t>
      </w:r>
      <w:r>
        <w:rPr>
          <w:rFonts w:hint="eastAsia" w:ascii="KaiTi_GB2312" w:hAnsi="KaiTi_GB2312" w:eastAsia="KaiTi_GB2312"/>
          <w:color w:val="000000"/>
          <w:sz w:val="32"/>
          <w:szCs w:val="24"/>
        </w:rPr>
        <w:t>）</w:t>
      </w:r>
    </w:p>
    <w:p w14:paraId="04DBA9F6">
      <w:pPr>
        <w:pStyle w:val="10"/>
        <w:spacing w:beforeLines="0" w:afterLines="0"/>
        <w:ind w:firstLine="632"/>
        <w:jc w:val="both"/>
        <w:rPr>
          <w:rFonts w:hint="eastAsia" w:ascii="KaiTi_GB2312" w:hAnsi="KaiTi_GB2312" w:eastAsia="KaiTi_GB2312"/>
          <w:color w:val="000000"/>
          <w:sz w:val="32"/>
          <w:szCs w:val="24"/>
        </w:rPr>
      </w:pPr>
      <w:r>
        <w:rPr>
          <w:rFonts w:hint="eastAsia" w:ascii="KaiTi_GB2312" w:hAnsi="KaiTi_GB2312" w:eastAsia="KaiTi_GB2312"/>
          <w:color w:val="000000"/>
          <w:sz w:val="32"/>
          <w:szCs w:val="24"/>
        </w:rPr>
        <w:t xml:space="preserve">（十一）关于群众办理 </w:t>
      </w:r>
      <w:r>
        <w:rPr>
          <w:rFonts w:hint="default" w:ascii="宋体" w:hAnsi="宋体" w:eastAsia="宋体"/>
          <w:color w:val="000000"/>
          <w:sz w:val="32"/>
          <w:szCs w:val="24"/>
        </w:rPr>
        <w:t>“</w:t>
      </w:r>
      <w:r>
        <w:rPr>
          <w:rFonts w:hint="eastAsia" w:ascii="KaiTi_GB2312" w:hAnsi="KaiTi_GB2312" w:eastAsia="KaiTi_GB2312"/>
          <w:color w:val="000000"/>
          <w:sz w:val="32"/>
          <w:szCs w:val="24"/>
        </w:rPr>
        <w:t>小证</w:t>
      </w:r>
      <w:r>
        <w:rPr>
          <w:rFonts w:hint="default" w:ascii="宋体" w:hAnsi="宋体" w:eastAsia="宋体"/>
          <w:color w:val="000000"/>
          <w:sz w:val="32"/>
          <w:szCs w:val="24"/>
        </w:rPr>
        <w:t>”</w:t>
      </w:r>
      <w:r>
        <w:rPr>
          <w:rFonts w:hint="eastAsia" w:ascii="KaiTi_GB2312" w:hAnsi="KaiTi_GB2312" w:eastAsia="KaiTi_GB2312"/>
          <w:color w:val="000000"/>
          <w:sz w:val="32"/>
          <w:szCs w:val="24"/>
        </w:rPr>
        <w:t>。</w:t>
      </w:r>
      <w:r>
        <w:rPr>
          <w:rFonts w:hint="eastAsia" w:ascii="FangSong_GB2312" w:hAnsi="FangSong_GB2312" w:eastAsia="FangSong_GB2312"/>
          <w:color w:val="000000"/>
          <w:sz w:val="32"/>
          <w:szCs w:val="24"/>
        </w:rPr>
        <w:t>购房人收房后，建设单位应配合购房人办理转移登记（小证）。建设单位应在达到法定交房条件后，通过不动产登记机构提供的平台录入房屋信息、上传转移登记相关申请资料。买卖双方凭房屋买卖合同、购房发票等申请转移登记。对符合登记条件的，不动产登记机构协同相关部门提供线上线下多种办理方式实现</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交房即办证</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w:t>
      </w:r>
      <w:r>
        <w:rPr>
          <w:rFonts w:hint="eastAsia" w:ascii="KaiTi_GB2312" w:hAnsi="KaiTi_GB2312" w:eastAsia="KaiTi_GB2312"/>
          <w:color w:val="000000"/>
          <w:sz w:val="32"/>
          <w:szCs w:val="24"/>
        </w:rPr>
        <w:t>（牵头部门：</w:t>
      </w:r>
      <w:r>
        <w:rPr>
          <w:rFonts w:hint="eastAsia" w:ascii="KaiTi_GB2312" w:hAnsi="KaiTi_GB2312" w:eastAsia="KaiTi_GB2312"/>
          <w:color w:val="000000"/>
          <w:sz w:val="32"/>
          <w:szCs w:val="24"/>
          <w:lang w:eastAsia="zh-CN"/>
        </w:rPr>
        <w:t>县自然资源和规划局</w:t>
      </w:r>
      <w:r>
        <w:rPr>
          <w:rFonts w:hint="eastAsia" w:ascii="KaiTi_GB2312" w:hAnsi="KaiTi_GB2312" w:eastAsia="KaiTi_GB2312"/>
          <w:color w:val="000000"/>
          <w:sz w:val="32"/>
          <w:szCs w:val="24"/>
        </w:rPr>
        <w:t>、</w:t>
      </w:r>
      <w:r>
        <w:rPr>
          <w:rFonts w:hint="eastAsia" w:ascii="KaiTi_GB2312" w:hAnsi="KaiTi_GB2312" w:eastAsia="KaiTi_GB2312"/>
          <w:color w:val="000000"/>
          <w:sz w:val="32"/>
          <w:szCs w:val="24"/>
          <w:lang w:eastAsia="zh-CN"/>
        </w:rPr>
        <w:t>县住房和城乡建设局</w:t>
      </w:r>
      <w:r>
        <w:rPr>
          <w:rFonts w:hint="eastAsia" w:ascii="KaiTi_GB2312" w:hAnsi="KaiTi_GB2312" w:eastAsia="KaiTi_GB2312"/>
          <w:color w:val="000000"/>
          <w:sz w:val="32"/>
          <w:szCs w:val="24"/>
        </w:rPr>
        <w:t>）</w:t>
      </w:r>
    </w:p>
    <w:p w14:paraId="234D2767">
      <w:pPr>
        <w:pStyle w:val="10"/>
        <w:spacing w:beforeLines="0" w:afterLines="0"/>
        <w:ind w:firstLine="632"/>
        <w:jc w:val="both"/>
        <w:rPr>
          <w:rFonts w:hint="eastAsia" w:ascii="KaiTi_GB2312" w:hAnsi="KaiTi_GB2312" w:eastAsia="KaiTi_GB2312"/>
          <w:color w:val="000000"/>
          <w:sz w:val="32"/>
          <w:szCs w:val="24"/>
        </w:rPr>
      </w:pPr>
      <w:r>
        <w:rPr>
          <w:rFonts w:hint="eastAsia" w:ascii="KaiTi_GB2312" w:hAnsi="KaiTi_GB2312" w:eastAsia="KaiTi_GB2312"/>
          <w:color w:val="000000"/>
          <w:sz w:val="32"/>
          <w:szCs w:val="24"/>
        </w:rPr>
        <w:t>（十二）关于抵押贷款。</w:t>
      </w:r>
      <w:r>
        <w:rPr>
          <w:rFonts w:hint="eastAsia" w:ascii="FangSong_GB2312" w:hAnsi="FangSong_GB2312" w:eastAsia="FangSong_GB2312"/>
          <w:color w:val="000000"/>
          <w:sz w:val="32"/>
          <w:szCs w:val="24"/>
        </w:rPr>
        <w:t>银行业金融机构、不动产登记机构和房屋交易部门建立信息共享机制。银行业金融机构在为建设单位办理抵押贷款时，应确保抵押范围不涉及已销售并进行网签备案的房屋和所占用土地使用权。对于已抵押的未销售房屋，银行业金融机构出具同意销售（预售）且同意解除拟售房屋抵押的承诺，方可销售并进行网签备案。</w:t>
      </w:r>
      <w:r>
        <w:rPr>
          <w:rFonts w:hint="eastAsia" w:ascii="KaiTi_GB2312" w:hAnsi="KaiTi_GB2312" w:eastAsia="KaiTi_GB2312"/>
          <w:color w:val="000000"/>
          <w:sz w:val="32"/>
          <w:szCs w:val="24"/>
        </w:rPr>
        <w:t>（牵头部门：</w:t>
      </w:r>
      <w:r>
        <w:rPr>
          <w:rFonts w:hint="eastAsia" w:ascii="KaiTi_GB2312" w:hAnsi="KaiTi_GB2312" w:eastAsia="KaiTi_GB2312"/>
          <w:color w:val="000000"/>
          <w:sz w:val="32"/>
          <w:szCs w:val="24"/>
          <w:lang w:eastAsia="zh-CN"/>
        </w:rPr>
        <w:t>国家金融监督管理总局冠县监管支局、县住房和城乡建设局</w:t>
      </w:r>
      <w:r>
        <w:rPr>
          <w:rFonts w:hint="eastAsia" w:ascii="KaiTi_GB2312" w:hAnsi="KaiTi_GB2312" w:eastAsia="KaiTi_GB2312"/>
          <w:color w:val="000000"/>
          <w:sz w:val="32"/>
          <w:szCs w:val="24"/>
        </w:rPr>
        <w:t>）</w:t>
      </w:r>
    </w:p>
    <w:p w14:paraId="6C8C47DF">
      <w:pPr>
        <w:pStyle w:val="10"/>
        <w:spacing w:beforeLines="0" w:afterLines="0"/>
        <w:ind w:firstLine="632"/>
        <w:jc w:val="both"/>
        <w:rPr>
          <w:rFonts w:hint="eastAsia" w:ascii="KaiTi_GB2312" w:hAnsi="KaiTi_GB2312" w:eastAsia="KaiTi_GB2312"/>
          <w:color w:val="000000"/>
          <w:sz w:val="32"/>
          <w:szCs w:val="24"/>
        </w:rPr>
      </w:pPr>
      <w:r>
        <w:rPr>
          <w:rFonts w:hint="eastAsia" w:ascii="KaiTi_GB2312" w:hAnsi="KaiTi_GB2312" w:eastAsia="KaiTi_GB2312"/>
          <w:color w:val="000000"/>
          <w:sz w:val="32"/>
          <w:szCs w:val="24"/>
        </w:rPr>
        <w:t>（十三）关于不动产查封。</w:t>
      </w:r>
      <w:r>
        <w:rPr>
          <w:rFonts w:hint="eastAsia" w:ascii="FangSong_GB2312" w:hAnsi="FangSong_GB2312" w:eastAsia="FangSong_GB2312"/>
          <w:color w:val="000000"/>
          <w:sz w:val="32"/>
          <w:szCs w:val="24"/>
        </w:rPr>
        <w:t>支持查封机构与房屋交易、不动产登记机构建立信息共享机制。整宗建设用地使用权或在建工程已查封的，查封前合法购买的房屋，符合最高人民法院《关于人民法院办理执行异议和复议案件若干问题的规定》第二十八、二十九条情形的，所购房屋及所占用范围内的土地使用权不纳入该查封范围。</w:t>
      </w:r>
      <w:r>
        <w:rPr>
          <w:rFonts w:hint="eastAsia" w:ascii="KaiTi_GB2312" w:hAnsi="KaiTi_GB2312" w:eastAsia="KaiTi_GB2312"/>
          <w:color w:val="000000"/>
          <w:sz w:val="32"/>
          <w:szCs w:val="24"/>
        </w:rPr>
        <w:t>（牵头部门：</w:t>
      </w:r>
      <w:r>
        <w:rPr>
          <w:rFonts w:hint="eastAsia" w:ascii="KaiTi_GB2312" w:hAnsi="KaiTi_GB2312" w:eastAsia="KaiTi_GB2312"/>
          <w:color w:val="000000"/>
          <w:sz w:val="32"/>
          <w:szCs w:val="24"/>
          <w:lang w:eastAsia="zh-CN"/>
        </w:rPr>
        <w:t>县自然资源和规划局</w:t>
      </w:r>
      <w:r>
        <w:rPr>
          <w:rFonts w:hint="eastAsia" w:ascii="KaiTi_GB2312" w:hAnsi="KaiTi_GB2312" w:eastAsia="KaiTi_GB2312"/>
          <w:color w:val="000000"/>
          <w:sz w:val="32"/>
          <w:szCs w:val="24"/>
        </w:rPr>
        <w:t>、</w:t>
      </w:r>
      <w:r>
        <w:rPr>
          <w:rFonts w:hint="eastAsia" w:ascii="KaiTi_GB2312" w:hAnsi="KaiTi_GB2312" w:eastAsia="KaiTi_GB2312"/>
          <w:color w:val="000000"/>
          <w:sz w:val="32"/>
          <w:szCs w:val="24"/>
          <w:lang w:eastAsia="zh-CN"/>
        </w:rPr>
        <w:t>县住房和城乡建设局</w:t>
      </w:r>
      <w:r>
        <w:rPr>
          <w:rFonts w:hint="eastAsia" w:ascii="KaiTi_GB2312" w:hAnsi="KaiTi_GB2312" w:eastAsia="KaiTi_GB2312"/>
          <w:color w:val="000000"/>
          <w:sz w:val="32"/>
          <w:szCs w:val="24"/>
        </w:rPr>
        <w:t>）</w:t>
      </w:r>
    </w:p>
    <w:p w14:paraId="606177DB">
      <w:pPr>
        <w:pStyle w:val="10"/>
        <w:spacing w:beforeLines="0" w:afterLines="0"/>
        <w:ind w:firstLine="632"/>
        <w:jc w:val="both"/>
        <w:rPr>
          <w:rFonts w:hint="eastAsia" w:ascii="KaiTi_GB2312" w:hAnsi="KaiTi_GB2312" w:eastAsia="KaiTi_GB2312"/>
          <w:color w:val="000000"/>
          <w:sz w:val="32"/>
          <w:szCs w:val="24"/>
        </w:rPr>
      </w:pPr>
      <w:r>
        <w:rPr>
          <w:rFonts w:hint="eastAsia" w:ascii="KaiTi_GB2312" w:hAnsi="KaiTi_GB2312" w:eastAsia="KaiTi_GB2312"/>
          <w:color w:val="000000"/>
          <w:sz w:val="32"/>
          <w:szCs w:val="24"/>
        </w:rPr>
        <w:t>（十四）关于税费缴纳。</w:t>
      </w:r>
      <w:r>
        <w:rPr>
          <w:rFonts w:hint="eastAsia" w:ascii="FangSong_GB2312" w:hAnsi="FangSong_GB2312" w:eastAsia="FangSong_GB2312"/>
          <w:color w:val="000000"/>
          <w:sz w:val="32"/>
          <w:szCs w:val="24"/>
        </w:rPr>
        <w:t>建设单位应依法依规缴纳相关税费。对建设单位欠缴税费问题，财政、税务部门及相关业务部门应依法依规作出处理。支持有权机关在法定期限内采取冻结账户、从存款账户中扣缴，拍卖或者变卖所扣押、查封的财产等措施，用于清缴相关税费。发生清偿主体及相关当事人不配合等情况，属地政府相关部门应会同公安部门依法依规及时介入处理。</w:t>
      </w:r>
      <w:r>
        <w:rPr>
          <w:rFonts w:hint="eastAsia" w:ascii="KaiTi_GB2312" w:hAnsi="KaiTi_GB2312" w:eastAsia="KaiTi_GB2312"/>
          <w:color w:val="000000"/>
          <w:sz w:val="32"/>
          <w:szCs w:val="24"/>
        </w:rPr>
        <w:t>（牵头部门：</w:t>
      </w:r>
      <w:r>
        <w:rPr>
          <w:rFonts w:hint="eastAsia" w:ascii="KaiTi_GB2312" w:hAnsi="KaiTi_GB2312" w:eastAsia="KaiTi_GB2312"/>
          <w:color w:val="000000"/>
          <w:sz w:val="32"/>
          <w:szCs w:val="24"/>
          <w:lang w:eastAsia="zh-CN"/>
        </w:rPr>
        <w:t>国家税务总局冠县税务局</w:t>
      </w:r>
      <w:r>
        <w:rPr>
          <w:rFonts w:hint="eastAsia" w:ascii="KaiTi_GB2312" w:hAnsi="KaiTi_GB2312" w:eastAsia="KaiTi_GB2312"/>
          <w:color w:val="000000"/>
          <w:sz w:val="32"/>
          <w:szCs w:val="24"/>
        </w:rPr>
        <w:t>、</w:t>
      </w:r>
      <w:r>
        <w:rPr>
          <w:rFonts w:hint="eastAsia" w:ascii="KaiTi_GB2312" w:hAnsi="KaiTi_GB2312" w:eastAsia="KaiTi_GB2312"/>
          <w:color w:val="000000"/>
          <w:sz w:val="32"/>
          <w:szCs w:val="24"/>
          <w:lang w:eastAsia="zh-CN"/>
        </w:rPr>
        <w:t>县财政局</w:t>
      </w:r>
      <w:r>
        <w:rPr>
          <w:rFonts w:hint="eastAsia" w:ascii="KaiTi_GB2312" w:hAnsi="KaiTi_GB2312" w:eastAsia="KaiTi_GB2312"/>
          <w:color w:val="000000"/>
          <w:sz w:val="32"/>
          <w:szCs w:val="24"/>
        </w:rPr>
        <w:t>、</w:t>
      </w:r>
      <w:r>
        <w:rPr>
          <w:rFonts w:hint="eastAsia" w:ascii="KaiTi_GB2312" w:hAnsi="KaiTi_GB2312" w:eastAsia="KaiTi_GB2312"/>
          <w:color w:val="000000"/>
          <w:sz w:val="32"/>
          <w:szCs w:val="24"/>
          <w:lang w:eastAsia="zh-CN"/>
        </w:rPr>
        <w:t>县住房和城乡建设局</w:t>
      </w:r>
      <w:r>
        <w:rPr>
          <w:rFonts w:hint="eastAsia" w:ascii="KaiTi_GB2312" w:hAnsi="KaiTi_GB2312" w:eastAsia="KaiTi_GB2312"/>
          <w:color w:val="000000"/>
          <w:sz w:val="32"/>
          <w:szCs w:val="24"/>
        </w:rPr>
        <w:t>、</w:t>
      </w:r>
      <w:r>
        <w:rPr>
          <w:rFonts w:hint="eastAsia" w:ascii="KaiTi_GB2312" w:hAnsi="KaiTi_GB2312" w:eastAsia="KaiTi_GB2312"/>
          <w:color w:val="000000"/>
          <w:sz w:val="32"/>
          <w:szCs w:val="24"/>
          <w:lang w:eastAsia="zh-CN"/>
        </w:rPr>
        <w:t>县自然资源和规划局、县发展和改革局、县公安局</w:t>
      </w:r>
      <w:r>
        <w:rPr>
          <w:rFonts w:hint="eastAsia" w:ascii="KaiTi_GB2312" w:hAnsi="KaiTi_GB2312" w:eastAsia="KaiTi_GB2312"/>
          <w:color w:val="000000"/>
          <w:sz w:val="32"/>
          <w:szCs w:val="24"/>
        </w:rPr>
        <w:t>）</w:t>
      </w:r>
    </w:p>
    <w:p w14:paraId="4FE46863">
      <w:pPr>
        <w:pStyle w:val="10"/>
        <w:spacing w:beforeLines="0" w:afterLines="0"/>
        <w:ind w:firstLine="632"/>
        <w:jc w:val="both"/>
        <w:rPr>
          <w:rFonts w:hint="eastAsia" w:ascii="黑体" w:hAnsi="黑体" w:eastAsia="黑体"/>
          <w:color w:val="000000"/>
          <w:sz w:val="32"/>
          <w:szCs w:val="24"/>
        </w:rPr>
      </w:pPr>
      <w:r>
        <w:rPr>
          <w:rFonts w:hint="eastAsia" w:ascii="黑体" w:hAnsi="黑体" w:eastAsia="黑体"/>
          <w:color w:val="000000"/>
          <w:sz w:val="32"/>
          <w:szCs w:val="24"/>
        </w:rPr>
        <w:t>二、责任落实</w:t>
      </w:r>
    </w:p>
    <w:p w14:paraId="3C17370E">
      <w:pPr>
        <w:pStyle w:val="10"/>
        <w:spacing w:beforeLines="0" w:afterLines="0"/>
        <w:ind w:firstLine="632"/>
        <w:jc w:val="both"/>
        <w:rPr>
          <w:rFonts w:hint="eastAsia" w:ascii="FangSong_GB2312" w:hAnsi="FangSong_GB2312" w:eastAsia="FangSong_GB2312"/>
          <w:color w:val="000000"/>
          <w:sz w:val="32"/>
          <w:szCs w:val="24"/>
        </w:rPr>
      </w:pPr>
      <w:r>
        <w:rPr>
          <w:rFonts w:hint="eastAsia" w:ascii="FangSong_GB2312" w:hAnsi="FangSong_GB2312" w:eastAsia="FangSong_GB2312"/>
          <w:b/>
          <w:bCs/>
          <w:color w:val="000000"/>
          <w:sz w:val="32"/>
          <w:szCs w:val="24"/>
        </w:rPr>
        <w:t>自然资源部门</w:t>
      </w:r>
      <w:r>
        <w:rPr>
          <w:rFonts w:hint="eastAsia" w:ascii="FangSong_GB2312" w:hAnsi="FangSong_GB2312" w:eastAsia="FangSong_GB2312"/>
          <w:color w:val="000000"/>
          <w:sz w:val="32"/>
          <w:szCs w:val="24"/>
        </w:rPr>
        <w:t>负责做好规划、供地、不动产登记相关工作，实施供地和规划批后监管，牵头</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交地即办证</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竣工即办证</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交房即办证</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常态化。</w:t>
      </w:r>
    </w:p>
    <w:p w14:paraId="7FAE5DA6">
      <w:pPr>
        <w:pStyle w:val="11"/>
        <w:spacing w:beforeLines="0" w:afterLines="0"/>
        <w:ind w:firstLine="632"/>
        <w:rPr>
          <w:rFonts w:hint="eastAsia" w:ascii="FangSong_GB2312" w:hAnsi="FangSong_GB2312" w:eastAsia="FangSong_GB2312"/>
          <w:color w:val="000000"/>
          <w:sz w:val="32"/>
          <w:szCs w:val="24"/>
        </w:rPr>
      </w:pPr>
      <w:r>
        <w:rPr>
          <w:rFonts w:hint="eastAsia" w:ascii="FangSong_GB2312" w:hAnsi="FangSong_GB2312" w:eastAsia="FangSong_GB2312"/>
          <w:b/>
          <w:bCs/>
          <w:color w:val="000000"/>
          <w:sz w:val="32"/>
          <w:szCs w:val="24"/>
        </w:rPr>
        <w:t>发展改革部门</w:t>
      </w:r>
      <w:r>
        <w:rPr>
          <w:rFonts w:hint="eastAsia" w:ascii="FangSong_GB2312" w:hAnsi="FangSong_GB2312" w:eastAsia="FangSong_GB2312"/>
          <w:b/>
          <w:bCs/>
          <w:color w:val="000000"/>
          <w:sz w:val="32"/>
          <w:szCs w:val="24"/>
          <w:lang w:eastAsia="zh-CN"/>
        </w:rPr>
        <w:t>（县国动办、县社会信用中心）</w:t>
      </w:r>
      <w:r>
        <w:rPr>
          <w:rFonts w:hint="eastAsia" w:ascii="FangSong_GB2312" w:hAnsi="FangSong_GB2312" w:eastAsia="FangSong_GB2312"/>
          <w:color w:val="000000"/>
          <w:sz w:val="32"/>
          <w:szCs w:val="24"/>
        </w:rPr>
        <w:t>负责对防空地下室及兼顾人民防空要求的地下工程防护方面进行监督检查，指导人防工程竣工验收和质量监管。负责将行业主管部门认定产生的房地产领域有关公共信用信息归集至公共信用信息平台，纳入主体信用记录，会同相关部门依法依规开展联合惩戒。</w:t>
      </w:r>
    </w:p>
    <w:p w14:paraId="2B2C4E1A">
      <w:pPr>
        <w:pStyle w:val="10"/>
        <w:spacing w:beforeLines="0" w:afterLines="0"/>
        <w:ind w:firstLine="632"/>
        <w:jc w:val="both"/>
        <w:rPr>
          <w:rFonts w:hint="eastAsia" w:ascii="FangSong_GB2312" w:hAnsi="FangSong_GB2312" w:eastAsia="FangSong_GB2312"/>
          <w:color w:val="000000"/>
          <w:sz w:val="32"/>
          <w:szCs w:val="24"/>
        </w:rPr>
      </w:pPr>
      <w:r>
        <w:rPr>
          <w:rFonts w:hint="eastAsia" w:ascii="FangSong_GB2312" w:hAnsi="FangSong_GB2312" w:eastAsia="FangSong_GB2312"/>
          <w:b/>
          <w:bCs/>
          <w:color w:val="000000"/>
          <w:sz w:val="32"/>
          <w:szCs w:val="24"/>
        </w:rPr>
        <w:t>公安部门</w:t>
      </w:r>
      <w:r>
        <w:rPr>
          <w:rFonts w:hint="eastAsia" w:ascii="FangSong_GB2312" w:hAnsi="FangSong_GB2312" w:eastAsia="FangSong_GB2312"/>
          <w:color w:val="000000"/>
          <w:sz w:val="32"/>
          <w:szCs w:val="24"/>
        </w:rPr>
        <w:t>负责加大涉不动产登记案件处置力度，依法打击违法犯罪，保障行政执法，配合相关部门及时介入处置清偿开发建设单位、清偿主体及相关当事人不配合等情况。</w:t>
      </w:r>
    </w:p>
    <w:p w14:paraId="156ADAC2">
      <w:pPr>
        <w:pStyle w:val="11"/>
        <w:spacing w:beforeLines="0" w:afterLines="0"/>
        <w:ind w:firstLine="632"/>
        <w:rPr>
          <w:rFonts w:hint="eastAsia" w:ascii="FangSong_GB2312" w:hAnsi="FangSong_GB2312" w:eastAsia="FangSong_GB2312"/>
          <w:color w:val="000000"/>
          <w:sz w:val="32"/>
          <w:szCs w:val="24"/>
        </w:rPr>
      </w:pPr>
      <w:r>
        <w:rPr>
          <w:rFonts w:hint="eastAsia" w:ascii="FangSong_GB2312" w:hAnsi="FangSong_GB2312" w:eastAsia="FangSong_GB2312"/>
          <w:b/>
          <w:bCs/>
          <w:color w:val="000000"/>
          <w:sz w:val="32"/>
          <w:szCs w:val="24"/>
        </w:rPr>
        <w:t>财政、税务部门及相关业务部门</w:t>
      </w:r>
      <w:r>
        <w:rPr>
          <w:rFonts w:hint="eastAsia" w:ascii="FangSong_GB2312" w:hAnsi="FangSong_GB2312" w:eastAsia="FangSong_GB2312"/>
          <w:color w:val="000000"/>
          <w:sz w:val="32"/>
          <w:szCs w:val="24"/>
        </w:rPr>
        <w:t>按照各自工作职责依法征收、追征建设单位及购房人相关税费；</w:t>
      </w:r>
      <w:r>
        <w:rPr>
          <w:rFonts w:hint="eastAsia" w:ascii="FangSong_GB2312" w:hAnsi="FangSong_GB2312" w:eastAsia="FangSong_GB2312"/>
          <w:b/>
          <w:bCs/>
          <w:color w:val="000000"/>
          <w:sz w:val="32"/>
          <w:szCs w:val="24"/>
        </w:rPr>
        <w:t>税务部门</w:t>
      </w:r>
      <w:r>
        <w:rPr>
          <w:rFonts w:hint="eastAsia" w:ascii="FangSong_GB2312" w:hAnsi="FangSong_GB2312" w:eastAsia="FangSong_GB2312"/>
          <w:color w:val="000000"/>
          <w:sz w:val="32"/>
          <w:szCs w:val="24"/>
        </w:rPr>
        <w:t>对于建设单位应当开具而未开具发票的，依法责令建设单位为购房人开具发票。</w:t>
      </w:r>
    </w:p>
    <w:p w14:paraId="2C1BB4FE">
      <w:pPr>
        <w:pStyle w:val="11"/>
        <w:spacing w:beforeLines="0" w:afterLines="0"/>
        <w:ind w:firstLine="632"/>
        <w:rPr>
          <w:rFonts w:hint="eastAsia" w:ascii="FangSong_GB2312" w:hAnsi="FangSong_GB2312" w:eastAsia="FangSong_GB2312"/>
          <w:color w:val="000000"/>
          <w:sz w:val="32"/>
          <w:szCs w:val="24"/>
        </w:rPr>
      </w:pPr>
      <w:r>
        <w:rPr>
          <w:rFonts w:hint="eastAsia" w:ascii="FangSong_GB2312" w:hAnsi="FangSong_GB2312" w:eastAsia="FangSong_GB2312"/>
          <w:b/>
          <w:bCs/>
          <w:color w:val="000000"/>
          <w:sz w:val="32"/>
          <w:szCs w:val="24"/>
        </w:rPr>
        <w:t>住房城乡建设部门</w:t>
      </w:r>
      <w:r>
        <w:rPr>
          <w:rFonts w:hint="eastAsia" w:ascii="FangSong_GB2312" w:hAnsi="FangSong_GB2312" w:eastAsia="FangSong_GB2312"/>
          <w:color w:val="000000"/>
          <w:sz w:val="32"/>
          <w:szCs w:val="24"/>
        </w:rPr>
        <w:t>负责房屋建筑工程施工质量安全监管、竣工验收备案，房屋预售及资金监管、房屋交付，规范商品房交易管理。监督住房城乡建设领域建设条件落实。负责房地产市场监督管理工作。</w:t>
      </w:r>
    </w:p>
    <w:p w14:paraId="6D0A4DA6">
      <w:pPr>
        <w:pStyle w:val="11"/>
        <w:spacing w:beforeLines="0" w:afterLines="0"/>
        <w:ind w:firstLine="632"/>
        <w:rPr>
          <w:rFonts w:hint="eastAsia" w:ascii="FangSong_GB2312" w:hAnsi="FangSong_GB2312" w:eastAsia="FangSong_GB2312"/>
          <w:color w:val="000000"/>
          <w:sz w:val="32"/>
          <w:szCs w:val="24"/>
        </w:rPr>
      </w:pPr>
      <w:r>
        <w:rPr>
          <w:rFonts w:hint="eastAsia" w:ascii="FangSong_GB2312" w:hAnsi="FangSong_GB2312" w:eastAsia="FangSong_GB2312"/>
          <w:b/>
          <w:bCs/>
          <w:color w:val="000000"/>
          <w:sz w:val="32"/>
          <w:szCs w:val="24"/>
        </w:rPr>
        <w:t>金融监管总局派出机构</w:t>
      </w:r>
      <w:r>
        <w:rPr>
          <w:rFonts w:hint="eastAsia" w:ascii="FangSong_GB2312" w:hAnsi="FangSong_GB2312" w:eastAsia="FangSong_GB2312"/>
          <w:color w:val="000000"/>
          <w:sz w:val="32"/>
          <w:szCs w:val="24"/>
        </w:rPr>
        <w:t>负责指导金融机构在依法合规、风险可控的前提下，做好土地或房产抵押贷款办理和解押等工作。</w:t>
      </w:r>
    </w:p>
    <w:p w14:paraId="71B04709">
      <w:pPr>
        <w:pStyle w:val="11"/>
        <w:spacing w:beforeLines="0" w:afterLines="0"/>
        <w:ind w:firstLine="632"/>
        <w:rPr>
          <w:rFonts w:hint="eastAsia" w:ascii="黑体" w:hAnsi="黑体" w:eastAsia="黑体"/>
          <w:color w:val="000000"/>
          <w:sz w:val="32"/>
          <w:szCs w:val="24"/>
        </w:rPr>
      </w:pPr>
      <w:r>
        <w:rPr>
          <w:rFonts w:hint="eastAsia" w:ascii="黑体" w:hAnsi="黑体" w:eastAsia="黑体"/>
          <w:color w:val="000000"/>
          <w:sz w:val="32"/>
          <w:szCs w:val="24"/>
        </w:rPr>
        <w:t>三、保障措施</w:t>
      </w:r>
    </w:p>
    <w:p w14:paraId="1E0348CD">
      <w:pPr>
        <w:pStyle w:val="13"/>
        <w:keepNext w:val="0"/>
        <w:keepLines w:val="0"/>
        <w:pageBreakBefore w:val="0"/>
        <w:widowControl w:val="0"/>
        <w:kinsoku/>
        <w:wordWrap/>
        <w:overflowPunct/>
        <w:topLinePunct w:val="0"/>
        <w:autoSpaceDE w:val="0"/>
        <w:autoSpaceDN w:val="0"/>
        <w:bidi w:val="0"/>
        <w:adjustRightInd w:val="0"/>
        <w:snapToGrid/>
        <w:spacing w:beforeLines="0" w:afterLines="0" w:line="580" w:lineRule="atLeast"/>
        <w:ind w:firstLine="629"/>
        <w:textAlignment w:val="auto"/>
        <w:rPr>
          <w:rFonts w:hint="eastAsia" w:ascii="FangSong_GB2312" w:hAnsi="FangSong_GB2312" w:eastAsia="FangSong_GB2312"/>
          <w:color w:val="000000"/>
          <w:sz w:val="32"/>
          <w:szCs w:val="24"/>
        </w:rPr>
      </w:pPr>
      <w:r>
        <w:rPr>
          <w:rFonts w:hint="eastAsia" w:ascii="KaiTi_GB2312" w:hAnsi="KaiTi_GB2312" w:eastAsia="KaiTi_GB2312"/>
          <w:color w:val="000000"/>
          <w:sz w:val="32"/>
          <w:szCs w:val="24"/>
        </w:rPr>
        <w:t>（一）加强协同管理。</w:t>
      </w:r>
      <w:r>
        <w:rPr>
          <w:rFonts w:hint="eastAsia" w:ascii="FangSong_GB2312" w:hAnsi="FangSong_GB2312" w:eastAsia="FangSong_GB2312"/>
          <w:color w:val="000000"/>
          <w:sz w:val="32"/>
          <w:szCs w:val="24"/>
        </w:rPr>
        <w:t>各相关部门认真履行职责，加快</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高效办成一件事</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服务场景迭代更新，优化审批服务流程，推动减材料、减时限、减费用、减环节、增强便利度等</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四减一增</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提高行政审批效率，进一步优化营商环境。建立项目建设各环节、上下游管理的信息共享、结果互认、协同办理工作机制，下游单位发现的问题及时向上游单位反馈，合力推动将问题发现在日常、处理在日常。利用</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多测合一</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信息服务平台，实现对测绘服务机构提供的测绘数据的统一汇聚，通过不动产单元代码推行供地手续、楼盘表（不动产单元）、网签合同、规划核实、竣工验收、完税凭证、不动产登记等数据共享应用。</w:t>
      </w:r>
    </w:p>
    <w:p w14:paraId="2F263C40">
      <w:pPr>
        <w:pStyle w:val="11"/>
        <w:keepNext w:val="0"/>
        <w:keepLines w:val="0"/>
        <w:pageBreakBefore w:val="0"/>
        <w:widowControl w:val="0"/>
        <w:kinsoku/>
        <w:wordWrap/>
        <w:overflowPunct/>
        <w:topLinePunct w:val="0"/>
        <w:autoSpaceDE w:val="0"/>
        <w:autoSpaceDN w:val="0"/>
        <w:bidi w:val="0"/>
        <w:adjustRightInd w:val="0"/>
        <w:snapToGrid/>
        <w:spacing w:beforeLines="0" w:afterLines="0"/>
        <w:ind w:left="0" w:leftChars="0" w:firstLine="640" w:firstLineChars="200"/>
        <w:textAlignment w:val="auto"/>
        <w:rPr>
          <w:rFonts w:hint="eastAsia" w:ascii="FangSong_GB2312" w:hAnsi="FangSong_GB2312" w:eastAsia="FangSong_GB2312"/>
          <w:color w:val="000000"/>
          <w:sz w:val="32"/>
          <w:szCs w:val="24"/>
        </w:rPr>
      </w:pPr>
      <w:r>
        <w:rPr>
          <w:rFonts w:hint="eastAsia" w:ascii="KaiTi_GB2312" w:hAnsi="KaiTi_GB2312" w:eastAsia="KaiTi_GB2312"/>
          <w:color w:val="000000"/>
          <w:sz w:val="32"/>
          <w:szCs w:val="24"/>
        </w:rPr>
        <w:t>（二）建立联动机制。</w:t>
      </w:r>
      <w:r>
        <w:rPr>
          <w:rFonts w:hint="eastAsia" w:ascii="FangSong_GB2312" w:hAnsi="FangSong_GB2312" w:eastAsia="FangSong_GB2312"/>
          <w:color w:val="000000"/>
          <w:sz w:val="32"/>
          <w:szCs w:val="24"/>
        </w:rPr>
        <w:t>建立由自然资源、住房城乡建设部门牵头，财政、税务、金融监管总局派出机构等部门配合的联动机制，明确审批监管的职责和边界，压实部门责任，实施事前、事中、事后全链条无缝监管。按照</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谁主管、谁负责</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谁产生问题、谁化解矛盾</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的原则，根据需要组织开展矛盾纠纷问题排查处置，实行动态集中化解。涉及多部门联合办理或集中办理的工作事项，应当按照县政府确定的职责分工切实抓好落实。对于群众的各类办证诉求和反映的办证问题，进行记录、整理、分类。建立责任倒查机制，因监督管理不严格、不到位导致产生新的房屋产权问题的，依法依规追究相关部门单位责任。对发现的不担当不作为以权谋私等责任作风腐败问题，及时移送纪检监察机关。</w:t>
      </w:r>
    </w:p>
    <w:p w14:paraId="7552C5F5">
      <w:pPr>
        <w:pStyle w:val="11"/>
        <w:spacing w:beforeLines="0" w:afterLines="0"/>
        <w:ind w:firstLine="632"/>
        <w:rPr>
          <w:rFonts w:hint="eastAsia" w:ascii="FangSong_GB2312" w:hAnsi="FangSong_GB2312" w:eastAsia="FangSong_GB2312"/>
          <w:color w:val="000000"/>
          <w:sz w:val="32"/>
          <w:szCs w:val="24"/>
        </w:rPr>
      </w:pPr>
      <w:r>
        <w:rPr>
          <w:rFonts w:hint="eastAsia" w:ascii="KaiTi_GB2312" w:hAnsi="KaiTi_GB2312" w:eastAsia="KaiTi_GB2312"/>
          <w:color w:val="000000"/>
          <w:sz w:val="32"/>
          <w:szCs w:val="24"/>
        </w:rPr>
        <w:t>（三）实行联合惩戒。</w:t>
      </w:r>
      <w:r>
        <w:rPr>
          <w:rFonts w:hint="eastAsia" w:ascii="FangSong_GB2312" w:hAnsi="FangSong_GB2312" w:eastAsia="FangSong_GB2312"/>
          <w:color w:val="000000"/>
          <w:sz w:val="32"/>
          <w:szCs w:val="24"/>
        </w:rPr>
        <w:t>构建跨部门、跨领域的</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一处失信、处处受限</w:t>
      </w:r>
      <w:r>
        <w:rPr>
          <w:rFonts w:hint="default" w:ascii="FangSong_GB2312" w:hAnsi="FangSong_GB2312" w:eastAsia="FangSong_GB2312"/>
          <w:color w:val="000000"/>
          <w:sz w:val="32"/>
          <w:szCs w:val="24"/>
        </w:rPr>
        <w:t>”</w:t>
      </w:r>
      <w:r>
        <w:rPr>
          <w:rFonts w:hint="eastAsia" w:ascii="FangSong_GB2312" w:hAnsi="FangSong_GB2312" w:eastAsia="FangSong_GB2312"/>
          <w:color w:val="000000"/>
          <w:sz w:val="32"/>
          <w:szCs w:val="24"/>
        </w:rPr>
        <w:t>联合惩戒机制，将建设单位违法违规行为、合同义务履行等情况纳入房地产市场监管和诚信管理范围，统一记入房地产开发企业信用评价，加强信用惩戒约束力度。</w:t>
      </w:r>
    </w:p>
    <w:p w14:paraId="5A9F2EFD">
      <w:pPr>
        <w:pStyle w:val="13"/>
        <w:spacing w:beforeLines="0" w:after="837" w:afterLines="0" w:line="580" w:lineRule="atLeast"/>
        <w:ind w:firstLine="632"/>
        <w:rPr>
          <w:rFonts w:hint="eastAsia" w:ascii="FangSong_GB2312" w:hAnsi="FangSong_GB2312" w:eastAsia="FangSong_GB2312"/>
          <w:color w:val="000000"/>
          <w:sz w:val="32"/>
          <w:szCs w:val="24"/>
        </w:rPr>
      </w:pPr>
      <w:r>
        <w:rPr>
          <w:rFonts w:hint="eastAsia" w:ascii="FangSong_GB2312" w:hAnsi="FangSong_GB2312" w:eastAsia="FangSong_GB2312"/>
          <w:color w:val="000000"/>
          <w:sz w:val="32"/>
          <w:szCs w:val="24"/>
        </w:rPr>
        <w:t>本意见自</w:t>
      </w:r>
      <w:r>
        <w:rPr>
          <w:rFonts w:hint="eastAsia" w:ascii="FangSong_GB2312" w:hAnsi="FangSong_GB2312" w:eastAsia="FangSong_GB2312"/>
          <w:color w:val="000000"/>
          <w:sz w:val="32"/>
          <w:szCs w:val="24"/>
          <w:lang w:eastAsia="zh-CN"/>
        </w:rPr>
        <w:t>发布之日</w:t>
      </w:r>
      <w:r>
        <w:rPr>
          <w:rFonts w:hint="eastAsia" w:ascii="FangSong_GB2312" w:hAnsi="FangSong_GB2312" w:eastAsia="FangSong_GB2312"/>
          <w:color w:val="000000"/>
          <w:sz w:val="32"/>
          <w:szCs w:val="24"/>
        </w:rPr>
        <w:t>起实施。国有土地上的商业、工业等新建项目可参照执行。国家和省</w:t>
      </w:r>
      <w:r>
        <w:rPr>
          <w:rFonts w:hint="eastAsia" w:ascii="FangSong_GB2312" w:hAnsi="FangSong_GB2312" w:eastAsia="FangSong_GB2312"/>
          <w:color w:val="000000"/>
          <w:sz w:val="32"/>
          <w:szCs w:val="24"/>
          <w:lang w:eastAsia="zh-CN"/>
        </w:rPr>
        <w:t>、市</w:t>
      </w:r>
      <w:r>
        <w:rPr>
          <w:rFonts w:hint="eastAsia" w:ascii="FangSong_GB2312" w:hAnsi="FangSong_GB2312" w:eastAsia="FangSong_GB2312"/>
          <w:color w:val="000000"/>
          <w:sz w:val="32"/>
          <w:szCs w:val="24"/>
        </w:rPr>
        <w:t>相关政策措施作出调整的，从其规定。</w:t>
      </w:r>
    </w:p>
    <w:p w14:paraId="443CEAEB">
      <w:pPr>
        <w:pStyle w:val="13"/>
        <w:spacing w:beforeLines="0" w:after="837" w:afterLines="0" w:line="580" w:lineRule="atLeast"/>
        <w:ind w:left="0" w:leftChars="0" w:firstLine="0" w:firstLineChars="0"/>
        <w:jc w:val="distribute"/>
        <w:rPr>
          <w:rFonts w:hint="eastAsia" w:ascii="FangSong_GB2312" w:hAnsi="FangSong_GB2312" w:eastAsia="FangSong_GB2312"/>
          <w:color w:val="000000"/>
          <w:sz w:val="32"/>
          <w:szCs w:val="24"/>
          <w:lang w:val="en-US" w:eastAsia="zh-CN"/>
        </w:rPr>
      </w:pPr>
      <w:r>
        <w:rPr>
          <w:rFonts w:hint="eastAsia" w:ascii="FangSong_GB2312" w:hAnsi="FangSong_GB2312" w:eastAsia="FangSong_GB2312"/>
          <w:color w:val="000000"/>
          <w:sz w:val="32"/>
          <w:szCs w:val="24"/>
          <w:lang w:eastAsia="zh-CN"/>
        </w:rPr>
        <w:t>冠县自然资源和规划局</w:t>
      </w:r>
      <w:r>
        <w:rPr>
          <w:rFonts w:hint="eastAsia" w:ascii="FangSong_GB2312" w:hAnsi="FangSong_GB2312" w:eastAsia="FangSong_GB2312"/>
          <w:color w:val="000000"/>
          <w:sz w:val="32"/>
          <w:szCs w:val="24"/>
          <w:lang w:val="en-US" w:eastAsia="zh-CN"/>
        </w:rPr>
        <w:t xml:space="preserve">   </w:t>
      </w:r>
      <w:r>
        <w:rPr>
          <w:rFonts w:hint="eastAsia" w:ascii="FangSong_GB2312" w:hAnsi="FangSong_GB2312" w:eastAsia="FangSong_GB2312"/>
          <w:color w:val="000000"/>
          <w:sz w:val="32"/>
          <w:szCs w:val="24"/>
          <w:lang w:eastAsia="zh-CN"/>
        </w:rPr>
        <w:t>冠县发展和改革局</w:t>
      </w:r>
      <w:r>
        <w:rPr>
          <w:rFonts w:hint="eastAsia" w:ascii="FangSong_GB2312" w:hAnsi="FangSong_GB2312" w:eastAsia="FangSong_GB2312"/>
          <w:color w:val="000000"/>
          <w:sz w:val="32"/>
          <w:szCs w:val="24"/>
          <w:lang w:val="en-US" w:eastAsia="zh-CN"/>
        </w:rPr>
        <w:t xml:space="preserve">   </w:t>
      </w:r>
      <w:r>
        <w:rPr>
          <w:rFonts w:hint="eastAsia" w:ascii="FangSong_GB2312" w:hAnsi="FangSong_GB2312" w:eastAsia="FangSong_GB2312"/>
          <w:color w:val="000000"/>
          <w:sz w:val="32"/>
          <w:szCs w:val="24"/>
          <w:lang w:eastAsia="zh-CN"/>
        </w:rPr>
        <w:t>冠县公安局</w:t>
      </w:r>
      <w:r>
        <w:rPr>
          <w:rFonts w:hint="eastAsia" w:ascii="FangSong_GB2312" w:hAnsi="FangSong_GB2312" w:eastAsia="FangSong_GB2312"/>
          <w:color w:val="000000"/>
          <w:sz w:val="32"/>
          <w:szCs w:val="24"/>
          <w:lang w:val="en-US" w:eastAsia="zh-CN"/>
        </w:rPr>
        <w:t xml:space="preserve">  </w:t>
      </w:r>
    </w:p>
    <w:p w14:paraId="316A155D">
      <w:pPr>
        <w:pStyle w:val="9"/>
        <w:jc w:val="distribute"/>
        <w:rPr>
          <w:rFonts w:hint="eastAsia"/>
          <w:lang w:val="en-US" w:eastAsia="zh-CN"/>
        </w:rPr>
      </w:pPr>
    </w:p>
    <w:p w14:paraId="011D7EEE">
      <w:pPr>
        <w:pStyle w:val="13"/>
        <w:spacing w:beforeLines="0" w:after="837" w:afterLines="0" w:line="580" w:lineRule="atLeast"/>
        <w:ind w:left="0" w:leftChars="0" w:firstLine="0" w:firstLineChars="0"/>
        <w:jc w:val="distribute"/>
        <w:rPr>
          <w:rFonts w:hint="eastAsia" w:ascii="FangSong_GB2312" w:hAnsi="FangSong_GB2312" w:eastAsia="FangSong_GB2312"/>
          <w:color w:val="000000"/>
          <w:sz w:val="32"/>
          <w:szCs w:val="24"/>
          <w:lang w:val="en-US" w:eastAsia="zh-CN"/>
        </w:rPr>
      </w:pPr>
      <w:r>
        <w:rPr>
          <w:rFonts w:hint="eastAsia" w:ascii="FangSong_GB2312" w:hAnsi="FangSong_GB2312" w:eastAsia="FangSong_GB2312"/>
          <w:color w:val="000000"/>
          <w:sz w:val="32"/>
          <w:szCs w:val="24"/>
          <w:lang w:eastAsia="zh-CN"/>
        </w:rPr>
        <w:t>冠县财政局</w:t>
      </w:r>
      <w:r>
        <w:rPr>
          <w:rFonts w:hint="eastAsia" w:ascii="FangSong_GB2312" w:hAnsi="FangSong_GB2312" w:eastAsia="FangSong_GB2312"/>
          <w:color w:val="000000"/>
          <w:sz w:val="32"/>
          <w:szCs w:val="24"/>
          <w:lang w:val="en-US" w:eastAsia="zh-CN"/>
        </w:rPr>
        <w:t xml:space="preserve">                      </w:t>
      </w:r>
      <w:r>
        <w:rPr>
          <w:rFonts w:hint="eastAsia" w:ascii="FangSong_GB2312" w:hAnsi="FangSong_GB2312" w:eastAsia="FangSong_GB2312"/>
          <w:color w:val="000000"/>
          <w:sz w:val="32"/>
          <w:szCs w:val="24"/>
          <w:lang w:eastAsia="zh-CN"/>
        </w:rPr>
        <w:t>冠县住房和城乡建设局</w:t>
      </w:r>
      <w:r>
        <w:rPr>
          <w:rFonts w:hint="eastAsia" w:ascii="FangSong_GB2312" w:hAnsi="FangSong_GB2312" w:eastAsia="FangSong_GB2312"/>
          <w:color w:val="000000"/>
          <w:sz w:val="32"/>
          <w:szCs w:val="24"/>
          <w:lang w:val="en-US" w:eastAsia="zh-CN"/>
        </w:rPr>
        <w:t xml:space="preserve">   </w:t>
      </w:r>
    </w:p>
    <w:p w14:paraId="368D342C">
      <w:pPr>
        <w:pStyle w:val="9"/>
        <w:jc w:val="distribute"/>
        <w:rPr>
          <w:rFonts w:hint="eastAsia"/>
          <w:lang w:val="en-US" w:eastAsia="zh-CN"/>
        </w:rPr>
      </w:pPr>
    </w:p>
    <w:p w14:paraId="4C305C6F">
      <w:pPr>
        <w:pStyle w:val="13"/>
        <w:spacing w:beforeLines="0" w:after="837" w:afterLines="0" w:line="580" w:lineRule="atLeast"/>
        <w:ind w:left="0" w:leftChars="0" w:firstLine="0" w:firstLineChars="0"/>
        <w:jc w:val="distribute"/>
        <w:rPr>
          <w:rFonts w:hint="eastAsia" w:ascii="FangSong_GB2312" w:hAnsi="FangSong_GB2312" w:eastAsia="FangSong_GB2312"/>
          <w:color w:val="000000"/>
          <w:sz w:val="32"/>
          <w:szCs w:val="24"/>
          <w:lang w:eastAsia="zh-CN"/>
        </w:rPr>
      </w:pPr>
      <w:r>
        <w:rPr>
          <w:rFonts w:hint="eastAsia" w:ascii="FangSong_GB2312" w:hAnsi="FangSong_GB2312" w:eastAsia="FangSong_GB2312"/>
          <w:color w:val="000000"/>
          <w:spacing w:val="-28"/>
          <w:sz w:val="32"/>
          <w:szCs w:val="24"/>
        </w:rPr>
        <w:t>国家金融监督管理总局</w:t>
      </w:r>
      <w:r>
        <w:rPr>
          <w:rFonts w:hint="eastAsia" w:ascii="FangSong_GB2312" w:hAnsi="FangSong_GB2312" w:eastAsia="FangSong_GB2312"/>
          <w:color w:val="000000"/>
          <w:spacing w:val="-28"/>
          <w:sz w:val="32"/>
          <w:szCs w:val="24"/>
          <w:lang w:eastAsia="zh-CN"/>
        </w:rPr>
        <w:t>冠县监管支局</w:t>
      </w:r>
      <w:r>
        <w:rPr>
          <w:rFonts w:hint="eastAsia" w:ascii="FangSong_GB2312" w:hAnsi="FangSong_GB2312" w:eastAsia="FangSong_GB2312"/>
          <w:color w:val="000000"/>
          <w:sz w:val="32"/>
          <w:szCs w:val="24"/>
          <w:lang w:val="en-US" w:eastAsia="zh-CN"/>
        </w:rPr>
        <w:t xml:space="preserve">   </w:t>
      </w:r>
      <w:r>
        <w:rPr>
          <w:rFonts w:hint="eastAsia" w:ascii="FangSong_GB2312" w:hAnsi="FangSong_GB2312" w:eastAsia="FangSong_GB2312"/>
          <w:color w:val="000000"/>
          <w:sz w:val="32"/>
          <w:szCs w:val="24"/>
          <w:lang w:eastAsia="zh-CN"/>
        </w:rPr>
        <w:t>国家税务总局冠县税务局</w:t>
      </w:r>
    </w:p>
    <w:p w14:paraId="3132CE36">
      <w:pPr>
        <w:pStyle w:val="15"/>
        <w:keepNext w:val="0"/>
        <w:keepLines w:val="0"/>
        <w:pageBreakBefore w:val="0"/>
        <w:widowControl w:val="0"/>
        <w:kinsoku/>
        <w:wordWrap/>
        <w:overflowPunct/>
        <w:topLinePunct w:val="0"/>
        <w:autoSpaceDE/>
        <w:autoSpaceDN/>
        <w:bidi w:val="0"/>
        <w:adjustRightInd/>
        <w:snapToGrid/>
        <w:spacing w:line="540" w:lineRule="exact"/>
        <w:ind w:firstLine="4764" w:firstLineChars="1489"/>
        <w:jc w:val="both"/>
        <w:textAlignment w:val="auto"/>
        <w:rPr>
          <w:rFonts w:hint="eastAsia" w:ascii="仿宋_GB2312" w:hAnsi="仿宋_GB2312" w:eastAsia="仿宋_GB2312" w:cs="仿宋_GB2312"/>
          <w:color w:val="000000"/>
          <w:kern w:val="21"/>
          <w:sz w:val="32"/>
          <w:szCs w:val="32"/>
          <w:lang w:val="en-US" w:eastAsia="zh-CN" w:bidi="ar"/>
        </w:rPr>
      </w:pPr>
    </w:p>
    <w:p w14:paraId="743D9BF7">
      <w:pPr>
        <w:pStyle w:val="15"/>
        <w:keepNext w:val="0"/>
        <w:keepLines w:val="0"/>
        <w:pageBreakBefore w:val="0"/>
        <w:widowControl w:val="0"/>
        <w:kinsoku/>
        <w:wordWrap/>
        <w:overflowPunct/>
        <w:topLinePunct w:val="0"/>
        <w:autoSpaceDE/>
        <w:autoSpaceDN/>
        <w:bidi w:val="0"/>
        <w:adjustRightInd/>
        <w:snapToGrid/>
        <w:spacing w:line="540" w:lineRule="exact"/>
        <w:ind w:firstLine="5718" w:firstLineChars="1787"/>
        <w:jc w:val="both"/>
        <w:textAlignment w:val="auto"/>
        <w:rPr>
          <w:rFonts w:hint="eastAsia" w:ascii="仿宋_GB2312" w:hAnsi="仿宋_GB2312" w:eastAsia="仿宋_GB2312" w:cs="仿宋_GB2312"/>
          <w:color w:val="auto"/>
          <w:sz w:val="32"/>
          <w:szCs w:val="32"/>
          <w:lang w:val="en-US" w:eastAsia="zh-CN" w:bidi="en-US"/>
        </w:rPr>
      </w:pPr>
      <w:r>
        <w:rPr>
          <w:rFonts w:hint="eastAsia" w:ascii="仿宋_GB2312" w:hAnsi="仿宋_GB2312" w:eastAsia="仿宋_GB2312" w:cs="仿宋_GB2312"/>
          <w:color w:val="000000"/>
          <w:kern w:val="21"/>
          <w:sz w:val="32"/>
          <w:szCs w:val="32"/>
          <w:lang w:val="en-US" w:eastAsia="zh-CN" w:bidi="ar"/>
        </w:rPr>
        <w:t xml:space="preserve"> </w:t>
      </w:r>
      <w:r>
        <w:rPr>
          <w:rFonts w:hint="eastAsia" w:ascii="仿宋_GB2312" w:hAnsi="仿宋_GB2312" w:eastAsia="仿宋_GB2312" w:cs="仿宋_GB2312"/>
          <w:color w:val="auto"/>
          <w:sz w:val="32"/>
          <w:szCs w:val="32"/>
          <w:lang w:val="en-US" w:eastAsia="zh-CN" w:bidi="en-US"/>
        </w:rPr>
        <w:t>2024年7月5日</w:t>
      </w:r>
    </w:p>
    <w:p w14:paraId="51F497E3">
      <w:pPr>
        <w:pStyle w:val="15"/>
        <w:keepNext w:val="0"/>
        <w:keepLines w:val="0"/>
        <w:pageBreakBefore w:val="0"/>
        <w:widowControl w:val="0"/>
        <w:kinsoku/>
        <w:wordWrap/>
        <w:overflowPunct/>
        <w:topLinePunct w:val="0"/>
        <w:autoSpaceDE/>
        <w:autoSpaceDN/>
        <w:bidi w:val="0"/>
        <w:adjustRightInd/>
        <w:snapToGrid/>
        <w:spacing w:after="469" w:afterLines="150" w:line="54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bidi="en-US"/>
        </w:rPr>
      </w:pPr>
    </w:p>
    <w:p w14:paraId="3A6B7B19">
      <w:pPr>
        <w:pStyle w:val="15"/>
        <w:keepNext w:val="0"/>
        <w:keepLines w:val="0"/>
        <w:pageBreakBefore w:val="0"/>
        <w:widowControl w:val="0"/>
        <w:kinsoku/>
        <w:wordWrap/>
        <w:overflowPunct/>
        <w:topLinePunct w:val="0"/>
        <w:autoSpaceDE/>
        <w:autoSpaceDN/>
        <w:bidi w:val="0"/>
        <w:adjustRightInd/>
        <w:snapToGrid/>
        <w:spacing w:after="469" w:afterLines="150" w:line="54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bidi="en-US"/>
        </w:rPr>
      </w:pPr>
    </w:p>
    <w:p w14:paraId="4B839444">
      <w:pPr>
        <w:pStyle w:val="15"/>
        <w:keepNext w:val="0"/>
        <w:keepLines w:val="0"/>
        <w:pageBreakBefore w:val="0"/>
        <w:widowControl w:val="0"/>
        <w:kinsoku/>
        <w:wordWrap/>
        <w:overflowPunct/>
        <w:topLinePunct w:val="0"/>
        <w:autoSpaceDE/>
        <w:autoSpaceDN/>
        <w:bidi w:val="0"/>
        <w:adjustRightInd/>
        <w:snapToGrid/>
        <w:spacing w:after="469" w:afterLines="150" w:line="54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bidi="en-US"/>
        </w:rPr>
      </w:pPr>
    </w:p>
    <w:p w14:paraId="41FF4F67">
      <w:pPr>
        <w:pStyle w:val="15"/>
        <w:keepNext w:val="0"/>
        <w:keepLines w:val="0"/>
        <w:pageBreakBefore w:val="0"/>
        <w:widowControl w:val="0"/>
        <w:kinsoku/>
        <w:wordWrap/>
        <w:overflowPunct/>
        <w:topLinePunct w:val="0"/>
        <w:autoSpaceDE/>
        <w:autoSpaceDN/>
        <w:bidi w:val="0"/>
        <w:adjustRightInd/>
        <w:snapToGrid/>
        <w:spacing w:after="469" w:afterLines="150" w:line="54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bidi="en-US"/>
        </w:rPr>
      </w:pPr>
      <w:bookmarkStart w:id="0" w:name="_GoBack"/>
      <w:bookmarkEnd w:id="0"/>
    </w:p>
    <w:p w14:paraId="199671EF">
      <w:pPr>
        <w:pStyle w:val="15"/>
        <w:keepNext w:val="0"/>
        <w:keepLines w:val="0"/>
        <w:pageBreakBefore w:val="0"/>
        <w:widowControl w:val="0"/>
        <w:kinsoku/>
        <w:wordWrap/>
        <w:overflowPunct/>
        <w:topLinePunct w:val="0"/>
        <w:autoSpaceDE/>
        <w:autoSpaceDN/>
        <w:bidi w:val="0"/>
        <w:adjustRightInd/>
        <w:snapToGrid/>
        <w:spacing w:after="469" w:afterLines="150" w:line="54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bidi="en-US"/>
        </w:rPr>
      </w:pPr>
    </w:p>
    <w:p w14:paraId="4B8D8810">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right="0"/>
        <w:jc w:val="center"/>
        <w:textAlignment w:val="auto"/>
        <w:rPr>
          <w:sz w:val="30"/>
          <w:szCs w:val="30"/>
        </w:rPr>
      </w:pPr>
      <w:r>
        <w:rPr>
          <w:rFonts w:hint="eastAsia" w:ascii="仿宋_GB2312" w:hAnsi="仿宋_GB2312" w:eastAsia="仿宋_GB2312" w:cs="仿宋_GB2312"/>
          <w:color w:val="000000"/>
          <w:kern w:val="2"/>
          <w:sz w:val="30"/>
          <w:szCs w:val="30"/>
          <w:lang w:val="en-US" w:eastAsia="zh-CN" w:bidi="ar"/>
        </w:rPr>
        <w:t>冠县自然资源和规划局</w:t>
      </w:r>
      <w:r>
        <w:rPr>
          <w:rFonts w:hint="eastAsia" w:ascii="仿宋_GB2312" w:hAnsi="仿宋_GB2312" w:eastAsia="仿宋_GB2312" w:cs="仿宋_GB2312"/>
          <w:color w:val="000000"/>
          <w:kern w:val="2"/>
          <w:sz w:val="30"/>
          <w:szCs w:val="30"/>
          <w:lang w:val="en-US" w:eastAsia="zh-CN" w:bidi="ar"/>
        </w:rPr>
        <mc:AlternateContent>
          <mc:Choice Requires="wps">
            <w:drawing>
              <wp:anchor distT="0" distB="0" distL="114300" distR="114300" simplePos="0" relativeHeight="251661312" behindDoc="0" locked="0" layoutInCell="1" allowOverlap="1">
                <wp:simplePos x="0" y="0"/>
                <wp:positionH relativeFrom="column">
                  <wp:posOffset>-8890</wp:posOffset>
                </wp:positionH>
                <wp:positionV relativeFrom="paragraph">
                  <wp:posOffset>461645</wp:posOffset>
                </wp:positionV>
                <wp:extent cx="5334000"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7pt;margin-top:36.35pt;height:0.05pt;width:420pt;z-index:251661312;mso-width-relative:page;mso-height-relative:page;" filled="f" stroked="t" coordsize="21600,21600" o:gfxdata="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gVBY09cAAAAIAQAADwAAAAAAAAABACAAAAAiAAAAZHJzL2Rvd25yZXYu&#10;eG1sUEsBAhQAFAAAAAgAh07iQGt3ZAv8AQAA9AMAAA4AAAAAAAAAAQAgAAAAJgEAAGRycy9lMm9E&#10;b2MueG1sUEsFBgAAAAAGAAYAWQEAAJQFAAAAAA==&#10;">
                <v:fill on="f" focussize="0,0"/>
                <v:stroke color="#000000" joinstyle="round"/>
                <v:imagedata o:title=""/>
                <o:lock v:ext="edit" aspectratio="f"/>
              </v:line>
            </w:pict>
          </mc:Fallback>
        </mc:AlternateContent>
      </w:r>
      <w:r>
        <w:rPr>
          <w:rFonts w:hint="default" w:ascii="仿宋_GB2312" w:hAnsi="仿宋_GB2312" w:eastAsia="仿宋_GB2312" w:cs="仿宋_GB2312"/>
          <w:color w:val="000000"/>
          <w:kern w:val="2"/>
          <w:sz w:val="30"/>
          <w:szCs w:val="30"/>
          <w:lang w:val="en-US" w:eastAsia="zh-CN" w:bidi="ar"/>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6350</wp:posOffset>
                </wp:positionV>
                <wp:extent cx="53340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pt;margin-top:0.5pt;height:0.05pt;width:420pt;z-index:251660288;mso-width-relative:page;mso-height-relative:page;" filled="f" stroked="t" coordsize="21600,21600" o:gfxdata="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I9FLO0gAAAAUBAAAPAAAAAAAAAAEAIAAAACIAAABkcnMvZG93bnJldi54bWxQSwEC&#10;FAAUAAAACACHTuJAa4FPA/oBAAD0AwAADgAAAAAAAAABACAAAAAhAQAAZHJzL2Uyb0RvYy54bWxQ&#10;SwUGAAAAAAYABgBZAQAAjQUAAAAA&#10;">
                <v:fill on="f" focussize="0,0"/>
                <v:stroke color="#000000" joinstyle="round"/>
                <v:imagedata o:title=""/>
                <o:lock v:ext="edit" aspectratio="f"/>
              </v:line>
            </w:pict>
          </mc:Fallback>
        </mc:AlternateContent>
      </w:r>
      <w:r>
        <w:rPr>
          <w:rFonts w:hint="eastAsia" w:ascii="仿宋_GB2312" w:hAnsi="仿宋_GB2312" w:eastAsia="仿宋_GB2312" w:cs="仿宋_GB2312"/>
          <w:color w:val="000000"/>
          <w:kern w:val="2"/>
          <w:sz w:val="30"/>
          <w:szCs w:val="30"/>
          <w:lang w:val="en-US" w:eastAsia="zh-CN" w:bidi="ar"/>
        </w:rPr>
        <w:t xml:space="preserve">                  2024年7月</w:t>
      </w:r>
      <w:r>
        <w:rPr>
          <w:rFonts w:hint="eastAsia" w:ascii="仿宋_GB2312" w:hAnsi="仿宋_GB2312" w:cs="仿宋_GB2312"/>
          <w:color w:val="000000"/>
          <w:kern w:val="2"/>
          <w:sz w:val="30"/>
          <w:szCs w:val="30"/>
          <w:lang w:val="en-US" w:eastAsia="zh-CN" w:bidi="ar"/>
        </w:rPr>
        <w:t>5</w:t>
      </w:r>
      <w:r>
        <w:rPr>
          <w:rFonts w:hint="eastAsia" w:ascii="仿宋_GB2312" w:hAnsi="仿宋_GB2312" w:eastAsia="仿宋_GB2312" w:cs="仿宋_GB2312"/>
          <w:color w:val="000000"/>
          <w:kern w:val="2"/>
          <w:sz w:val="30"/>
          <w:szCs w:val="30"/>
          <w:lang w:val="en-US" w:eastAsia="zh-CN" w:bidi="ar"/>
        </w:rPr>
        <w:t>日印发</w:t>
      </w:r>
    </w:p>
    <w:sectPr>
      <w:footerReference r:id="rId3" w:type="default"/>
      <w:type w:val="continuous"/>
      <w:pgSz w:w="11916" w:h="17350"/>
      <w:pgMar w:top="1701" w:right="1701" w:bottom="1701" w:left="1701" w:header="720" w:footer="1417" w:gutter="0"/>
      <w:pgNumType w:fmt="numberInDash"/>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大标宋简体">
    <w:altName w:val="微软雅黑"/>
    <w:panose1 w:val="02000000000000000000"/>
    <w:charset w:val="86"/>
    <w:family w:val="auto"/>
    <w:pitch w:val="default"/>
    <w:sig w:usb0="00000000" w:usb1="00000000" w:usb2="00000012" w:usb3="00000000" w:csb0="00040001" w:csb1="00000000"/>
  </w:font>
  <w:font w:name="方正小标宋简体">
    <w:panose1 w:val="03000509000000000000"/>
    <w:charset w:val="86"/>
    <w:family w:val="swiss"/>
    <w:pitch w:val="default"/>
    <w:sig w:usb0="00000001" w:usb1="080E0000" w:usb2="00000000" w:usb3="00000000" w:csb0="00040000" w:csb1="00000000"/>
  </w:font>
  <w:font w:name="FangSong_GB2312">
    <w:altName w:val="仿宋_GB2312"/>
    <w:panose1 w:val="00000000000000000000"/>
    <w:charset w:val="86"/>
    <w:family w:val="swiss"/>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KaiTi_GB2312">
    <w:altName w:val="楷体"/>
    <w:panose1 w:val="00000000000000000000"/>
    <w:charset w:val="86"/>
    <w:family w:val="swiss"/>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2433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D41615">
                          <w:pPr>
                            <w:pStyle w:val="4"/>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8D41615">
                    <w:pPr>
                      <w:pStyle w:val="4"/>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20BA3324"/>
    <w:rsid w:val="00D24FF0"/>
    <w:rsid w:val="01B464A4"/>
    <w:rsid w:val="025832D3"/>
    <w:rsid w:val="02DE5ECF"/>
    <w:rsid w:val="037C5875"/>
    <w:rsid w:val="03B629A7"/>
    <w:rsid w:val="04402271"/>
    <w:rsid w:val="04B073F7"/>
    <w:rsid w:val="067A5F0E"/>
    <w:rsid w:val="069A569A"/>
    <w:rsid w:val="06B423B5"/>
    <w:rsid w:val="0802440D"/>
    <w:rsid w:val="08CA47FF"/>
    <w:rsid w:val="09C94AB7"/>
    <w:rsid w:val="0ACD2EFA"/>
    <w:rsid w:val="0AFA5B66"/>
    <w:rsid w:val="0BAB0918"/>
    <w:rsid w:val="0C2F32F7"/>
    <w:rsid w:val="0C5E598A"/>
    <w:rsid w:val="0C9D2956"/>
    <w:rsid w:val="0D3D7C96"/>
    <w:rsid w:val="0D906813"/>
    <w:rsid w:val="0DDC300B"/>
    <w:rsid w:val="0EC87A33"/>
    <w:rsid w:val="0F0F11BE"/>
    <w:rsid w:val="123F67F5"/>
    <w:rsid w:val="124473D0"/>
    <w:rsid w:val="145E4DF3"/>
    <w:rsid w:val="14B33FBA"/>
    <w:rsid w:val="150D43F1"/>
    <w:rsid w:val="15806971"/>
    <w:rsid w:val="170369D9"/>
    <w:rsid w:val="189F1527"/>
    <w:rsid w:val="1B486183"/>
    <w:rsid w:val="1E776DB0"/>
    <w:rsid w:val="1F8654CC"/>
    <w:rsid w:val="20BA3324"/>
    <w:rsid w:val="20E24984"/>
    <w:rsid w:val="231921B3"/>
    <w:rsid w:val="238B1303"/>
    <w:rsid w:val="25626093"/>
    <w:rsid w:val="2835183D"/>
    <w:rsid w:val="28417CD5"/>
    <w:rsid w:val="286D7229"/>
    <w:rsid w:val="2AB033FD"/>
    <w:rsid w:val="2D3622E0"/>
    <w:rsid w:val="2E5073D1"/>
    <w:rsid w:val="2E9E23F9"/>
    <w:rsid w:val="2FE9188B"/>
    <w:rsid w:val="31EB11BF"/>
    <w:rsid w:val="32892EB1"/>
    <w:rsid w:val="32B53CA7"/>
    <w:rsid w:val="35521C81"/>
    <w:rsid w:val="36405F7D"/>
    <w:rsid w:val="3687595A"/>
    <w:rsid w:val="38003C16"/>
    <w:rsid w:val="38575800"/>
    <w:rsid w:val="3AD62A0C"/>
    <w:rsid w:val="3B1422E2"/>
    <w:rsid w:val="3D164601"/>
    <w:rsid w:val="3D1837B0"/>
    <w:rsid w:val="3D754A06"/>
    <w:rsid w:val="3DA36040"/>
    <w:rsid w:val="3DD5344F"/>
    <w:rsid w:val="402B1A4C"/>
    <w:rsid w:val="409969B6"/>
    <w:rsid w:val="411F30B2"/>
    <w:rsid w:val="4186517B"/>
    <w:rsid w:val="425863FC"/>
    <w:rsid w:val="42B71375"/>
    <w:rsid w:val="43122A4F"/>
    <w:rsid w:val="43B458B4"/>
    <w:rsid w:val="44006D4C"/>
    <w:rsid w:val="445C6678"/>
    <w:rsid w:val="44A21BB1"/>
    <w:rsid w:val="45CC6735"/>
    <w:rsid w:val="46A03D08"/>
    <w:rsid w:val="47C86E80"/>
    <w:rsid w:val="48E80F4D"/>
    <w:rsid w:val="494575E3"/>
    <w:rsid w:val="49E051BD"/>
    <w:rsid w:val="4AF62C56"/>
    <w:rsid w:val="4B410375"/>
    <w:rsid w:val="4B9C0C9C"/>
    <w:rsid w:val="4DE247A0"/>
    <w:rsid w:val="4F1162B1"/>
    <w:rsid w:val="500D0826"/>
    <w:rsid w:val="501A1195"/>
    <w:rsid w:val="50854860"/>
    <w:rsid w:val="52FE6B4C"/>
    <w:rsid w:val="53360094"/>
    <w:rsid w:val="53A414A2"/>
    <w:rsid w:val="54843081"/>
    <w:rsid w:val="562035D8"/>
    <w:rsid w:val="56ED7603"/>
    <w:rsid w:val="58810003"/>
    <w:rsid w:val="5AB02E22"/>
    <w:rsid w:val="5B9B5880"/>
    <w:rsid w:val="5BDF7600"/>
    <w:rsid w:val="5CAE513F"/>
    <w:rsid w:val="5F1119B5"/>
    <w:rsid w:val="5FB52C88"/>
    <w:rsid w:val="607C7302"/>
    <w:rsid w:val="60A46F85"/>
    <w:rsid w:val="6200643D"/>
    <w:rsid w:val="626A7D5A"/>
    <w:rsid w:val="62FD297C"/>
    <w:rsid w:val="669B2BD8"/>
    <w:rsid w:val="67AB0BF9"/>
    <w:rsid w:val="6888718C"/>
    <w:rsid w:val="6A244C92"/>
    <w:rsid w:val="6B167357"/>
    <w:rsid w:val="6B2018FE"/>
    <w:rsid w:val="6B291D9C"/>
    <w:rsid w:val="6BDF5315"/>
    <w:rsid w:val="6CAB169B"/>
    <w:rsid w:val="6CD56718"/>
    <w:rsid w:val="6CDF292F"/>
    <w:rsid w:val="6D6A50B2"/>
    <w:rsid w:val="6F35524C"/>
    <w:rsid w:val="6F881820"/>
    <w:rsid w:val="6FD827A7"/>
    <w:rsid w:val="70B12FF8"/>
    <w:rsid w:val="727644F9"/>
    <w:rsid w:val="72FB055A"/>
    <w:rsid w:val="731F249B"/>
    <w:rsid w:val="73571C35"/>
    <w:rsid w:val="75834F63"/>
    <w:rsid w:val="762D0660"/>
    <w:rsid w:val="77A67671"/>
    <w:rsid w:val="78615304"/>
    <w:rsid w:val="78EA70A7"/>
    <w:rsid w:val="7A0423EA"/>
    <w:rsid w:val="7D344D95"/>
    <w:rsid w:val="7EA97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jc w:val="both"/>
    </w:pPr>
    <w:rPr>
      <w:rFonts w:ascii="Times New Roman" w:hAnsi="Times New Roman" w:eastAsia="宋体" w:cs="Times New Roman"/>
      <w:kern w:val="2"/>
      <w:sz w:val="21"/>
    </w:rPr>
  </w:style>
  <w:style w:type="paragraph" w:styleId="3">
    <w:name w:val="heading 3"/>
    <w:basedOn w:val="1"/>
    <w:next w:val="1"/>
    <w:qFormat/>
    <w:uiPriority w:val="9"/>
    <w:pPr>
      <w:keepNext/>
      <w:keepLines/>
      <w:spacing w:beforeLines="50" w:afterLines="50" w:line="580" w:lineRule="atLeast"/>
      <w:jc w:val="center"/>
      <w:outlineLvl w:val="2"/>
    </w:pPr>
    <w:rPr>
      <w:rFonts w:ascii="Calibri" w:hAnsi="Calibri" w:eastAsia="楷体_GB2312"/>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CM2"/>
    <w:basedOn w:val="9"/>
    <w:next w:val="9"/>
    <w:unhideWhenUsed/>
    <w:qFormat/>
    <w:uiPriority w:val="99"/>
    <w:pPr>
      <w:spacing w:beforeLines="0" w:afterLines="0" w:line="580" w:lineRule="atLeast"/>
    </w:pPr>
    <w:rPr>
      <w:rFonts w:hint="default"/>
      <w:sz w:val="24"/>
      <w:szCs w:val="24"/>
    </w:rPr>
  </w:style>
  <w:style w:type="paragraph" w:customStyle="1" w:styleId="9">
    <w:name w:val="Default"/>
    <w:unhideWhenUsed/>
    <w:qFormat/>
    <w:uiPriority w:val="99"/>
    <w:pPr>
      <w:widowControl w:val="0"/>
      <w:autoSpaceDE w:val="0"/>
      <w:autoSpaceDN w:val="0"/>
      <w:adjustRightInd w:val="0"/>
      <w:spacing w:beforeLines="0" w:afterLines="0"/>
    </w:pPr>
    <w:rPr>
      <w:rFonts w:hint="eastAsia" w:ascii="黑体" w:hAnsi="黑体" w:eastAsia="黑体" w:cs="Times New Roman"/>
      <w:color w:val="000000"/>
      <w:sz w:val="24"/>
      <w:szCs w:val="24"/>
    </w:rPr>
  </w:style>
  <w:style w:type="paragraph" w:customStyle="1" w:styleId="10">
    <w:name w:val="CM3"/>
    <w:basedOn w:val="9"/>
    <w:next w:val="9"/>
    <w:unhideWhenUsed/>
    <w:qFormat/>
    <w:uiPriority w:val="99"/>
    <w:pPr>
      <w:spacing w:beforeLines="0" w:afterLines="0" w:line="580" w:lineRule="atLeast"/>
    </w:pPr>
    <w:rPr>
      <w:rFonts w:hint="default"/>
      <w:sz w:val="24"/>
      <w:szCs w:val="24"/>
    </w:rPr>
  </w:style>
  <w:style w:type="paragraph" w:customStyle="1" w:styleId="11">
    <w:name w:val="CM4"/>
    <w:basedOn w:val="9"/>
    <w:next w:val="9"/>
    <w:unhideWhenUsed/>
    <w:qFormat/>
    <w:uiPriority w:val="99"/>
    <w:pPr>
      <w:spacing w:beforeLines="0" w:afterLines="0" w:line="580" w:lineRule="atLeast"/>
    </w:pPr>
    <w:rPr>
      <w:rFonts w:hint="default"/>
      <w:sz w:val="24"/>
      <w:szCs w:val="24"/>
    </w:rPr>
  </w:style>
  <w:style w:type="paragraph" w:customStyle="1" w:styleId="12">
    <w:name w:val="CM5"/>
    <w:basedOn w:val="9"/>
    <w:next w:val="9"/>
    <w:unhideWhenUsed/>
    <w:qFormat/>
    <w:uiPriority w:val="99"/>
    <w:pPr>
      <w:spacing w:beforeLines="0" w:afterLines="0" w:line="580" w:lineRule="atLeast"/>
    </w:pPr>
    <w:rPr>
      <w:rFonts w:hint="default"/>
      <w:sz w:val="24"/>
      <w:szCs w:val="24"/>
    </w:rPr>
  </w:style>
  <w:style w:type="paragraph" w:customStyle="1" w:styleId="13">
    <w:name w:val="CM7"/>
    <w:basedOn w:val="9"/>
    <w:next w:val="9"/>
    <w:unhideWhenUsed/>
    <w:qFormat/>
    <w:uiPriority w:val="99"/>
    <w:pPr>
      <w:spacing w:beforeLines="0" w:afterLines="0"/>
    </w:pPr>
    <w:rPr>
      <w:rFonts w:hint="default"/>
      <w:sz w:val="24"/>
      <w:szCs w:val="24"/>
    </w:rPr>
  </w:style>
  <w:style w:type="paragraph" w:customStyle="1" w:styleId="14">
    <w:name w:val="CM1"/>
    <w:basedOn w:val="9"/>
    <w:next w:val="9"/>
    <w:unhideWhenUsed/>
    <w:qFormat/>
    <w:uiPriority w:val="99"/>
    <w:pPr>
      <w:spacing w:beforeLines="0" w:afterLines="0" w:line="573" w:lineRule="atLeast"/>
    </w:pPr>
    <w:rPr>
      <w:rFonts w:hint="default"/>
      <w:sz w:val="24"/>
      <w:szCs w:val="24"/>
    </w:rPr>
  </w:style>
  <w:style w:type="paragraph" w:customStyle="1" w:styleId="15">
    <w:name w:val="Body text|1"/>
    <w:basedOn w:val="1"/>
    <w:qFormat/>
    <w:uiPriority w:val="0"/>
    <w:pPr>
      <w:spacing w:line="468" w:lineRule="auto"/>
      <w:ind w:firstLine="400"/>
    </w:pPr>
    <w:rPr>
      <w:rFonts w:ascii="宋体" w:hAnsi="宋体" w:eastAsia="宋体" w:cs="宋体"/>
      <w:color w:val="4D4C4A"/>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3989</Words>
  <Characters>4003</Characters>
  <Lines>0</Lines>
  <Paragraphs>0</Paragraphs>
  <TotalTime>3</TotalTime>
  <ScaleCrop>false</ScaleCrop>
  <LinksUpToDate>false</LinksUpToDate>
  <CharactersWithSpaces>4064</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2024-06-16T09:46:00Z</dcterms:created>
  <dc:creator>Administrator</dc:creator>
  <cp:lastModifiedBy>cookie</cp:lastModifiedBy>
  <dcterms:modified xsi:type="dcterms:W3CDTF">2024-07-19T03:27:26Z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ICV">
    <vt:lpwstr>2AA5AB28D80641149435A4C4C1DD192E_13</vt:lpwstr>
  </property>
</Properties>
</file>