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5C247">
      <w:pPr>
        <w:pStyle w:val="2"/>
      </w:pPr>
    </w:p>
    <w:p w14:paraId="4960FB73">
      <w:pPr>
        <w:spacing w:line="6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32"/>
          <w:szCs w:val="32"/>
        </w:rPr>
        <w:t>冠住建字【2024】17号</w:t>
      </w:r>
      <w:bookmarkStart w:id="0" w:name="_GoBack"/>
      <w:bookmarkEnd w:id="0"/>
    </w:p>
    <w:p w14:paraId="3E7D656B"/>
    <w:p w14:paraId="6E4B82F7">
      <w:pPr>
        <w:spacing w:line="6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关于印发《冠县办理不动产权证发放消费券活动实施方案》的通知</w:t>
      </w:r>
    </w:p>
    <w:p w14:paraId="47A92417">
      <w:pPr>
        <w:pStyle w:val="2"/>
        <w:rPr>
          <w:rFonts w:ascii="仿宋" w:eastAsia="仿宋" w:cs="仿宋"/>
          <w:sz w:val="32"/>
          <w:szCs w:val="32"/>
        </w:rPr>
      </w:pPr>
    </w:p>
    <w:p w14:paraId="3C2A484A">
      <w:pPr>
        <w:pStyle w:val="2"/>
        <w:spacing w:after="0" w:line="580" w:lineRule="exact"/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县直各有关部门（单位），各街道办事处、乡镇人民政府：</w:t>
      </w:r>
    </w:p>
    <w:p w14:paraId="623753E8">
      <w:pPr>
        <w:pStyle w:val="2"/>
        <w:spacing w:after="0" w:line="580" w:lineRule="exact"/>
        <w:ind w:firstLine="640" w:firstLineChars="200"/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《冠县办理不动产权证发放消费券活动实施方案》已经县政府同意，现印发你们，请结合实际认真贯彻落实。</w:t>
      </w:r>
    </w:p>
    <w:p w14:paraId="22124AA1">
      <w:pPr>
        <w:rPr>
          <w:rFonts w:ascii="仿宋" w:eastAsia="仿宋" w:cs="仿宋"/>
          <w:sz w:val="32"/>
          <w:szCs w:val="32"/>
        </w:rPr>
      </w:pPr>
    </w:p>
    <w:p w14:paraId="2B995B6D">
      <w:pPr>
        <w:rPr>
          <w:rFonts w:ascii="仿宋" w:eastAsia="仿宋" w:cs="仿宋"/>
          <w:sz w:val="32"/>
          <w:szCs w:val="32"/>
        </w:rPr>
      </w:pPr>
    </w:p>
    <w:p w14:paraId="680C58DE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3454FF82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03217D1D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冠县住房和城乡建设局          冠县财政局</w:t>
      </w:r>
    </w:p>
    <w:p w14:paraId="588A00BA">
      <w:pPr>
        <w:pStyle w:val="2"/>
        <w:rPr>
          <w:rFonts w:ascii="仿宋" w:eastAsia="仿宋" w:cs="仿宋"/>
          <w:sz w:val="32"/>
          <w:szCs w:val="32"/>
        </w:rPr>
      </w:pPr>
    </w:p>
    <w:p w14:paraId="36EDB8E8">
      <w:pPr>
        <w:rPr>
          <w:rFonts w:ascii="仿宋" w:eastAsia="仿宋" w:cs="仿宋"/>
          <w:sz w:val="32"/>
          <w:szCs w:val="32"/>
        </w:rPr>
      </w:pPr>
    </w:p>
    <w:p w14:paraId="159EF238">
      <w:pPr>
        <w:pStyle w:val="2"/>
        <w:rPr>
          <w:rFonts w:ascii="仿宋" w:eastAsia="仿宋" w:cs="仿宋"/>
          <w:sz w:val="32"/>
          <w:szCs w:val="32"/>
        </w:rPr>
      </w:pPr>
    </w:p>
    <w:p w14:paraId="46A9A9F4">
      <w:pPr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冠县自然资源和规划局      冠县商务和投资促进局</w:t>
      </w:r>
    </w:p>
    <w:p w14:paraId="4BEF7412">
      <w:pPr>
        <w:pStyle w:val="2"/>
        <w:ind w:firstLine="640"/>
        <w:rPr>
          <w:rFonts w:ascii="仿宋_GB2312" w:eastAsia="仿宋_GB2312" w:cs="仿宋_GB2312"/>
        </w:rPr>
      </w:pPr>
    </w:p>
    <w:p w14:paraId="76695422">
      <w:pPr>
        <w:rPr>
          <w:rFonts w:ascii="仿宋_GB2312" w:eastAsia="仿宋_GB2312" w:cs="仿宋_GB2312"/>
        </w:rPr>
      </w:pPr>
    </w:p>
    <w:p w14:paraId="0FBE1D1E">
      <w:pPr>
        <w:pStyle w:val="2"/>
        <w:rPr>
          <w:rFonts w:ascii="仿宋_GB2312" w:eastAsia="仿宋_GB2312" w:cs="仿宋_GB2312"/>
        </w:rPr>
      </w:pPr>
    </w:p>
    <w:p w14:paraId="591D4E75">
      <w:pPr>
        <w:rPr>
          <w:rFonts w:ascii="仿宋_GB2312" w:eastAsia="仿宋_GB2312" w:cs="仿宋_GB2312"/>
        </w:rPr>
      </w:pPr>
    </w:p>
    <w:p w14:paraId="46907CD0">
      <w:pPr>
        <w:pStyle w:val="2"/>
        <w:rPr>
          <w:rFonts w:ascii="仿宋_GB2312" w:eastAsia="仿宋_GB2312" w:cs="仿宋_GB2312"/>
        </w:rPr>
      </w:pPr>
    </w:p>
    <w:p w14:paraId="199DCCF5">
      <w:pPr>
        <w:rPr>
          <w:rFonts w:ascii="仿宋_GB2312" w:eastAsia="仿宋_GB2312" w:cs="仿宋_GB2312"/>
        </w:rPr>
      </w:pPr>
    </w:p>
    <w:p w14:paraId="349EEBF8">
      <w:pPr>
        <w:pStyle w:val="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</w:rPr>
        <w:t xml:space="preserve">   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  <w:t>冠县政务服务和大数据中心</w:t>
      </w:r>
      <w:r>
        <w:rPr>
          <w:rFonts w:hint="eastAsia" w:ascii="仿宋_GB2312" w:eastAsia="仿宋_GB2312" w:cs="仿宋_GB2312"/>
          <w:sz w:val="32"/>
          <w:szCs w:val="32"/>
        </w:rPr>
        <w:t xml:space="preserve">   国家税务总局冠县税务局</w:t>
      </w:r>
    </w:p>
    <w:p w14:paraId="42FB28DF">
      <w:pPr>
        <w:ind w:firstLine="5120" w:firstLineChars="1600"/>
      </w:pPr>
      <w:r>
        <w:rPr>
          <w:rFonts w:hint="eastAsia" w:ascii="仿宋_GB2312" w:eastAsia="仿宋_GB2312" w:cs="仿宋_GB2312"/>
          <w:sz w:val="32"/>
          <w:szCs w:val="32"/>
        </w:rPr>
        <w:t>2024年9月30日</w:t>
      </w:r>
    </w:p>
    <w:p w14:paraId="08C103FB">
      <w:pPr>
        <w:pStyle w:val="2"/>
        <w:spacing w:after="0" w:line="600" w:lineRule="exac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（此件主动公开）</w:t>
      </w:r>
    </w:p>
    <w:p w14:paraId="62FBF7B9">
      <w:pPr>
        <w:pStyle w:val="2"/>
        <w:spacing w:after="0" w:line="6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冠县办理不动产权证发放消费券活动</w:t>
      </w:r>
    </w:p>
    <w:p w14:paraId="78DF7127">
      <w:pPr>
        <w:pStyle w:val="2"/>
        <w:spacing w:after="0" w:line="6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实施方案</w:t>
      </w:r>
    </w:p>
    <w:p w14:paraId="23EC2673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 w14:paraId="529D0A3E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经</w:t>
      </w:r>
      <w:r>
        <w:rPr>
          <w:rFonts w:hint="eastAsia" w:eastAsia="仿宋_GB2312"/>
          <w:sz w:val="32"/>
          <w:szCs w:val="32"/>
        </w:rPr>
        <w:t>县</w:t>
      </w:r>
      <w:r>
        <w:rPr>
          <w:rFonts w:eastAsia="仿宋_GB2312"/>
          <w:sz w:val="32"/>
          <w:szCs w:val="32"/>
        </w:rPr>
        <w:t>政府研究同意，决定</w:t>
      </w:r>
      <w:r>
        <w:rPr>
          <w:rFonts w:hint="eastAsia" w:eastAsia="仿宋_GB2312"/>
          <w:sz w:val="32"/>
          <w:szCs w:val="32"/>
        </w:rPr>
        <w:t>在我县</w:t>
      </w:r>
      <w:r>
        <w:rPr>
          <w:rFonts w:eastAsia="仿宋_GB2312"/>
          <w:sz w:val="32"/>
          <w:szCs w:val="32"/>
        </w:rPr>
        <w:t>开展办理不动产权证发放消费券活动。具体实施方案如下：</w:t>
      </w:r>
    </w:p>
    <w:p w14:paraId="7157146C">
      <w:pPr>
        <w:pStyle w:val="19"/>
        <w:widowControl w:val="0"/>
        <w:spacing w:line="580" w:lineRule="exact"/>
        <w:ind w:firstLine="640"/>
        <w:rPr>
          <w:rFonts w:ascii="Times New Roman"/>
          <w:kern w:val="2"/>
        </w:rPr>
      </w:pPr>
      <w:r>
        <w:rPr>
          <w:rFonts w:ascii="Times New Roman" w:eastAsia="黑体"/>
          <w:kern w:val="2"/>
        </w:rPr>
        <w:t>一、活动背景</w:t>
      </w:r>
    </w:p>
    <w:p w14:paraId="60557235">
      <w:pPr>
        <w:spacing w:line="580" w:lineRule="exact"/>
        <w:ind w:firstLine="640" w:firstLineChars="20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为进一步推进我县不动产证办理工作，切实保障购房业主合法权益，参照《聊城市办理不动产权证发放消费券活动实施方案》，决定在我县开展新一轮办理不动产权证发放消费券活动。</w:t>
      </w:r>
    </w:p>
    <w:p w14:paraId="0D5BC851">
      <w:pPr>
        <w:pStyle w:val="19"/>
        <w:widowControl w:val="0"/>
        <w:spacing w:line="580" w:lineRule="exact"/>
        <w:ind w:firstLine="640"/>
        <w:rPr>
          <w:rFonts w:ascii="Times New Roman" w:eastAsia="黑体"/>
        </w:rPr>
      </w:pPr>
      <w:r>
        <w:rPr>
          <w:rFonts w:ascii="Times New Roman" w:eastAsia="黑体"/>
          <w:kern w:val="2"/>
        </w:rPr>
        <w:t>二、</w:t>
      </w:r>
      <w:r>
        <w:rPr>
          <w:rFonts w:ascii="Times New Roman" w:eastAsia="黑体"/>
        </w:rPr>
        <w:t>活动规则</w:t>
      </w:r>
    </w:p>
    <w:p w14:paraId="6E9126B3">
      <w:pPr>
        <w:pStyle w:val="19"/>
        <w:widowControl w:val="0"/>
        <w:spacing w:line="580" w:lineRule="exact"/>
        <w:ind w:firstLine="640"/>
        <w:rPr>
          <w:rFonts w:ascii="楷体_GB2312" w:eastAsia="楷体_GB2312" w:cs="楷体_GB2312"/>
          <w:kern w:val="2"/>
        </w:rPr>
      </w:pPr>
      <w:r>
        <w:rPr>
          <w:rFonts w:hint="eastAsia" w:ascii="楷体_GB2312" w:eastAsia="楷体_GB2312" w:cs="楷体_GB2312"/>
          <w:kern w:val="2"/>
        </w:rPr>
        <w:t>（一）活动时间</w:t>
      </w:r>
    </w:p>
    <w:p w14:paraId="5CA4676D">
      <w:pPr>
        <w:spacing w:line="5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本活动时间为2024年10月15日至2025年2月28日。</w:t>
      </w:r>
    </w:p>
    <w:p w14:paraId="7A3166D6">
      <w:pPr>
        <w:spacing w:line="580" w:lineRule="exact"/>
        <w:ind w:firstLine="640" w:firstLineChars="200"/>
        <w:rPr>
          <w:rFonts w:ascii="楷体_GB2312" w:eastAsia="楷体_GB2312" w:cs="楷体_GB2312"/>
          <w:sz w:val="32"/>
          <w:szCs w:val="32"/>
        </w:rPr>
      </w:pPr>
      <w:r>
        <w:rPr>
          <w:rFonts w:hint="eastAsia" w:ascii="楷体_GB2312" w:eastAsia="楷体_GB2312" w:cs="楷体_GB2312"/>
          <w:sz w:val="32"/>
          <w:szCs w:val="32"/>
        </w:rPr>
        <w:t>（二）适用范围</w:t>
      </w:r>
    </w:p>
    <w:p w14:paraId="4B42BA81">
      <w:pPr>
        <w:pStyle w:val="2"/>
        <w:spacing w:after="0" w:line="58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本活动实施方案适用全县范围内增量房（一手房</w:t>
      </w:r>
      <w:r>
        <w:rPr>
          <w:rFonts w:hint="eastAsia"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且不含回迁安置房）。</w:t>
      </w:r>
    </w:p>
    <w:p w14:paraId="5FB070F8">
      <w:pPr>
        <w:spacing w:line="580" w:lineRule="exact"/>
        <w:ind w:firstLine="640" w:firstLineChars="200"/>
        <w:rPr>
          <w:rFonts w:ascii="楷体_GB2312" w:eastAsia="楷体_GB2312" w:cs="楷体_GB2312"/>
          <w:sz w:val="32"/>
          <w:szCs w:val="32"/>
        </w:rPr>
      </w:pPr>
      <w:r>
        <w:rPr>
          <w:rFonts w:hint="eastAsia" w:ascii="楷体_GB2312" w:eastAsia="楷体_GB2312" w:cs="楷体_GB2312"/>
          <w:sz w:val="32"/>
          <w:szCs w:val="32"/>
        </w:rPr>
        <w:t>（三）适用对象</w:t>
      </w:r>
    </w:p>
    <w:p w14:paraId="2944B3B7">
      <w:pPr>
        <w:spacing w:line="5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实施对象为活动期间内在我县成功办理不动产权证的增量房（一手房，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且不含回迁安置房</w:t>
      </w:r>
      <w:r>
        <w:rPr>
          <w:rFonts w:hint="eastAsia" w:ascii="仿宋_GB2312" w:eastAsia="仿宋_GB2312" w:cs="仿宋_GB2312"/>
          <w:sz w:val="32"/>
          <w:szCs w:val="32"/>
        </w:rPr>
        <w:t>）且成功缴纳契税的自然人。</w:t>
      </w:r>
    </w:p>
    <w:p w14:paraId="3F11E1AA">
      <w:pPr>
        <w:spacing w:line="5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本活动用户需实名认证，以身份证号登记注册为准。活动期间同一不动产权证只有1次领取消费券的机会。若存在一个不动产权证登记多个产权人的情况，仅可由其中一个产权人参与本活动。</w:t>
      </w:r>
    </w:p>
    <w:p w14:paraId="2CAFB9A3">
      <w:pPr>
        <w:spacing w:line="580" w:lineRule="exact"/>
        <w:ind w:firstLine="640" w:firstLineChars="200"/>
        <w:rPr>
          <w:rFonts w:ascii="楷体_GB2312" w:eastAsia="楷体_GB2312" w:cs="楷体_GB2312"/>
          <w:sz w:val="32"/>
          <w:szCs w:val="32"/>
        </w:rPr>
      </w:pPr>
      <w:r>
        <w:rPr>
          <w:rFonts w:hint="eastAsia" w:ascii="楷体_GB2312" w:eastAsia="楷体_GB2312" w:cs="楷体_GB2312"/>
          <w:sz w:val="32"/>
          <w:szCs w:val="32"/>
        </w:rPr>
        <w:t>（四）消费券发放标准</w:t>
      </w:r>
    </w:p>
    <w:p w14:paraId="7AA529DB">
      <w:pPr>
        <w:spacing w:line="5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以不动产销售发票金额价款（不包含增值税税额部分）为基数发放消费券，消费券发放标准如下：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1"/>
        <w:gridCol w:w="1501"/>
        <w:gridCol w:w="1653"/>
        <w:gridCol w:w="3249"/>
      </w:tblGrid>
      <w:tr w14:paraId="57146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FB7EAC1">
            <w:pPr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不动产权证办理时间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5658A4">
            <w:pPr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房屋类型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E31DA3F">
            <w:pPr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房屋</w:t>
            </w:r>
            <w:r>
              <w:rPr>
                <w:rFonts w:hint="eastAsia" w:eastAsia="黑体"/>
                <w:color w:val="000000"/>
                <w:kern w:val="0"/>
                <w:sz w:val="28"/>
                <w:szCs w:val="28"/>
              </w:rPr>
              <w:t>总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价款</w:t>
            </w:r>
          </w:p>
        </w:tc>
        <w:tc>
          <w:tcPr>
            <w:tcW w:w="3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4F613F">
            <w:pPr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发放</w:t>
            </w:r>
            <w:r>
              <w:rPr>
                <w:rFonts w:hint="eastAsia" w:eastAsia="黑体"/>
                <w:color w:val="000000"/>
                <w:kern w:val="0"/>
                <w:sz w:val="28"/>
                <w:szCs w:val="28"/>
              </w:rPr>
              <w:t>消费券金额</w:t>
            </w:r>
          </w:p>
        </w:tc>
      </w:tr>
      <w:tr w14:paraId="18449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2D35B03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2024年10月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  <w:p w14:paraId="54B075B8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至2024年11月30日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5C7CF46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增量住房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87F87F7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FC25F0C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房屋总价款的0.40%</w:t>
            </w:r>
          </w:p>
        </w:tc>
      </w:tr>
      <w:tr w14:paraId="59026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2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C89515D"/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F070906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增量房非住房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B188F7A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87C32C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房屋总价款的0.40%</w:t>
            </w:r>
          </w:p>
        </w:tc>
      </w:tr>
      <w:tr w14:paraId="1B3C7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F2A7874">
            <w:pPr>
              <w:spacing w:line="40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2024年12月1日</w:t>
            </w:r>
          </w:p>
          <w:p w14:paraId="3DCBC596">
            <w:pPr>
              <w:spacing w:line="4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</w:rPr>
              <w:t>至2025年2月28日</w:t>
            </w:r>
          </w:p>
        </w:tc>
        <w:tc>
          <w:tcPr>
            <w:tcW w:w="64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00B53EF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按上述标准减半发放</w:t>
            </w:r>
          </w:p>
        </w:tc>
      </w:tr>
    </w:tbl>
    <w:p w14:paraId="2573787D">
      <w:pPr>
        <w:spacing w:line="5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其中，消费券单张面额为100元，不足100元部分不予发放。</w:t>
      </w:r>
    </w:p>
    <w:p w14:paraId="5D98CBF0">
      <w:pPr>
        <w:spacing w:line="580" w:lineRule="exact"/>
        <w:ind w:firstLine="640" w:firstLineChars="200"/>
        <w:rPr>
          <w:rFonts w:ascii="楷体_GB2312" w:eastAsia="楷体_GB2312" w:cs="楷体_GB2312"/>
          <w:bCs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Cs/>
          <w:color w:val="000000"/>
          <w:sz w:val="32"/>
          <w:szCs w:val="32"/>
        </w:rPr>
        <w:t>（五）消费券使用规则</w:t>
      </w:r>
    </w:p>
    <w:p w14:paraId="7F159704">
      <w:pPr>
        <w:spacing w:line="580" w:lineRule="exact"/>
        <w:ind w:firstLine="640" w:firstLineChars="200"/>
        <w:rPr>
          <w:rFonts w:asci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Cs/>
          <w:color w:val="000000"/>
          <w:sz w:val="32"/>
          <w:szCs w:val="32"/>
        </w:rPr>
        <w:t>消费券持有人应通过确定的平台，在符合条件的购物超市、商场等场所线下消费时对消费券核销使用。</w:t>
      </w:r>
    </w:p>
    <w:p w14:paraId="1C9951E3">
      <w:pPr>
        <w:spacing w:line="580" w:lineRule="exact"/>
        <w:ind w:firstLine="640" w:firstLineChars="200"/>
        <w:rPr>
          <w:rFonts w:asci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Cs/>
          <w:color w:val="000000"/>
          <w:sz w:val="32"/>
          <w:szCs w:val="32"/>
        </w:rPr>
        <w:t>消费金额每满200元，可使用1张消费券；每满400元，可使用2张消费券，以此类推，单次消费使用不限制张数。在对消费券核销后，账单存在的剩余金额由消费者另行支付。</w:t>
      </w:r>
    </w:p>
    <w:p w14:paraId="66273A47">
      <w:pPr>
        <w:spacing w:line="580" w:lineRule="exact"/>
        <w:ind w:firstLine="640" w:firstLineChars="200"/>
        <w:rPr>
          <w:rFonts w:asci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Cs/>
          <w:color w:val="000000"/>
          <w:sz w:val="32"/>
          <w:szCs w:val="32"/>
        </w:rPr>
        <w:t>消费券有效期为自领取之日起90日（含）内，且不晚于2025年5月30日，消费券不找零、不可重复使用，逾期作废、不予重发或补偿。发放的消费券，须在县域内使用。</w:t>
      </w:r>
    </w:p>
    <w:p w14:paraId="537C7DAB">
      <w:pPr>
        <w:spacing w:line="580" w:lineRule="exact"/>
        <w:ind w:firstLine="640" w:firstLineChars="200"/>
        <w:rPr>
          <w:rFonts w:ascii="楷体_GB2312" w:eastAsia="楷体_GB2312" w:cs="楷体_GB2312"/>
          <w:bCs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Cs/>
          <w:color w:val="000000"/>
          <w:sz w:val="32"/>
          <w:szCs w:val="32"/>
        </w:rPr>
        <w:t>（五）商家参与方式</w:t>
      </w:r>
    </w:p>
    <w:p w14:paraId="36B83289">
      <w:pPr>
        <w:spacing w:line="58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县商务和投资促进</w:t>
      </w:r>
      <w:r>
        <w:rPr>
          <w:rFonts w:hint="eastAsia" w:eastAsia="仿宋_GB2312"/>
          <w:bCs/>
          <w:color w:val="000000"/>
          <w:sz w:val="32"/>
          <w:szCs w:val="32"/>
        </w:rPr>
        <w:t>局</w:t>
      </w:r>
      <w:r>
        <w:rPr>
          <w:rFonts w:eastAsia="仿宋_GB2312"/>
          <w:bCs/>
          <w:color w:val="000000"/>
          <w:sz w:val="32"/>
          <w:szCs w:val="32"/>
        </w:rPr>
        <w:t>制定商家参与条件，汇总符合条件的参与商家资料，统一提交给应用运营方添加核销权限。</w:t>
      </w:r>
    </w:p>
    <w:p w14:paraId="3FA867F2">
      <w:pPr>
        <w:spacing w:line="580" w:lineRule="exact"/>
        <w:ind w:firstLine="640" w:firstLineChars="200"/>
        <w:rPr>
          <w:rFonts w:ascii="楷体_GB2312" w:eastAsia="楷体_GB2312" w:cs="楷体_GB2312"/>
          <w:bCs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Cs/>
          <w:color w:val="000000"/>
          <w:sz w:val="32"/>
          <w:szCs w:val="32"/>
        </w:rPr>
        <w:t>（六）资金兑付</w:t>
      </w:r>
    </w:p>
    <w:p w14:paraId="156E84DB">
      <w:pPr>
        <w:spacing w:line="580" w:lineRule="exact"/>
        <w:ind w:firstLine="416" w:firstLineChars="13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 xml:space="preserve">  消费券核销后，经工作专班汇总审核，</w:t>
      </w:r>
      <w:r>
        <w:rPr>
          <w:rFonts w:hint="eastAsia" w:eastAsia="仿宋_GB2312"/>
          <w:bCs/>
          <w:color w:val="000000"/>
          <w:sz w:val="32"/>
          <w:szCs w:val="32"/>
        </w:rPr>
        <w:t>由县</w:t>
      </w:r>
      <w:r>
        <w:rPr>
          <w:rFonts w:eastAsia="仿宋_GB2312"/>
          <w:bCs/>
          <w:color w:val="000000"/>
          <w:sz w:val="32"/>
          <w:szCs w:val="32"/>
        </w:rPr>
        <w:t>财政局</w:t>
      </w:r>
      <w:r>
        <w:rPr>
          <w:rFonts w:hint="eastAsia" w:eastAsia="仿宋_GB2312"/>
          <w:bCs/>
          <w:color w:val="000000"/>
          <w:sz w:val="32"/>
          <w:szCs w:val="32"/>
        </w:rPr>
        <w:t>根据相关</w:t>
      </w:r>
      <w:r>
        <w:rPr>
          <w:rFonts w:eastAsia="仿宋_GB2312"/>
          <w:bCs/>
          <w:color w:val="000000"/>
          <w:sz w:val="32"/>
          <w:szCs w:val="32"/>
        </w:rPr>
        <w:t>规定</w:t>
      </w:r>
      <w:r>
        <w:rPr>
          <w:rFonts w:hint="eastAsia" w:eastAsia="仿宋_GB2312"/>
          <w:bCs/>
          <w:color w:val="000000"/>
          <w:sz w:val="32"/>
          <w:szCs w:val="32"/>
        </w:rPr>
        <w:t>按</w:t>
      </w:r>
      <w:r>
        <w:rPr>
          <w:rFonts w:eastAsia="仿宋_GB2312"/>
          <w:bCs/>
          <w:color w:val="000000"/>
          <w:sz w:val="32"/>
          <w:szCs w:val="32"/>
        </w:rPr>
        <w:t>实际核销金额拨付。</w:t>
      </w:r>
    </w:p>
    <w:p w14:paraId="6513017F">
      <w:pPr>
        <w:pStyle w:val="2"/>
        <w:spacing w:after="0" w:line="580" w:lineRule="exact"/>
        <w:ind w:firstLine="640" w:firstLineChars="200"/>
        <w:rPr>
          <w:rFonts w:eastAsia="楷体"/>
          <w:bCs/>
          <w:color w:val="000000"/>
          <w:sz w:val="32"/>
          <w:szCs w:val="32"/>
        </w:rPr>
      </w:pPr>
      <w:r>
        <w:rPr>
          <w:rFonts w:hint="eastAsia" w:eastAsia="楷体"/>
          <w:bCs/>
          <w:color w:val="000000"/>
          <w:sz w:val="32"/>
          <w:szCs w:val="32"/>
        </w:rPr>
        <w:t>（</w:t>
      </w:r>
      <w:r>
        <w:rPr>
          <w:rFonts w:eastAsia="楷体"/>
          <w:bCs/>
          <w:color w:val="000000"/>
          <w:sz w:val="32"/>
          <w:szCs w:val="32"/>
        </w:rPr>
        <w:t>七</w:t>
      </w:r>
      <w:r>
        <w:rPr>
          <w:rFonts w:hint="eastAsia" w:eastAsia="楷体"/>
          <w:bCs/>
          <w:color w:val="000000"/>
          <w:sz w:val="32"/>
          <w:szCs w:val="32"/>
        </w:rPr>
        <w:t>）</w:t>
      </w:r>
      <w:r>
        <w:rPr>
          <w:rFonts w:eastAsia="楷体"/>
          <w:bCs/>
          <w:color w:val="000000"/>
          <w:sz w:val="32"/>
          <w:szCs w:val="32"/>
        </w:rPr>
        <w:t>退款规则</w:t>
      </w:r>
    </w:p>
    <w:p w14:paraId="3647916D">
      <w:pPr>
        <w:pStyle w:val="2"/>
        <w:spacing w:after="0" w:line="58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经消费者与商家协商同意退款的，退款部分核销的消费券原路退回消费者，退回的消费券有效期不变。已兑付资金的消费券不予退回，由商家自行将退款金额退还给消费者。</w:t>
      </w:r>
    </w:p>
    <w:p w14:paraId="1C41C90B">
      <w:pPr>
        <w:pStyle w:val="2"/>
        <w:spacing w:after="0" w:line="580" w:lineRule="exact"/>
        <w:ind w:firstLine="640" w:firstLineChars="200"/>
        <w:rPr>
          <w:rFonts w:eastAsia="楷体"/>
          <w:bCs/>
          <w:color w:val="000000"/>
          <w:sz w:val="32"/>
          <w:szCs w:val="32"/>
        </w:rPr>
      </w:pPr>
      <w:r>
        <w:rPr>
          <w:rFonts w:hint="eastAsia" w:eastAsia="楷体"/>
          <w:bCs/>
          <w:color w:val="000000"/>
          <w:sz w:val="32"/>
          <w:szCs w:val="32"/>
        </w:rPr>
        <w:t>（</w:t>
      </w:r>
      <w:r>
        <w:rPr>
          <w:rFonts w:eastAsia="楷体"/>
          <w:bCs/>
          <w:color w:val="000000"/>
          <w:sz w:val="32"/>
          <w:szCs w:val="32"/>
        </w:rPr>
        <w:t>八</w:t>
      </w:r>
      <w:r>
        <w:rPr>
          <w:rFonts w:hint="eastAsia" w:eastAsia="楷体"/>
          <w:bCs/>
          <w:color w:val="000000"/>
          <w:sz w:val="32"/>
          <w:szCs w:val="32"/>
        </w:rPr>
        <w:t>）</w:t>
      </w:r>
      <w:r>
        <w:rPr>
          <w:rFonts w:eastAsia="楷体"/>
          <w:bCs/>
          <w:color w:val="000000"/>
          <w:sz w:val="32"/>
          <w:szCs w:val="32"/>
        </w:rPr>
        <w:t>其他事项</w:t>
      </w:r>
    </w:p>
    <w:p w14:paraId="6CB13331">
      <w:pPr>
        <w:pStyle w:val="2"/>
        <w:spacing w:after="0" w:line="580" w:lineRule="exact"/>
        <w:ind w:firstLine="640" w:firstLineChars="200"/>
        <w:rPr>
          <w:rFonts w:asci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Cs/>
          <w:color w:val="000000"/>
          <w:sz w:val="32"/>
          <w:szCs w:val="32"/>
        </w:rPr>
        <w:t>1.在法律规定范围内如发生不可抗力等，举办方可根据活动的实际举办情况对活动规则进行变更或调整，相关变动或调整将在依法合规的前提下在活动页面上进行公布，或以其他合适的方式及时通知。</w:t>
      </w:r>
    </w:p>
    <w:p w14:paraId="54BFF841">
      <w:pPr>
        <w:pStyle w:val="2"/>
        <w:spacing w:after="0" w:line="580" w:lineRule="exact"/>
        <w:ind w:firstLine="640" w:firstLineChars="200"/>
        <w:rPr>
          <w:rFonts w:asci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Cs/>
          <w:color w:val="000000"/>
          <w:sz w:val="32"/>
          <w:szCs w:val="32"/>
        </w:rPr>
        <w:t>2.为保证活动有序进行，如用户出现买卖、转让消费券及其他作弊违规行为（如刷单、套现等）不正当获得活动权益的，活动举办方有权取消用户活动参与资格，并有权回收用户获得的权益。</w:t>
      </w:r>
    </w:p>
    <w:p w14:paraId="5012A372">
      <w:pPr>
        <w:spacing w:line="580" w:lineRule="exact"/>
        <w:ind w:firstLine="640" w:firstLineChars="200"/>
        <w:rPr>
          <w:rFonts w:ascii="仿宋_GB2312" w:eastAsia="仿宋_GB2312" w:cs="仿宋_GB2312"/>
        </w:rPr>
      </w:pPr>
      <w:r>
        <w:rPr>
          <w:rFonts w:hint="eastAsia" w:ascii="仿宋_GB2312" w:eastAsia="仿宋_GB2312" w:cs="仿宋_GB2312"/>
          <w:sz w:val="32"/>
          <w:szCs w:val="32"/>
        </w:rPr>
        <w:t>3.参与者领取消费券参加活动后，视同全部接受本次活动的相关规则。</w:t>
      </w:r>
    </w:p>
    <w:p w14:paraId="41217B8B">
      <w:pPr>
        <w:pStyle w:val="5"/>
        <w:spacing w:before="0" w:after="0" w:line="580" w:lineRule="exact"/>
        <w:ind w:firstLine="640" w:firstLineChars="200"/>
        <w:rPr>
          <w:rFonts w:eastAsia="黑体"/>
        </w:rPr>
      </w:pPr>
      <w:r>
        <w:rPr>
          <w:rFonts w:eastAsia="黑体"/>
          <w:b w:val="0"/>
          <w:bCs/>
          <w:sz w:val="32"/>
          <w:szCs w:val="32"/>
        </w:rPr>
        <w:t>三、责任分工</w:t>
      </w:r>
    </w:p>
    <w:p w14:paraId="26136E42">
      <w:pPr>
        <w:spacing w:line="58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要高度重视不动产权证办理工作，成立以住建、资规、商</w:t>
      </w:r>
      <w:r>
        <w:rPr>
          <w:rFonts w:hint="eastAsia" w:eastAsia="仿宋_GB2312"/>
          <w:bCs/>
          <w:sz w:val="32"/>
          <w:szCs w:val="32"/>
        </w:rPr>
        <w:t>投</w:t>
      </w:r>
      <w:r>
        <w:rPr>
          <w:rFonts w:eastAsia="仿宋_GB2312"/>
          <w:bCs/>
          <w:sz w:val="32"/>
          <w:szCs w:val="32"/>
        </w:rPr>
        <w:t>、大数据</w:t>
      </w:r>
      <w:r>
        <w:rPr>
          <w:rFonts w:hint="eastAsia" w:eastAsia="仿宋_GB2312"/>
          <w:bCs/>
          <w:sz w:val="32"/>
          <w:szCs w:val="32"/>
        </w:rPr>
        <w:t>中心</w:t>
      </w:r>
      <w:r>
        <w:rPr>
          <w:rFonts w:eastAsia="仿宋_GB2312"/>
          <w:bCs/>
          <w:sz w:val="32"/>
          <w:szCs w:val="32"/>
        </w:rPr>
        <w:t>、财政、税务等部门组成的工作专班，制定具体工作方案，</w:t>
      </w:r>
      <w:r>
        <w:rPr>
          <w:rFonts w:hint="eastAsia" w:eastAsia="仿宋_GB2312"/>
          <w:bCs/>
          <w:sz w:val="32"/>
          <w:szCs w:val="32"/>
        </w:rPr>
        <w:t>统筹做好解释</w:t>
      </w:r>
      <w:r>
        <w:rPr>
          <w:rFonts w:eastAsia="仿宋_GB2312"/>
          <w:bCs/>
          <w:sz w:val="32"/>
          <w:szCs w:val="32"/>
        </w:rPr>
        <w:t>宣传、发放领取</w:t>
      </w:r>
      <w:r>
        <w:rPr>
          <w:rFonts w:hint="eastAsia" w:eastAsia="仿宋_GB2312"/>
          <w:bCs/>
          <w:sz w:val="32"/>
          <w:szCs w:val="32"/>
        </w:rPr>
        <w:t>、</w:t>
      </w:r>
      <w:r>
        <w:rPr>
          <w:rFonts w:eastAsia="仿宋_GB2312"/>
          <w:bCs/>
          <w:sz w:val="32"/>
          <w:szCs w:val="32"/>
        </w:rPr>
        <w:t>使用</w:t>
      </w:r>
      <w:r>
        <w:rPr>
          <w:rFonts w:hint="eastAsia" w:eastAsia="仿宋_GB2312"/>
          <w:bCs/>
          <w:sz w:val="32"/>
          <w:szCs w:val="32"/>
        </w:rPr>
        <w:t>核销</w:t>
      </w:r>
      <w:r>
        <w:rPr>
          <w:rFonts w:eastAsia="仿宋_GB2312"/>
          <w:bCs/>
          <w:sz w:val="32"/>
          <w:szCs w:val="32"/>
        </w:rPr>
        <w:t>、商户遴选、资金筹集</w:t>
      </w:r>
      <w:r>
        <w:rPr>
          <w:rFonts w:hint="eastAsia" w:eastAsia="仿宋_GB2312"/>
          <w:bCs/>
          <w:sz w:val="32"/>
          <w:szCs w:val="32"/>
        </w:rPr>
        <w:t>和</w:t>
      </w:r>
      <w:r>
        <w:rPr>
          <w:rFonts w:eastAsia="仿宋_GB2312"/>
          <w:bCs/>
          <w:sz w:val="32"/>
          <w:szCs w:val="32"/>
        </w:rPr>
        <w:t>兑付等各项工作。各街道办事处、社区</w:t>
      </w:r>
      <w:r>
        <w:rPr>
          <w:rFonts w:hint="eastAsia" w:eastAsia="仿宋_GB2312"/>
          <w:bCs/>
          <w:sz w:val="32"/>
          <w:szCs w:val="32"/>
        </w:rPr>
        <w:t>要根据</w:t>
      </w:r>
      <w:r>
        <w:rPr>
          <w:rFonts w:eastAsia="仿宋_GB2312"/>
          <w:bCs/>
          <w:sz w:val="32"/>
          <w:szCs w:val="32"/>
        </w:rPr>
        <w:t>不动产登记部门</w:t>
      </w:r>
      <w:r>
        <w:rPr>
          <w:rFonts w:hint="eastAsia" w:eastAsia="仿宋_GB2312"/>
          <w:bCs/>
          <w:sz w:val="32"/>
          <w:szCs w:val="32"/>
        </w:rPr>
        <w:t>提供的信息</w:t>
      </w:r>
      <w:r>
        <w:rPr>
          <w:rFonts w:eastAsia="仿宋_GB2312"/>
          <w:bCs/>
          <w:sz w:val="32"/>
          <w:szCs w:val="32"/>
        </w:rPr>
        <w:t>，</w:t>
      </w:r>
      <w:r>
        <w:rPr>
          <w:rFonts w:hint="eastAsia" w:eastAsia="仿宋_GB2312"/>
          <w:bCs/>
          <w:sz w:val="32"/>
          <w:szCs w:val="32"/>
        </w:rPr>
        <w:t>切实</w:t>
      </w:r>
      <w:r>
        <w:rPr>
          <w:rFonts w:eastAsia="仿宋_GB2312"/>
          <w:bCs/>
          <w:sz w:val="32"/>
          <w:szCs w:val="32"/>
        </w:rPr>
        <w:t>做好入户宣传</w:t>
      </w:r>
      <w:r>
        <w:rPr>
          <w:rFonts w:hint="eastAsia" w:eastAsia="仿宋_GB2312"/>
          <w:bCs/>
          <w:sz w:val="32"/>
          <w:szCs w:val="32"/>
        </w:rPr>
        <w:t>动员</w:t>
      </w:r>
      <w:r>
        <w:rPr>
          <w:rFonts w:eastAsia="仿宋_GB2312"/>
          <w:bCs/>
          <w:sz w:val="32"/>
          <w:szCs w:val="32"/>
        </w:rPr>
        <w:t>等工作。</w:t>
      </w:r>
    </w:p>
    <w:p w14:paraId="6B19D7F5">
      <w:pPr>
        <w:spacing w:line="580" w:lineRule="exact"/>
        <w:ind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县</w:t>
      </w:r>
      <w:r>
        <w:rPr>
          <w:rFonts w:eastAsia="仿宋_GB2312"/>
          <w:bCs/>
          <w:sz w:val="32"/>
          <w:szCs w:val="32"/>
        </w:rPr>
        <w:t>住房</w:t>
      </w:r>
      <w:r>
        <w:rPr>
          <w:rFonts w:hint="eastAsia" w:eastAsia="仿宋_GB2312"/>
          <w:bCs/>
          <w:sz w:val="32"/>
          <w:szCs w:val="32"/>
        </w:rPr>
        <w:t>和城乡</w:t>
      </w:r>
      <w:r>
        <w:rPr>
          <w:rFonts w:eastAsia="仿宋_GB2312"/>
          <w:bCs/>
          <w:sz w:val="32"/>
          <w:szCs w:val="32"/>
        </w:rPr>
        <w:t>建设局负责牵头</w:t>
      </w:r>
      <w:r>
        <w:rPr>
          <w:rFonts w:eastAsia="仿宋_GB2312"/>
          <w:color w:val="000000"/>
          <w:kern w:val="0"/>
          <w:sz w:val="32"/>
          <w:szCs w:val="32"/>
        </w:rPr>
        <w:t>出台消费券活动方案</w:t>
      </w:r>
      <w:r>
        <w:rPr>
          <w:rFonts w:hint="eastAsia" w:eastAsia="仿宋_GB2312"/>
          <w:color w:val="000000"/>
          <w:kern w:val="0"/>
          <w:sz w:val="32"/>
          <w:szCs w:val="32"/>
        </w:rPr>
        <w:t>、</w:t>
      </w:r>
      <w:r>
        <w:rPr>
          <w:rFonts w:eastAsia="仿宋_GB2312"/>
          <w:color w:val="000000"/>
          <w:kern w:val="0"/>
          <w:sz w:val="32"/>
          <w:szCs w:val="32"/>
        </w:rPr>
        <w:t>消费券使用规则等；做好全</w:t>
      </w:r>
      <w:r>
        <w:rPr>
          <w:rFonts w:hint="eastAsia" w:eastAsia="仿宋_GB2312"/>
          <w:color w:val="000000"/>
          <w:kern w:val="0"/>
          <w:sz w:val="32"/>
          <w:szCs w:val="32"/>
        </w:rPr>
        <w:t>县</w:t>
      </w:r>
      <w:r>
        <w:rPr>
          <w:rFonts w:eastAsia="仿宋_GB2312"/>
          <w:color w:val="000000"/>
          <w:kern w:val="0"/>
          <w:sz w:val="32"/>
          <w:szCs w:val="32"/>
        </w:rPr>
        <w:t>消费券活动的统计、调度、协调、通报、宣传等工作。</w:t>
      </w:r>
    </w:p>
    <w:p w14:paraId="05E08C61">
      <w:pPr>
        <w:spacing w:line="580" w:lineRule="exact"/>
        <w:ind w:firstLine="64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kern w:val="0"/>
          <w:sz w:val="32"/>
          <w:szCs w:val="32"/>
        </w:rPr>
        <w:t>县</w:t>
      </w:r>
      <w:r>
        <w:rPr>
          <w:rFonts w:eastAsia="仿宋_GB2312"/>
          <w:bCs/>
          <w:kern w:val="0"/>
          <w:sz w:val="32"/>
          <w:szCs w:val="32"/>
        </w:rPr>
        <w:t>自然资源</w:t>
      </w:r>
      <w:r>
        <w:rPr>
          <w:rFonts w:hint="eastAsia" w:eastAsia="仿宋_GB2312"/>
          <w:bCs/>
          <w:kern w:val="0"/>
          <w:sz w:val="32"/>
          <w:szCs w:val="32"/>
        </w:rPr>
        <w:t>和</w:t>
      </w:r>
      <w:r>
        <w:rPr>
          <w:rFonts w:eastAsia="仿宋_GB2312"/>
          <w:bCs/>
          <w:kern w:val="0"/>
          <w:sz w:val="32"/>
          <w:szCs w:val="32"/>
        </w:rPr>
        <w:t>规划局负责汇</w:t>
      </w:r>
      <w:r>
        <w:rPr>
          <w:rFonts w:hint="eastAsia" w:eastAsia="仿宋_GB2312"/>
          <w:bCs/>
          <w:kern w:val="0"/>
          <w:sz w:val="32"/>
          <w:szCs w:val="32"/>
        </w:rPr>
        <w:t>总整理全县</w:t>
      </w:r>
      <w:r>
        <w:rPr>
          <w:rFonts w:eastAsia="仿宋_GB2312"/>
          <w:bCs/>
          <w:kern w:val="0"/>
          <w:sz w:val="32"/>
          <w:szCs w:val="32"/>
        </w:rPr>
        <w:t>未办证</w:t>
      </w:r>
      <w:r>
        <w:rPr>
          <w:rFonts w:hint="eastAsia" w:eastAsia="仿宋_GB2312"/>
          <w:bCs/>
          <w:kern w:val="0"/>
          <w:sz w:val="32"/>
          <w:szCs w:val="32"/>
        </w:rPr>
        <w:t>增量房的</w:t>
      </w:r>
      <w:r>
        <w:rPr>
          <w:rFonts w:eastAsia="仿宋_GB2312"/>
          <w:bCs/>
          <w:kern w:val="0"/>
          <w:sz w:val="32"/>
          <w:szCs w:val="32"/>
        </w:rPr>
        <w:t>基本情况，</w:t>
      </w:r>
      <w:r>
        <w:rPr>
          <w:rFonts w:hint="eastAsia" w:eastAsia="仿宋_GB2312"/>
          <w:bCs/>
          <w:kern w:val="0"/>
          <w:sz w:val="32"/>
          <w:szCs w:val="32"/>
        </w:rPr>
        <w:t>并</w:t>
      </w:r>
      <w:r>
        <w:rPr>
          <w:rFonts w:eastAsia="仿宋_GB2312"/>
          <w:bCs/>
          <w:kern w:val="0"/>
          <w:sz w:val="32"/>
          <w:szCs w:val="32"/>
        </w:rPr>
        <w:t>及时推送</w:t>
      </w:r>
      <w:r>
        <w:rPr>
          <w:rFonts w:hint="eastAsia" w:eastAsia="仿宋_GB2312"/>
          <w:bCs/>
          <w:kern w:val="0"/>
          <w:sz w:val="32"/>
          <w:szCs w:val="32"/>
        </w:rPr>
        <w:t>县</w:t>
      </w:r>
      <w:r>
        <w:rPr>
          <w:rFonts w:eastAsia="仿宋_GB2312"/>
          <w:bCs/>
          <w:kern w:val="0"/>
          <w:sz w:val="32"/>
          <w:szCs w:val="32"/>
        </w:rPr>
        <w:t>工作专班；</w:t>
      </w:r>
      <w:r>
        <w:rPr>
          <w:rFonts w:hint="eastAsia" w:eastAsia="仿宋_GB2312"/>
          <w:bCs/>
          <w:kern w:val="0"/>
          <w:sz w:val="32"/>
          <w:szCs w:val="32"/>
        </w:rPr>
        <w:t>督导</w:t>
      </w:r>
      <w:r>
        <w:rPr>
          <w:rFonts w:eastAsia="仿宋_GB2312"/>
          <w:bCs/>
          <w:kern w:val="0"/>
          <w:sz w:val="32"/>
          <w:szCs w:val="32"/>
        </w:rPr>
        <w:t>街道办事处</w:t>
      </w:r>
      <w:r>
        <w:rPr>
          <w:rFonts w:hint="eastAsia" w:eastAsia="仿宋_GB2312"/>
          <w:bCs/>
          <w:kern w:val="0"/>
          <w:sz w:val="32"/>
          <w:szCs w:val="32"/>
        </w:rPr>
        <w:t>、社区等</w:t>
      </w:r>
      <w:r>
        <w:rPr>
          <w:rFonts w:eastAsia="仿宋_GB2312"/>
          <w:bCs/>
          <w:kern w:val="0"/>
          <w:sz w:val="32"/>
          <w:szCs w:val="32"/>
        </w:rPr>
        <w:t>开展进社区、进小区、进家庭等便民化措施；在</w:t>
      </w:r>
      <w:r>
        <w:rPr>
          <w:rFonts w:hint="eastAsia" w:eastAsia="仿宋_GB2312"/>
          <w:bCs/>
          <w:kern w:val="0"/>
          <w:sz w:val="32"/>
          <w:szCs w:val="32"/>
        </w:rPr>
        <w:t>县</w:t>
      </w:r>
      <w:r>
        <w:rPr>
          <w:rFonts w:eastAsia="仿宋_GB2312"/>
          <w:bCs/>
          <w:kern w:val="0"/>
          <w:sz w:val="32"/>
          <w:szCs w:val="32"/>
        </w:rPr>
        <w:t>不动产登记办理大厅做好消费券活动的宣传</w:t>
      </w:r>
      <w:r>
        <w:rPr>
          <w:rFonts w:hint="eastAsia" w:eastAsia="仿宋_GB2312"/>
          <w:bCs/>
          <w:kern w:val="0"/>
          <w:sz w:val="32"/>
          <w:szCs w:val="32"/>
        </w:rPr>
        <w:t>解释</w:t>
      </w:r>
      <w:r>
        <w:rPr>
          <w:rFonts w:eastAsia="仿宋_GB2312"/>
          <w:bCs/>
          <w:kern w:val="0"/>
          <w:sz w:val="32"/>
          <w:szCs w:val="32"/>
        </w:rPr>
        <w:t>工作；与房地产交易部门联合优化</w:t>
      </w:r>
      <w:r>
        <w:rPr>
          <w:rFonts w:eastAsia="仿宋_GB2312"/>
          <w:kern w:val="0"/>
          <w:sz w:val="32"/>
          <w:szCs w:val="32"/>
        </w:rPr>
        <w:t>不动产</w:t>
      </w:r>
      <w:r>
        <w:rPr>
          <w:rFonts w:eastAsia="仿宋_GB2312"/>
          <w:bCs/>
          <w:kern w:val="0"/>
          <w:sz w:val="32"/>
          <w:szCs w:val="32"/>
        </w:rPr>
        <w:t>权证办理流程</w:t>
      </w:r>
      <w:r>
        <w:rPr>
          <w:rFonts w:hint="eastAsia" w:eastAsia="仿宋_GB2312"/>
          <w:bCs/>
          <w:kern w:val="0"/>
          <w:sz w:val="32"/>
          <w:szCs w:val="32"/>
        </w:rPr>
        <w:t>。每月统计增量房办理不动产权证情况，</w:t>
      </w:r>
      <w:r>
        <w:rPr>
          <w:rFonts w:hint="eastAsia" w:eastAsia="仿宋_GB2312"/>
          <w:bCs/>
          <w:sz w:val="32"/>
          <w:szCs w:val="32"/>
        </w:rPr>
        <w:t>并报专班办公室。</w:t>
      </w:r>
    </w:p>
    <w:p w14:paraId="4744F6DE">
      <w:pPr>
        <w:spacing w:line="580" w:lineRule="exact"/>
        <w:ind w:firstLine="64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县</w:t>
      </w:r>
      <w:r>
        <w:rPr>
          <w:rFonts w:eastAsia="仿宋_GB2312"/>
          <w:sz w:val="32"/>
          <w:szCs w:val="32"/>
        </w:rPr>
        <w:t>财政局负责做好财政预算、资金筹集和</w:t>
      </w:r>
      <w:r>
        <w:rPr>
          <w:rFonts w:hint="eastAsia" w:eastAsia="仿宋_GB2312"/>
          <w:sz w:val="32"/>
          <w:szCs w:val="32"/>
        </w:rPr>
        <w:t>拨</w:t>
      </w:r>
      <w:r>
        <w:rPr>
          <w:rFonts w:eastAsia="仿宋_GB2312"/>
          <w:sz w:val="32"/>
          <w:szCs w:val="32"/>
        </w:rPr>
        <w:t>付等工作</w:t>
      </w:r>
      <w:r>
        <w:rPr>
          <w:rFonts w:eastAsia="仿宋_GB2312"/>
          <w:bCs/>
          <w:sz w:val="32"/>
          <w:szCs w:val="32"/>
        </w:rPr>
        <w:t>。</w:t>
      </w:r>
    </w:p>
    <w:p w14:paraId="7D1E7D68">
      <w:pPr>
        <w:spacing w:line="580" w:lineRule="exact"/>
        <w:ind w:firstLine="640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县商务和投资促进</w:t>
      </w:r>
      <w:r>
        <w:rPr>
          <w:rFonts w:eastAsia="仿宋_GB2312"/>
          <w:bCs/>
          <w:color w:val="000000"/>
          <w:kern w:val="0"/>
          <w:sz w:val="32"/>
          <w:szCs w:val="32"/>
        </w:rPr>
        <w:t>局负责做好消费券活动的商户遴选、审核、协调等工作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。</w:t>
      </w:r>
    </w:p>
    <w:p w14:paraId="7EEF6883">
      <w:pPr>
        <w:spacing w:line="580" w:lineRule="exact"/>
        <w:ind w:firstLine="64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县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  <w:t>政务服务和大数据中心</w:t>
      </w:r>
      <w:r>
        <w:rPr>
          <w:rFonts w:hint="eastAsia" w:eastAsia="仿宋_GB2312"/>
          <w:bCs/>
          <w:sz w:val="32"/>
          <w:szCs w:val="32"/>
        </w:rPr>
        <w:t>负责推荐本次活动网络平台的运营方，督促平台与不动产、税务、商务等部门相互配合，督促相关办事处</w:t>
      </w:r>
      <w:r>
        <w:rPr>
          <w:rFonts w:eastAsia="仿宋_GB2312"/>
          <w:bCs/>
          <w:sz w:val="32"/>
          <w:szCs w:val="32"/>
        </w:rPr>
        <w:t>做好消费券活动</w:t>
      </w:r>
      <w:r>
        <w:rPr>
          <w:rFonts w:hint="eastAsia" w:eastAsia="仿宋_GB2312"/>
          <w:bCs/>
          <w:sz w:val="32"/>
          <w:szCs w:val="32"/>
        </w:rPr>
        <w:t>的网络</w:t>
      </w:r>
      <w:r>
        <w:rPr>
          <w:rFonts w:eastAsia="仿宋_GB2312"/>
          <w:bCs/>
          <w:sz w:val="32"/>
          <w:szCs w:val="32"/>
        </w:rPr>
        <w:t>宣传工作</w:t>
      </w:r>
      <w:r>
        <w:rPr>
          <w:rFonts w:eastAsia="仿宋_GB2312"/>
          <w:sz w:val="32"/>
          <w:szCs w:val="32"/>
        </w:rPr>
        <w:t>。</w:t>
      </w:r>
    </w:p>
    <w:p w14:paraId="6A2DD4AC">
      <w:pPr>
        <w:spacing w:line="580" w:lineRule="exact"/>
        <w:ind w:firstLine="64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县</w:t>
      </w:r>
      <w:r>
        <w:rPr>
          <w:rFonts w:eastAsia="仿宋_GB2312"/>
          <w:bCs/>
          <w:sz w:val="32"/>
          <w:szCs w:val="32"/>
        </w:rPr>
        <w:t>税务局负责做好办证纳税服务和宣传工作</w:t>
      </w:r>
      <w:r>
        <w:rPr>
          <w:rFonts w:hint="eastAsia" w:eastAsia="仿宋_GB2312"/>
          <w:bCs/>
          <w:sz w:val="32"/>
          <w:szCs w:val="32"/>
        </w:rPr>
        <w:t>。</w:t>
      </w:r>
    </w:p>
    <w:p w14:paraId="669CC739">
      <w:pPr>
        <w:spacing w:line="58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县</w:t>
      </w:r>
      <w:r>
        <w:rPr>
          <w:rFonts w:eastAsia="仿宋_GB2312"/>
          <w:bCs/>
          <w:sz w:val="32"/>
          <w:szCs w:val="32"/>
        </w:rPr>
        <w:t>工作专班对不动产权证办理情况每月进行通报</w:t>
      </w:r>
      <w:r>
        <w:rPr>
          <w:rFonts w:hint="eastAsia" w:eastAsia="仿宋_GB2312"/>
          <w:bCs/>
          <w:sz w:val="32"/>
          <w:szCs w:val="32"/>
        </w:rPr>
        <w:t>，</w:t>
      </w:r>
      <w:r>
        <w:rPr>
          <w:rFonts w:eastAsia="仿宋_GB2312"/>
          <w:bCs/>
          <w:sz w:val="32"/>
          <w:szCs w:val="32"/>
        </w:rPr>
        <w:t>对工作开展不力、进度缓慢、工作成效不达标的部门进行通报，并随时启动约谈机制。</w:t>
      </w:r>
    </w:p>
    <w:p w14:paraId="456C24B4">
      <w:pPr>
        <w:spacing w:line="580" w:lineRule="exact"/>
        <w:ind w:firstLine="640" w:firstLineChars="200"/>
        <w:rPr>
          <w:rFonts w:eastAsia="仿宋_GB2312"/>
          <w:bCs/>
          <w:sz w:val="32"/>
          <w:szCs w:val="32"/>
        </w:rPr>
      </w:pPr>
    </w:p>
    <w:p w14:paraId="42592840">
      <w:pPr>
        <w:spacing w:line="580" w:lineRule="exact"/>
        <w:rPr>
          <w:rFonts w:ascii="方正小标宋简体" w:eastAsia="方正小标宋简体" w:cs="方正小标宋简体"/>
          <w:bCs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CBE52">
    <w:pPr>
      <w:pStyle w:val="7"/>
    </w:pPr>
    <w:r>
      <w:pict>
        <v:shape id="文本框 1 3" o:spid="_x0000_s2049" o:spt="202" type="#_x0000_t202" style="position:absolute;left:0pt;margin-top:0pt;height:18.15pt;width:35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9646F87">
                <w:pPr>
                  <w:pStyle w:val="7"/>
                  <w:rPr>
                    <w:rFonts w:ascii="宋体" w:cs="宋体"/>
                    <w:sz w:val="28"/>
                    <w:szCs w:val="28"/>
                  </w:rPr>
                </w:pPr>
                <w:r>
                  <w:rPr>
                    <w:rFonts w:hint="eastAsia" w:asci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cs="宋体"/>
                    <w:sz w:val="28"/>
                    <w:szCs w:val="28"/>
                  </w:rPr>
                  <w:t>- 6 -</w:t>
                </w:r>
                <w:r>
                  <w:rPr>
                    <w:rFonts w:hint="eastAsia" w:asci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FiYzI2MWM0NWFiMWQ2ODljYjk4YzY5MTQxZGNlN2IifQ=="/>
  </w:docVars>
  <w:rsids>
    <w:rsidRoot w:val="0003068E"/>
    <w:rsid w:val="0003068E"/>
    <w:rsid w:val="00746585"/>
    <w:rsid w:val="00FD12A0"/>
    <w:rsid w:val="4F1A5D3F"/>
    <w:rsid w:val="63BA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5">
    <w:name w:val="heading 3"/>
    <w:basedOn w:val="1"/>
    <w:next w:val="1"/>
    <w:uiPriority w:val="0"/>
    <w:pPr>
      <w:keepNext/>
      <w:spacing w:before="240" w:after="60"/>
      <w:outlineLvl w:val="2"/>
    </w:pPr>
    <w:rPr>
      <w:b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  <w:pPr>
      <w:spacing w:after="104" w:line="0" w:lineRule="atLeast"/>
      <w:jc w:val="left"/>
    </w:pPr>
  </w:style>
  <w:style w:type="paragraph" w:styleId="6">
    <w:name w:val="Body Text Indent"/>
    <w:basedOn w:val="1"/>
    <w:next w:val="1"/>
    <w:uiPriority w:val="0"/>
    <w:pPr>
      <w:spacing w:after="120"/>
      <w:ind w:left="4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默认段落字体1"/>
    <w:qFormat/>
    <w:uiPriority w:val="0"/>
  </w:style>
  <w:style w:type="character" w:customStyle="1" w:styleId="13">
    <w:name w:val="font21"/>
    <w:basedOn w:val="10"/>
    <w:qFormat/>
    <w:uiPriority w:val="0"/>
    <w:rPr>
      <w:rFonts w:ascii="仿宋" w:eastAsia="仿宋" w:cs="仿宋"/>
      <w:color w:val="000000"/>
      <w:sz w:val="22"/>
      <w:szCs w:val="22"/>
      <w:u w:val="none"/>
      <w:lang w:bidi="ar-SA"/>
    </w:rPr>
  </w:style>
  <w:style w:type="character" w:customStyle="1" w:styleId="14">
    <w:name w:val="font41"/>
    <w:basedOn w:val="10"/>
    <w:qFormat/>
    <w:uiPriority w:val="0"/>
    <w:rPr>
      <w:rFonts w:ascii="Wingdings" w:hAnsi="Wingdings" w:cs="Wingdings"/>
      <w:color w:val="000000"/>
      <w:sz w:val="22"/>
      <w:szCs w:val="22"/>
      <w:u w:val="none"/>
      <w:lang w:bidi="ar-SA"/>
    </w:rPr>
  </w:style>
  <w:style w:type="character" w:customStyle="1" w:styleId="15">
    <w:name w:val="font61"/>
    <w:basedOn w:val="10"/>
    <w:qFormat/>
    <w:uiPriority w:val="0"/>
    <w:rPr>
      <w:rFonts w:ascii="仿宋" w:eastAsia="仿宋" w:cs="仿宋"/>
      <w:color w:val="000000"/>
      <w:sz w:val="24"/>
      <w:szCs w:val="24"/>
      <w:u w:val="none"/>
      <w:lang w:bidi="ar-SA"/>
    </w:rPr>
  </w:style>
  <w:style w:type="paragraph" w:customStyle="1" w:styleId="16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7">
    <w:name w:val="要点1"/>
    <w:basedOn w:val="12"/>
    <w:qFormat/>
    <w:uiPriority w:val="0"/>
    <w:rPr>
      <w:kern w:val="2"/>
      <w:sz w:val="21"/>
      <w:szCs w:val="22"/>
      <w:lang w:val="en-US" w:eastAsia="zh-CN" w:bidi="ar-SA"/>
    </w:rPr>
  </w:style>
  <w:style w:type="paragraph" w:customStyle="1" w:styleId="1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9">
    <w:name w:val="公文正文"/>
    <w:basedOn w:val="1"/>
    <w:qFormat/>
    <w:uiPriority w:val="0"/>
    <w:pPr>
      <w:widowControl/>
      <w:tabs>
        <w:tab w:val="left" w:pos="8100"/>
      </w:tabs>
      <w:spacing w:line="600" w:lineRule="exact"/>
      <w:ind w:firstLine="200" w:firstLineChars="200"/>
    </w:pPr>
    <w:rPr>
      <w:rFonts w:ascii="仿宋_GB2312" w:eastAsia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9525" cap="flat" cmpd="sng">
          <a:solidFill>
            <a:srgbClr val="000000"/>
          </a:solidFill>
          <a:prstDash val="solid"/>
          <a:miter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 cap="flat" cmpd="sng">
          <a:solidFill>
            <a:srgbClr val="000000"/>
          </a:solidFill>
          <a:prstDash val="solid"/>
          <a:miter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67A461-5813-4DAF-9646-8BFAA92206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1919</Words>
  <Characters>1978</Characters>
  <Lines>15</Lines>
  <Paragraphs>4</Paragraphs>
  <TotalTime>0</TotalTime>
  <ScaleCrop>false</ScaleCrop>
  <LinksUpToDate>false</LinksUpToDate>
  <CharactersWithSpaces>2010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2024-10-14T06:56:00Z</dcterms:created>
  <dc:creator>Administrator</dc:creator>
  <cp:lastModifiedBy>cookie</cp:lastModifiedBy>
  <cp:lastPrinted>2024-10-11T00:54:00Z</cp:lastPrinted>
  <dcterms:modified xsi:type="dcterms:W3CDTF">2024-10-15T00:58:44Z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AE5F5BF2E4E04B8899264547FF91AA42_12</vt:lpwstr>
  </property>
</Properties>
</file>