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1EADD">
      <w:pPr>
        <w:pStyle w:val="2"/>
        <w:keepNext w:val="0"/>
        <w:keepLines w:val="0"/>
        <w:widowControl/>
        <w:suppressLineNumbers w:val="0"/>
        <w:spacing w:before="75" w:beforeAutospacing="0" w:after="75" w:afterAutospacing="0"/>
        <w:ind w:left="0" w:right="0" w:firstLine="420"/>
        <w:jc w:val="center"/>
        <w:rPr>
          <w:rFonts w:hint="eastAsia"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rPr>
        <w:t>​</w:t>
      </w:r>
      <w:bookmarkStart w:id="0" w:name="_GoBack"/>
      <w:r>
        <w:rPr>
          <w:rFonts w:hint="eastAsia" w:ascii="方正小标宋简体" w:hAnsi="方正小标宋简体" w:eastAsia="方正小标宋简体" w:cs="方正小标宋简体"/>
          <w:sz w:val="44"/>
          <w:szCs w:val="44"/>
        </w:rPr>
        <w:t>冠县卫生健康局2024年政府信息公开工作年度报告</w:t>
      </w:r>
    </w:p>
    <w:bookmarkEnd w:id="0"/>
    <w:p w14:paraId="6A1E0AFA">
      <w:pPr>
        <w:pStyle w:val="2"/>
        <w:keepNext w:val="0"/>
        <w:keepLines w:val="0"/>
        <w:widowControl/>
        <w:suppressLineNumbers w:val="0"/>
        <w:spacing w:before="75" w:beforeAutospacing="0" w:after="75" w:afterAutospacing="0"/>
        <w:ind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报告根据《中华人民共和国政府信息公开条例》（以下简称《条例》）和《国务院办公厅政府信息与政务公开办公室关于印发&lt;中华人民共和国政府信息公开工作年度报告格式&gt;的通知》（国办公开办函〔2021〕30号）相关要求编制，全文包括总体情况、主动公开政府信息情况、收到和处理政府信息公开申请情况、因政府信息公开工作被申请行政复议和提起行政诉讼情况、政府信息公开工作存在的主要问题及改进情况、其他需要报告的事项等六个部分。本年度报告中所列数据统计期限从2024年1月1日至12月31日。本年度报告电子版可从冠县人民政府网站（http://www.guanxian.gov.cn/）下载。公众如需进一步咨询了解相关信息，请与冠县卫生健康局联系（地址：山东省聊城市冠县建设北路79号；邮编：252500；电话:0635-5232091；邮箱:gxwjjbgs001@lc.shandong.cn）。</w:t>
      </w:r>
    </w:p>
    <w:p w14:paraId="505CAE0C">
      <w:pPr>
        <w:pStyle w:val="2"/>
        <w:keepNext w:val="0"/>
        <w:keepLines w:val="0"/>
        <w:widowControl/>
        <w:suppressLineNumbers w:val="0"/>
        <w:spacing w:before="75" w:beforeAutospacing="0" w:after="75" w:afterAutospacing="0"/>
        <w:ind w:right="0" w:firstLine="640" w:firstLineChars="200"/>
        <w:jc w:val="both"/>
        <w:rPr>
          <w:rFonts w:hint="eastAsia" w:ascii="黑体" w:hAnsi="黑体" w:eastAsia="黑体" w:cs="黑体"/>
          <w:sz w:val="32"/>
          <w:szCs w:val="32"/>
        </w:rPr>
      </w:pPr>
      <w:r>
        <w:rPr>
          <w:rFonts w:hint="eastAsia" w:ascii="黑体" w:hAnsi="黑体" w:eastAsia="黑体" w:cs="黑体"/>
          <w:sz w:val="32"/>
          <w:szCs w:val="32"/>
        </w:rPr>
        <w:t>一、总体情况</w:t>
      </w:r>
    </w:p>
    <w:p w14:paraId="50F3E710">
      <w:pPr>
        <w:pStyle w:val="2"/>
        <w:keepNext w:val="0"/>
        <w:keepLines w:val="0"/>
        <w:widowControl/>
        <w:suppressLineNumbers w:val="0"/>
        <w:spacing w:before="75" w:beforeAutospacing="0" w:after="75" w:afterAutospacing="0"/>
        <w:ind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冠县卫生健康局不断加大政府信息公开工作力度，优化公开质量，提高政务公开水平。认真贯彻落实新修订的《中华人民共和国政府信息公开条例》，及时发布工作动态，重点加强群众关切的医疗机构、卫生健康、监督检查等方面的信息公开力度。</w:t>
      </w:r>
    </w:p>
    <w:p w14:paraId="346DEE2D">
      <w:pPr>
        <w:pStyle w:val="2"/>
        <w:keepNext w:val="0"/>
        <w:keepLines w:val="0"/>
        <w:widowControl/>
        <w:suppressLineNumbers w:val="0"/>
        <w:spacing w:before="75" w:beforeAutospacing="0" w:after="75" w:afterAutospacing="0"/>
        <w:ind w:right="0" w:firstLine="643"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（一）主动公开</w:t>
      </w:r>
    </w:p>
    <w:p w14:paraId="2F2CDB6E">
      <w:pPr>
        <w:pStyle w:val="2"/>
        <w:keepNext w:val="0"/>
        <w:keepLines w:val="0"/>
        <w:widowControl/>
        <w:suppressLineNumbers w:val="0"/>
        <w:spacing w:before="75" w:beforeAutospacing="0" w:after="75" w:afterAutospacing="0"/>
        <w:ind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出台《冠县卫生健康局2024年政务公开重点工作任务分工》，明确各项工作任务，积极主动公开有关卫生健康方面的政务信息，确保社会公众的知情权、监督权。通过冠县人民政府网站主动公开发布政府信息1321条，主要包括卫生健康领域、行政执法公示、财政信息、医疗卫生机构等方面信息。发布政策解读4篇，其中主要负责人解读1篇、专家解读1篇、图文解读1篇、政策简明问答解读1篇。</w:t>
      </w:r>
    </w:p>
    <w:p w14:paraId="72F70679">
      <w:pPr>
        <w:pStyle w:val="2"/>
        <w:keepNext w:val="0"/>
        <w:keepLines w:val="0"/>
        <w:widowControl/>
        <w:suppressLineNumbers w:val="0"/>
        <w:spacing w:before="75" w:beforeAutospacing="0" w:after="75" w:afterAutospacing="0"/>
        <w:ind w:left="0" w:right="0" w:firstLine="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273675" cy="3086735"/>
            <wp:effectExtent l="0" t="0" r="3175" b="1841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273675" cy="3086735"/>
                    </a:xfrm>
                    <a:prstGeom prst="rect">
                      <a:avLst/>
                    </a:prstGeom>
                    <a:noFill/>
                    <a:ln w="9525">
                      <a:noFill/>
                    </a:ln>
                  </pic:spPr>
                </pic:pic>
              </a:graphicData>
            </a:graphic>
          </wp:inline>
        </w:drawing>
      </w:r>
    </w:p>
    <w:p w14:paraId="4363E1F4">
      <w:pPr>
        <w:pStyle w:val="2"/>
        <w:keepNext w:val="0"/>
        <w:keepLines w:val="0"/>
        <w:widowControl/>
        <w:suppressLineNumbers w:val="0"/>
        <w:spacing w:before="75" w:beforeAutospacing="0" w:after="75" w:afterAutospacing="0"/>
        <w:ind w:left="0" w:right="0" w:firstLine="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272405" cy="5302250"/>
            <wp:effectExtent l="0" t="0" r="4445" b="1270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5272405" cy="5302250"/>
                    </a:xfrm>
                    <a:prstGeom prst="rect">
                      <a:avLst/>
                    </a:prstGeom>
                    <a:noFill/>
                    <a:ln w="9525">
                      <a:noFill/>
                    </a:ln>
                  </pic:spPr>
                </pic:pic>
              </a:graphicData>
            </a:graphic>
          </wp:inline>
        </w:drawing>
      </w:r>
      <w:r>
        <w:rPr>
          <w:rFonts w:hint="eastAsia" w:ascii="仿宋_GB2312" w:hAnsi="仿宋_GB2312" w:eastAsia="仿宋_GB2312" w:cs="仿宋_GB2312"/>
          <w:sz w:val="32"/>
          <w:szCs w:val="32"/>
        </w:rPr>
        <w:t> </w:t>
      </w:r>
    </w:p>
    <w:p w14:paraId="39A90705">
      <w:pPr>
        <w:pStyle w:val="2"/>
        <w:keepNext w:val="0"/>
        <w:keepLines w:val="0"/>
        <w:widowControl/>
        <w:suppressLineNumbers w:val="0"/>
        <w:spacing w:before="75" w:beforeAutospacing="0" w:after="75" w:afterAutospacing="0"/>
        <w:ind w:right="0" w:firstLine="643"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（二）依申请公开</w:t>
      </w:r>
    </w:p>
    <w:p w14:paraId="2D71FDA0">
      <w:pPr>
        <w:pStyle w:val="2"/>
        <w:keepNext w:val="0"/>
        <w:keepLines w:val="0"/>
        <w:widowControl/>
        <w:suppressLineNumbers w:val="0"/>
        <w:spacing w:before="75" w:beforeAutospacing="0" w:after="75" w:afterAutospacing="0"/>
        <w:ind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共受理政府信息公开申请1件，申请数量较去年增长100%。政府信息公开申请内容主要涉及医院信息方面。本年度答复政府信息公开申请1件，在法定期限内予以答复。在答复的申请中：予以公开1件、占100%。全年未发生因政府信息公开被行政复议、提起行政诉讼情况。</w:t>
      </w:r>
    </w:p>
    <w:p w14:paraId="39DCBBEB">
      <w:pPr>
        <w:pStyle w:val="2"/>
        <w:keepNext w:val="0"/>
        <w:keepLines w:val="0"/>
        <w:widowControl/>
        <w:suppressLineNumbers w:val="0"/>
        <w:spacing w:before="75" w:beforeAutospacing="0" w:after="75"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4838700" cy="2752725"/>
            <wp:effectExtent l="0" t="0" r="0" b="9525"/>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6"/>
                    <a:stretch>
                      <a:fillRect/>
                    </a:stretch>
                  </pic:blipFill>
                  <pic:spPr>
                    <a:xfrm>
                      <a:off x="0" y="0"/>
                      <a:ext cx="4838700" cy="2752725"/>
                    </a:xfrm>
                    <a:prstGeom prst="rect">
                      <a:avLst/>
                    </a:prstGeom>
                    <a:noFill/>
                    <a:ln w="9525">
                      <a:noFill/>
                    </a:ln>
                  </pic:spPr>
                </pic:pic>
              </a:graphicData>
            </a:graphic>
          </wp:inline>
        </w:drawing>
      </w:r>
      <w:r>
        <w:rPr>
          <w:rStyle w:val="5"/>
          <w:rFonts w:hint="eastAsia" w:ascii="仿宋_GB2312" w:hAnsi="仿宋_GB2312" w:eastAsia="仿宋_GB2312" w:cs="仿宋_GB2312"/>
          <w:sz w:val="32"/>
          <w:szCs w:val="32"/>
        </w:rPr>
        <w:t> </w:t>
      </w:r>
    </w:p>
    <w:p w14:paraId="4D2BA94F">
      <w:pPr>
        <w:pStyle w:val="2"/>
        <w:keepNext w:val="0"/>
        <w:keepLines w:val="0"/>
        <w:widowControl/>
        <w:suppressLineNumbers w:val="0"/>
        <w:spacing w:before="75" w:beforeAutospacing="0" w:after="75" w:afterAutospacing="0"/>
        <w:ind w:right="0" w:firstLine="643"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（三）政府信息管理</w:t>
      </w:r>
    </w:p>
    <w:p w14:paraId="6BA390DA">
      <w:pPr>
        <w:pStyle w:val="2"/>
        <w:keepNext w:val="0"/>
        <w:keepLines w:val="0"/>
        <w:widowControl/>
        <w:suppressLineNumbers w:val="0"/>
        <w:spacing w:before="75" w:beforeAutospacing="0" w:after="75" w:afterAutospacing="0"/>
        <w:ind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网站信息发布过程中严格履行审核程序，坚持先审后发，未经审核信息一律不发布。各科室提供的信息经分管领导审核签字，交局办公室进行保密审核后统一发布。落实信息专项管理，关注信息公开的受理申请、网上咨询等，确保卫生健康局政府信息公开工作有序及时推进。</w:t>
      </w:r>
    </w:p>
    <w:p w14:paraId="48A828FB">
      <w:pPr>
        <w:pStyle w:val="2"/>
        <w:keepNext w:val="0"/>
        <w:keepLines w:val="0"/>
        <w:widowControl/>
        <w:suppressLineNumbers w:val="0"/>
        <w:spacing w:before="75" w:beforeAutospacing="0" w:after="75" w:afterAutospacing="0"/>
        <w:ind w:right="0" w:firstLine="643"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（四）政府信息公开平台建设</w:t>
      </w:r>
    </w:p>
    <w:p w14:paraId="13ACABCA">
      <w:pPr>
        <w:pStyle w:val="2"/>
        <w:keepNext w:val="0"/>
        <w:keepLines w:val="0"/>
        <w:widowControl/>
        <w:suppressLineNumbers w:val="0"/>
        <w:spacing w:before="75" w:beforeAutospacing="0" w:after="75" w:afterAutospacing="0"/>
        <w:ind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以政府网站为主要信息公开平台，持续做好医疗卫生机构、行政执法公示、建议提案办理结果等内容的更新，展示卫生健康领域工作新动向、新成就，并结合报刊、新闻等多种形式、多途径做好政府信息公开工作。</w:t>
      </w:r>
    </w:p>
    <w:p w14:paraId="3C758C53">
      <w:pPr>
        <w:pStyle w:val="2"/>
        <w:keepNext w:val="0"/>
        <w:keepLines w:val="0"/>
        <w:widowControl/>
        <w:suppressLineNumbers w:val="0"/>
        <w:spacing w:before="75" w:beforeAutospacing="0" w:after="75" w:afterAutospacing="0"/>
        <w:ind w:right="0" w:firstLine="643"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（五）监督保障</w:t>
      </w:r>
    </w:p>
    <w:p w14:paraId="0938E274">
      <w:pPr>
        <w:pStyle w:val="2"/>
        <w:keepNext w:val="0"/>
        <w:keepLines w:val="0"/>
        <w:widowControl/>
        <w:suppressLineNumbers w:val="0"/>
        <w:spacing w:before="75" w:beforeAutospacing="0" w:after="75" w:afterAutospacing="0"/>
        <w:ind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大内部培训力度，持续提升对政府信息公开工作的认识水平和工作能力，促进我局政务公开工作的常态化、标准化，保障人民群众的知情权、参与权和监督权。加大考核评价工作力度，将政务公开工作任务完成情况纳入年度考核范围，确保工作有部署、责任有分工、年终有考核，不断推动政府信息公开工作深入开展。</w:t>
      </w:r>
    </w:p>
    <w:p w14:paraId="609ECA84">
      <w:pPr>
        <w:pStyle w:val="2"/>
        <w:keepNext w:val="0"/>
        <w:keepLines w:val="0"/>
        <w:widowControl/>
        <w:suppressLineNumbers w:val="0"/>
        <w:spacing w:before="75" w:beforeAutospacing="0" w:after="75" w:afterAutospacing="0"/>
        <w:ind w:right="0" w:firstLine="640" w:firstLineChars="200"/>
        <w:jc w:val="both"/>
        <w:rPr>
          <w:rFonts w:hint="eastAsia" w:ascii="黑体" w:hAnsi="黑体" w:eastAsia="黑体" w:cs="黑体"/>
          <w:sz w:val="32"/>
          <w:szCs w:val="32"/>
        </w:rPr>
      </w:pPr>
      <w:r>
        <w:rPr>
          <w:rFonts w:hint="eastAsia" w:ascii="黑体" w:hAnsi="黑体" w:eastAsia="黑体" w:cs="黑体"/>
          <w:sz w:val="32"/>
          <w:szCs w:val="32"/>
        </w:rPr>
        <w:t>二、主动公开政府信息情况</w:t>
      </w:r>
    </w:p>
    <w:tbl>
      <w:tblP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348"/>
        <w:gridCol w:w="2036"/>
        <w:gridCol w:w="2036"/>
        <w:gridCol w:w="2036"/>
      </w:tblGrid>
      <w:tr w14:paraId="304FD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70" w:hRule="atLeast"/>
          <w:jc w:val="center"/>
        </w:trPr>
        <w:tc>
          <w:tcPr>
            <w:tcW w:w="0" w:type="auto"/>
            <w:gridSpan w:val="4"/>
            <w:tcBorders>
              <w:top w:val="single" w:color="DDDDDD" w:sz="6" w:space="0"/>
              <w:left w:val="single" w:color="DDDDDD" w:sz="6" w:space="0"/>
              <w:bottom w:val="single" w:color="DDDDDD" w:sz="6" w:space="0"/>
              <w:right w:val="single" w:color="DDDDDD" w:sz="6" w:space="0"/>
            </w:tcBorders>
            <w:shd w:val="clear" w:color="auto" w:fill="C6D9F1"/>
            <w:tcMar>
              <w:top w:w="75" w:type="dxa"/>
              <w:left w:w="75" w:type="dxa"/>
              <w:bottom w:w="75" w:type="dxa"/>
              <w:right w:w="75" w:type="dxa"/>
            </w:tcMar>
            <w:vAlign w:val="center"/>
          </w:tcPr>
          <w:p w14:paraId="3D53B8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第二十条第（一）项</w:t>
            </w:r>
          </w:p>
        </w:tc>
      </w:tr>
      <w:tr w14:paraId="570F9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0" w:type="auto"/>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70E0A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信息内容</w:t>
            </w:r>
          </w:p>
        </w:tc>
        <w:tc>
          <w:tcPr>
            <w:tcW w:w="0" w:type="auto"/>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C862D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本年制发件数</w:t>
            </w:r>
          </w:p>
        </w:tc>
        <w:tc>
          <w:tcPr>
            <w:tcW w:w="0" w:type="auto"/>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770B9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本年废止件数</w:t>
            </w:r>
          </w:p>
        </w:tc>
        <w:tc>
          <w:tcPr>
            <w:tcW w:w="0" w:type="auto"/>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D304D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现行有效件数</w:t>
            </w:r>
          </w:p>
        </w:tc>
      </w:tr>
      <w:tr w14:paraId="3CAF0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0" w:type="auto"/>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34BAE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规章</w:t>
            </w:r>
          </w:p>
        </w:tc>
        <w:tc>
          <w:tcPr>
            <w:tcW w:w="0" w:type="auto"/>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286DA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0" w:type="auto"/>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364F2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0" w:type="auto"/>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BDCB9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r>
      <w:tr w14:paraId="09EC9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0" w:type="auto"/>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8ADD7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行政规范性文件</w:t>
            </w:r>
          </w:p>
        </w:tc>
        <w:tc>
          <w:tcPr>
            <w:tcW w:w="0" w:type="auto"/>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D5989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0" w:type="auto"/>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5616C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0" w:type="auto"/>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26CE0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r>
      <w:tr w14:paraId="47941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0" w:type="auto"/>
            <w:gridSpan w:val="4"/>
            <w:tcBorders>
              <w:top w:val="single" w:color="DDDDDD" w:sz="6" w:space="0"/>
              <w:left w:val="single" w:color="DDDDDD" w:sz="6" w:space="0"/>
              <w:bottom w:val="single" w:color="DDDDDD" w:sz="6" w:space="0"/>
              <w:right w:val="single" w:color="DDDDDD" w:sz="6" w:space="0"/>
            </w:tcBorders>
            <w:shd w:val="clear" w:color="auto" w:fill="C6D9F1"/>
            <w:tcMar>
              <w:top w:w="75" w:type="dxa"/>
              <w:left w:w="75" w:type="dxa"/>
              <w:bottom w:w="75" w:type="dxa"/>
              <w:right w:w="75" w:type="dxa"/>
            </w:tcMar>
            <w:vAlign w:val="center"/>
          </w:tcPr>
          <w:p w14:paraId="7F1E41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第二十条第（五）项</w:t>
            </w:r>
          </w:p>
        </w:tc>
      </w:tr>
      <w:tr w14:paraId="1D2CF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0" w:type="auto"/>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8BC1B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信息内容</w:t>
            </w:r>
          </w:p>
        </w:tc>
        <w:tc>
          <w:tcPr>
            <w:tcW w:w="0" w:type="auto"/>
            <w:gridSpan w:val="3"/>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5E724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本年处理决定数量</w:t>
            </w:r>
          </w:p>
        </w:tc>
      </w:tr>
      <w:tr w14:paraId="50C0F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70" w:hRule="atLeast"/>
          <w:jc w:val="center"/>
        </w:trPr>
        <w:tc>
          <w:tcPr>
            <w:tcW w:w="0" w:type="auto"/>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78F62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行政许可</w:t>
            </w:r>
          </w:p>
        </w:tc>
        <w:tc>
          <w:tcPr>
            <w:tcW w:w="0" w:type="auto"/>
            <w:gridSpan w:val="3"/>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C1C1E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r>
      <w:tr w14:paraId="4C10C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0" w:type="auto"/>
            <w:gridSpan w:val="4"/>
            <w:tcBorders>
              <w:top w:val="single" w:color="DDDDDD" w:sz="6" w:space="0"/>
              <w:left w:val="single" w:color="DDDDDD" w:sz="6" w:space="0"/>
              <w:bottom w:val="single" w:color="DDDDDD" w:sz="6" w:space="0"/>
              <w:right w:val="single" w:color="DDDDDD" w:sz="6" w:space="0"/>
            </w:tcBorders>
            <w:shd w:val="clear" w:color="auto" w:fill="C6D9F1"/>
            <w:tcMar>
              <w:top w:w="75" w:type="dxa"/>
              <w:left w:w="75" w:type="dxa"/>
              <w:bottom w:w="75" w:type="dxa"/>
              <w:right w:w="75" w:type="dxa"/>
            </w:tcMar>
            <w:vAlign w:val="center"/>
          </w:tcPr>
          <w:p w14:paraId="54740B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第二十条第（六）项</w:t>
            </w:r>
          </w:p>
        </w:tc>
      </w:tr>
      <w:tr w14:paraId="01652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0" w:type="auto"/>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76417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信息内容</w:t>
            </w:r>
          </w:p>
        </w:tc>
        <w:tc>
          <w:tcPr>
            <w:tcW w:w="0" w:type="auto"/>
            <w:gridSpan w:val="3"/>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D0277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本年处理决定数量</w:t>
            </w:r>
          </w:p>
        </w:tc>
      </w:tr>
      <w:tr w14:paraId="25FF3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0" w:type="auto"/>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3E323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行政处罚</w:t>
            </w:r>
          </w:p>
        </w:tc>
        <w:tc>
          <w:tcPr>
            <w:tcW w:w="0" w:type="auto"/>
            <w:gridSpan w:val="3"/>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4F2A6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　0</w:t>
            </w:r>
          </w:p>
        </w:tc>
      </w:tr>
      <w:tr w14:paraId="3738D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0" w:type="auto"/>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EFDC5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行政强制</w:t>
            </w:r>
          </w:p>
        </w:tc>
        <w:tc>
          <w:tcPr>
            <w:tcW w:w="0" w:type="auto"/>
            <w:gridSpan w:val="3"/>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B5940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　0</w:t>
            </w:r>
          </w:p>
        </w:tc>
      </w:tr>
      <w:tr w14:paraId="155EF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0" w:type="auto"/>
            <w:gridSpan w:val="4"/>
            <w:tcBorders>
              <w:top w:val="single" w:color="DDDDDD" w:sz="6" w:space="0"/>
              <w:left w:val="single" w:color="DDDDDD" w:sz="6" w:space="0"/>
              <w:bottom w:val="single" w:color="DDDDDD" w:sz="6" w:space="0"/>
              <w:right w:val="single" w:color="DDDDDD" w:sz="6" w:space="0"/>
            </w:tcBorders>
            <w:shd w:val="clear" w:color="auto" w:fill="C6D9F1"/>
            <w:tcMar>
              <w:top w:w="75" w:type="dxa"/>
              <w:left w:w="75" w:type="dxa"/>
              <w:bottom w:w="75" w:type="dxa"/>
              <w:right w:w="75" w:type="dxa"/>
            </w:tcMar>
            <w:vAlign w:val="center"/>
          </w:tcPr>
          <w:p w14:paraId="400721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第二十条第（八）项</w:t>
            </w:r>
          </w:p>
        </w:tc>
      </w:tr>
      <w:tr w14:paraId="6FF3D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0" w:type="auto"/>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9785C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信息内容</w:t>
            </w:r>
          </w:p>
        </w:tc>
        <w:tc>
          <w:tcPr>
            <w:tcW w:w="0" w:type="auto"/>
            <w:gridSpan w:val="3"/>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46B1F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本年收费金额（单位：万元）</w:t>
            </w:r>
          </w:p>
        </w:tc>
      </w:tr>
      <w:tr w14:paraId="4C0FD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0" w:type="auto"/>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D4EE3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行政事业性收费</w:t>
            </w:r>
          </w:p>
        </w:tc>
        <w:tc>
          <w:tcPr>
            <w:tcW w:w="0" w:type="auto"/>
            <w:gridSpan w:val="3"/>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24202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　0</w:t>
            </w:r>
          </w:p>
        </w:tc>
      </w:tr>
    </w:tbl>
    <w:p w14:paraId="4E0CB701">
      <w:pPr>
        <w:pStyle w:val="2"/>
        <w:keepNext w:val="0"/>
        <w:keepLines w:val="0"/>
        <w:widowControl/>
        <w:suppressLineNumbers w:val="0"/>
        <w:spacing w:before="75" w:beforeAutospacing="0" w:after="75" w:afterAutospacing="0"/>
        <w:ind w:right="0" w:firstLine="640" w:firstLineChars="200"/>
        <w:rPr>
          <w:rFonts w:hint="eastAsia" w:ascii="黑体" w:hAnsi="黑体" w:eastAsia="黑体" w:cs="黑体"/>
          <w:sz w:val="32"/>
          <w:szCs w:val="32"/>
        </w:rPr>
      </w:pPr>
      <w:r>
        <w:rPr>
          <w:rFonts w:hint="eastAsia" w:ascii="黑体" w:hAnsi="黑体" w:eastAsia="黑体" w:cs="黑体"/>
          <w:sz w:val="32"/>
          <w:szCs w:val="32"/>
        </w:rPr>
        <w:t>三、收到和处理政府信息公开申请情况 </w:t>
      </w:r>
    </w:p>
    <w:tbl>
      <w:tblPr>
        <w:tblW w:w="99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790"/>
        <w:gridCol w:w="1643"/>
        <w:gridCol w:w="2789"/>
        <w:gridCol w:w="793"/>
        <w:gridCol w:w="561"/>
        <w:gridCol w:w="561"/>
        <w:gridCol w:w="711"/>
        <w:gridCol w:w="684"/>
        <w:gridCol w:w="561"/>
        <w:gridCol w:w="822"/>
      </w:tblGrid>
      <w:tr w14:paraId="3DAAC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jc w:val="center"/>
        </w:trPr>
        <w:tc>
          <w:tcPr>
            <w:tcW w:w="5100" w:type="dxa"/>
            <w:gridSpan w:val="3"/>
            <w:vMerge w:val="restart"/>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60F0E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（本列数据的勾稽关系为：第一项加第二项之和，</w:t>
            </w:r>
            <w:r>
              <w:rPr>
                <w:rFonts w:hint="eastAsia" w:ascii="仿宋_GB2312" w:hAnsi="仿宋_GB2312" w:eastAsia="仿宋_GB2312" w:cs="仿宋_GB2312"/>
                <w:sz w:val="32"/>
                <w:szCs w:val="32"/>
                <w:bdr w:val="none" w:color="auto" w:sz="0" w:space="0"/>
              </w:rPr>
              <w:t>等于第三项加第四项之和）</w:t>
            </w:r>
          </w:p>
        </w:tc>
        <w:tc>
          <w:tcPr>
            <w:tcW w:w="4815" w:type="dxa"/>
            <w:gridSpan w:val="7"/>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8DFE6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申请人情况</w:t>
            </w:r>
          </w:p>
        </w:tc>
      </w:tr>
      <w:tr w14:paraId="45F5F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20" w:hRule="atLeast"/>
          <w:jc w:val="center"/>
        </w:trPr>
        <w:tc>
          <w:tcPr>
            <w:tcW w:w="5100" w:type="dxa"/>
            <w:gridSpan w:val="3"/>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D0BC436">
            <w:pPr>
              <w:rPr>
                <w:rFonts w:hint="eastAsia" w:ascii="仿宋_GB2312" w:hAnsi="仿宋_GB2312" w:eastAsia="仿宋_GB2312" w:cs="仿宋_GB2312"/>
                <w:sz w:val="32"/>
                <w:szCs w:val="32"/>
              </w:rPr>
            </w:pPr>
          </w:p>
        </w:tc>
        <w:tc>
          <w:tcPr>
            <w:tcW w:w="825" w:type="dxa"/>
            <w:vMerge w:val="restart"/>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26E4D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自然人</w:t>
            </w:r>
          </w:p>
        </w:tc>
        <w:tc>
          <w:tcPr>
            <w:tcW w:w="3135" w:type="dxa"/>
            <w:gridSpan w:val="5"/>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1C57A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法人或其他组织</w:t>
            </w:r>
          </w:p>
        </w:tc>
        <w:tc>
          <w:tcPr>
            <w:tcW w:w="855" w:type="dxa"/>
            <w:vMerge w:val="restart"/>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801C1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总计</w:t>
            </w:r>
          </w:p>
        </w:tc>
      </w:tr>
      <w:tr w14:paraId="5C060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5" w:hRule="atLeast"/>
          <w:jc w:val="center"/>
        </w:trPr>
        <w:tc>
          <w:tcPr>
            <w:tcW w:w="5100" w:type="dxa"/>
            <w:gridSpan w:val="3"/>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3D61E22">
            <w:pPr>
              <w:rPr>
                <w:rFonts w:hint="eastAsia" w:ascii="仿宋_GB2312" w:hAnsi="仿宋_GB2312" w:eastAsia="仿宋_GB2312" w:cs="仿宋_GB2312"/>
                <w:sz w:val="32"/>
                <w:szCs w:val="32"/>
              </w:rPr>
            </w:pPr>
          </w:p>
        </w:tc>
        <w:tc>
          <w:tcPr>
            <w:tcW w:w="825"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22F04FF">
            <w:pPr>
              <w:rPr>
                <w:rFonts w:hint="eastAsia" w:ascii="仿宋_GB2312" w:hAnsi="仿宋_GB2312" w:eastAsia="仿宋_GB2312" w:cs="仿宋_GB2312"/>
                <w:sz w:val="32"/>
                <w:szCs w:val="32"/>
              </w:rPr>
            </w:pP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B977B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商业企业</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C28AB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科研机构</w:t>
            </w:r>
          </w:p>
        </w:tc>
        <w:tc>
          <w:tcPr>
            <w:tcW w:w="73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D1005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社会公益组织</w:t>
            </w:r>
          </w:p>
        </w:tc>
        <w:tc>
          <w:tcPr>
            <w:tcW w:w="70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C65EA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法律服务机构</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DFBE2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其他</w:t>
            </w:r>
          </w:p>
        </w:tc>
        <w:tc>
          <w:tcPr>
            <w:tcW w:w="855"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0302A98">
            <w:pPr>
              <w:rPr>
                <w:rFonts w:hint="eastAsia" w:ascii="仿宋_GB2312" w:hAnsi="仿宋_GB2312" w:eastAsia="仿宋_GB2312" w:cs="仿宋_GB2312"/>
                <w:sz w:val="32"/>
                <w:szCs w:val="32"/>
              </w:rPr>
            </w:pPr>
          </w:p>
        </w:tc>
      </w:tr>
      <w:tr w14:paraId="6106C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 w:hRule="atLeast"/>
          <w:jc w:val="center"/>
        </w:trPr>
        <w:tc>
          <w:tcPr>
            <w:tcW w:w="5100" w:type="dxa"/>
            <w:gridSpan w:val="3"/>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DB8BE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一、本年新收政府信息公开申请数量</w:t>
            </w:r>
          </w:p>
        </w:tc>
        <w:tc>
          <w:tcPr>
            <w:tcW w:w="82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708B4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31265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1</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F488C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3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04F47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0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A4E77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106FD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85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934A3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1</w:t>
            </w:r>
          </w:p>
        </w:tc>
      </w:tr>
      <w:tr w14:paraId="31997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 w:hRule="atLeast"/>
          <w:jc w:val="center"/>
        </w:trPr>
        <w:tc>
          <w:tcPr>
            <w:tcW w:w="5100" w:type="dxa"/>
            <w:gridSpan w:val="3"/>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F1B41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二、上年结转政府信息公开申请数量</w:t>
            </w:r>
          </w:p>
        </w:tc>
        <w:tc>
          <w:tcPr>
            <w:tcW w:w="82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66203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C3997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D147B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3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EC9E1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0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7E20E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D08BE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85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ECD1C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r>
      <w:tr w14:paraId="00A09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420" w:type="dxa"/>
            <w:vMerge w:val="restart"/>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C10EC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三、本年度办理结果</w:t>
            </w:r>
          </w:p>
        </w:tc>
        <w:tc>
          <w:tcPr>
            <w:tcW w:w="4680" w:type="dxa"/>
            <w:gridSpan w:val="2"/>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CB847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（一）予以公开</w:t>
            </w:r>
          </w:p>
        </w:tc>
        <w:tc>
          <w:tcPr>
            <w:tcW w:w="82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77E42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69E77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1</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7B964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3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1EA82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0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71E16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6AD56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85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5D33F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1</w:t>
            </w:r>
          </w:p>
        </w:tc>
      </w:tr>
      <w:tr w14:paraId="74F60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420"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183664A">
            <w:pPr>
              <w:rPr>
                <w:rFonts w:hint="eastAsia" w:ascii="仿宋_GB2312" w:hAnsi="仿宋_GB2312" w:eastAsia="仿宋_GB2312" w:cs="仿宋_GB2312"/>
                <w:sz w:val="32"/>
                <w:szCs w:val="32"/>
              </w:rPr>
            </w:pPr>
          </w:p>
        </w:tc>
        <w:tc>
          <w:tcPr>
            <w:tcW w:w="4680" w:type="dxa"/>
            <w:gridSpan w:val="2"/>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CFF73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（二）部分公开（区分处理的，只计这一情形，不计其他情形）</w:t>
            </w:r>
          </w:p>
        </w:tc>
        <w:tc>
          <w:tcPr>
            <w:tcW w:w="82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15CE4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2099B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C1157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3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C5319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0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4D307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30D78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85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05F9A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r>
      <w:tr w14:paraId="63055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jc w:val="center"/>
        </w:trPr>
        <w:tc>
          <w:tcPr>
            <w:tcW w:w="420"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CEA8396">
            <w:pPr>
              <w:rPr>
                <w:rFonts w:hint="eastAsia" w:ascii="仿宋_GB2312" w:hAnsi="仿宋_GB2312" w:eastAsia="仿宋_GB2312" w:cs="仿宋_GB2312"/>
                <w:sz w:val="32"/>
                <w:szCs w:val="32"/>
              </w:rPr>
            </w:pPr>
          </w:p>
        </w:tc>
        <w:tc>
          <w:tcPr>
            <w:tcW w:w="1695" w:type="dxa"/>
            <w:vMerge w:val="restart"/>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DC067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（三）不予公开</w:t>
            </w:r>
          </w:p>
        </w:tc>
        <w:tc>
          <w:tcPr>
            <w:tcW w:w="29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A0988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1.属于国家秘密</w:t>
            </w:r>
          </w:p>
        </w:tc>
        <w:tc>
          <w:tcPr>
            <w:tcW w:w="82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CBE74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E82E3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A5EEA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3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04653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0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F24B2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5C352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85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4509D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r>
      <w:tr w14:paraId="649F9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jc w:val="center"/>
        </w:trPr>
        <w:tc>
          <w:tcPr>
            <w:tcW w:w="420"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D1073C4">
            <w:pPr>
              <w:rPr>
                <w:rFonts w:hint="eastAsia" w:ascii="仿宋_GB2312" w:hAnsi="仿宋_GB2312" w:eastAsia="仿宋_GB2312" w:cs="仿宋_GB2312"/>
                <w:sz w:val="32"/>
                <w:szCs w:val="32"/>
              </w:rPr>
            </w:pPr>
          </w:p>
        </w:tc>
        <w:tc>
          <w:tcPr>
            <w:tcW w:w="1695"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7B62AA9">
            <w:pPr>
              <w:rPr>
                <w:rFonts w:hint="eastAsia" w:ascii="仿宋_GB2312" w:hAnsi="仿宋_GB2312" w:eastAsia="仿宋_GB2312" w:cs="仿宋_GB2312"/>
                <w:sz w:val="32"/>
                <w:szCs w:val="32"/>
              </w:rPr>
            </w:pPr>
          </w:p>
        </w:tc>
        <w:tc>
          <w:tcPr>
            <w:tcW w:w="29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D052D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2.其他法律行政法规禁止公开</w:t>
            </w:r>
          </w:p>
        </w:tc>
        <w:tc>
          <w:tcPr>
            <w:tcW w:w="82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38FD0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46FE9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01D64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3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7FA25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0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A1F55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0ABC8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85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B77BB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r>
      <w:tr w14:paraId="7B737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jc w:val="center"/>
        </w:trPr>
        <w:tc>
          <w:tcPr>
            <w:tcW w:w="420"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4C221AC">
            <w:pPr>
              <w:rPr>
                <w:rFonts w:hint="eastAsia" w:ascii="仿宋_GB2312" w:hAnsi="仿宋_GB2312" w:eastAsia="仿宋_GB2312" w:cs="仿宋_GB2312"/>
                <w:sz w:val="32"/>
                <w:szCs w:val="32"/>
              </w:rPr>
            </w:pPr>
          </w:p>
        </w:tc>
        <w:tc>
          <w:tcPr>
            <w:tcW w:w="1695"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BF0B3BF">
            <w:pPr>
              <w:rPr>
                <w:rFonts w:hint="eastAsia" w:ascii="仿宋_GB2312" w:hAnsi="仿宋_GB2312" w:eastAsia="仿宋_GB2312" w:cs="仿宋_GB2312"/>
                <w:sz w:val="32"/>
                <w:szCs w:val="32"/>
              </w:rPr>
            </w:pPr>
          </w:p>
        </w:tc>
        <w:tc>
          <w:tcPr>
            <w:tcW w:w="29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BCC45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3.危及“三安全一稳定”</w:t>
            </w:r>
          </w:p>
        </w:tc>
        <w:tc>
          <w:tcPr>
            <w:tcW w:w="82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9930B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C9E71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7CAF5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3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4A06B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0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9F540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6E88B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85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83CE5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r>
      <w:tr w14:paraId="357AC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jc w:val="center"/>
        </w:trPr>
        <w:tc>
          <w:tcPr>
            <w:tcW w:w="420"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2C3B9C8">
            <w:pPr>
              <w:rPr>
                <w:rFonts w:hint="eastAsia" w:ascii="仿宋_GB2312" w:hAnsi="仿宋_GB2312" w:eastAsia="仿宋_GB2312" w:cs="仿宋_GB2312"/>
                <w:sz w:val="32"/>
                <w:szCs w:val="32"/>
              </w:rPr>
            </w:pPr>
          </w:p>
        </w:tc>
        <w:tc>
          <w:tcPr>
            <w:tcW w:w="1695"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07AC4F7">
            <w:pPr>
              <w:rPr>
                <w:rFonts w:hint="eastAsia" w:ascii="仿宋_GB2312" w:hAnsi="仿宋_GB2312" w:eastAsia="仿宋_GB2312" w:cs="仿宋_GB2312"/>
                <w:sz w:val="32"/>
                <w:szCs w:val="32"/>
              </w:rPr>
            </w:pPr>
          </w:p>
        </w:tc>
        <w:tc>
          <w:tcPr>
            <w:tcW w:w="29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DB582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4.保护第三方合法权益</w:t>
            </w:r>
          </w:p>
        </w:tc>
        <w:tc>
          <w:tcPr>
            <w:tcW w:w="82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AE4B3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2D8DB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ADD22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3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0732D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0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5F1F5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8550F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85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E1451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r>
      <w:tr w14:paraId="1A88B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jc w:val="center"/>
        </w:trPr>
        <w:tc>
          <w:tcPr>
            <w:tcW w:w="420"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5C87A92">
            <w:pPr>
              <w:rPr>
                <w:rFonts w:hint="eastAsia" w:ascii="仿宋_GB2312" w:hAnsi="仿宋_GB2312" w:eastAsia="仿宋_GB2312" w:cs="仿宋_GB2312"/>
                <w:sz w:val="32"/>
                <w:szCs w:val="32"/>
              </w:rPr>
            </w:pPr>
          </w:p>
        </w:tc>
        <w:tc>
          <w:tcPr>
            <w:tcW w:w="1695"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2B890E8">
            <w:pPr>
              <w:rPr>
                <w:rFonts w:hint="eastAsia" w:ascii="仿宋_GB2312" w:hAnsi="仿宋_GB2312" w:eastAsia="仿宋_GB2312" w:cs="仿宋_GB2312"/>
                <w:sz w:val="32"/>
                <w:szCs w:val="32"/>
              </w:rPr>
            </w:pPr>
          </w:p>
        </w:tc>
        <w:tc>
          <w:tcPr>
            <w:tcW w:w="29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544E7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5.属于三类内部事务信息</w:t>
            </w:r>
          </w:p>
        </w:tc>
        <w:tc>
          <w:tcPr>
            <w:tcW w:w="82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D797C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8DD8B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D1360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3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D912E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0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53867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C7331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85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23E05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r>
      <w:tr w14:paraId="319D1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jc w:val="center"/>
        </w:trPr>
        <w:tc>
          <w:tcPr>
            <w:tcW w:w="420"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F744588">
            <w:pPr>
              <w:rPr>
                <w:rFonts w:hint="eastAsia" w:ascii="仿宋_GB2312" w:hAnsi="仿宋_GB2312" w:eastAsia="仿宋_GB2312" w:cs="仿宋_GB2312"/>
                <w:sz w:val="32"/>
                <w:szCs w:val="32"/>
              </w:rPr>
            </w:pPr>
          </w:p>
        </w:tc>
        <w:tc>
          <w:tcPr>
            <w:tcW w:w="1695"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5A70429">
            <w:pPr>
              <w:rPr>
                <w:rFonts w:hint="eastAsia" w:ascii="仿宋_GB2312" w:hAnsi="仿宋_GB2312" w:eastAsia="仿宋_GB2312" w:cs="仿宋_GB2312"/>
                <w:sz w:val="32"/>
                <w:szCs w:val="32"/>
              </w:rPr>
            </w:pPr>
          </w:p>
        </w:tc>
        <w:tc>
          <w:tcPr>
            <w:tcW w:w="29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7E4F1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6.属于四类过程性信息</w:t>
            </w:r>
          </w:p>
        </w:tc>
        <w:tc>
          <w:tcPr>
            <w:tcW w:w="82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02E0C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CB596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43163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3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FC04B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0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CADE5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494BE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85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CC2BA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r>
      <w:tr w14:paraId="0D53B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jc w:val="center"/>
        </w:trPr>
        <w:tc>
          <w:tcPr>
            <w:tcW w:w="420"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D13E19A">
            <w:pPr>
              <w:rPr>
                <w:rFonts w:hint="eastAsia" w:ascii="仿宋_GB2312" w:hAnsi="仿宋_GB2312" w:eastAsia="仿宋_GB2312" w:cs="仿宋_GB2312"/>
                <w:sz w:val="32"/>
                <w:szCs w:val="32"/>
              </w:rPr>
            </w:pPr>
          </w:p>
        </w:tc>
        <w:tc>
          <w:tcPr>
            <w:tcW w:w="1695"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A984AA7">
            <w:pPr>
              <w:rPr>
                <w:rFonts w:hint="eastAsia" w:ascii="仿宋_GB2312" w:hAnsi="仿宋_GB2312" w:eastAsia="仿宋_GB2312" w:cs="仿宋_GB2312"/>
                <w:sz w:val="32"/>
                <w:szCs w:val="32"/>
              </w:rPr>
            </w:pPr>
          </w:p>
        </w:tc>
        <w:tc>
          <w:tcPr>
            <w:tcW w:w="29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77F8A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7.属于行政执法案卷</w:t>
            </w:r>
          </w:p>
        </w:tc>
        <w:tc>
          <w:tcPr>
            <w:tcW w:w="82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B10E4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C066E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686E0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3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78C2D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0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BAC4F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186ED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85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52F3E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r>
      <w:tr w14:paraId="22B81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jc w:val="center"/>
        </w:trPr>
        <w:tc>
          <w:tcPr>
            <w:tcW w:w="420"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9C85F71">
            <w:pPr>
              <w:rPr>
                <w:rFonts w:hint="eastAsia" w:ascii="仿宋_GB2312" w:hAnsi="仿宋_GB2312" w:eastAsia="仿宋_GB2312" w:cs="仿宋_GB2312"/>
                <w:sz w:val="32"/>
                <w:szCs w:val="32"/>
              </w:rPr>
            </w:pPr>
          </w:p>
        </w:tc>
        <w:tc>
          <w:tcPr>
            <w:tcW w:w="1695"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A621291">
            <w:pPr>
              <w:rPr>
                <w:rFonts w:hint="eastAsia" w:ascii="仿宋_GB2312" w:hAnsi="仿宋_GB2312" w:eastAsia="仿宋_GB2312" w:cs="仿宋_GB2312"/>
                <w:sz w:val="32"/>
                <w:szCs w:val="32"/>
              </w:rPr>
            </w:pPr>
          </w:p>
        </w:tc>
        <w:tc>
          <w:tcPr>
            <w:tcW w:w="29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D2973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8.属于行政查询事项</w:t>
            </w:r>
          </w:p>
        </w:tc>
        <w:tc>
          <w:tcPr>
            <w:tcW w:w="82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5EF7D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4AE23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F5F00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3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55FC4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0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3310B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AB792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85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BF789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r>
      <w:tr w14:paraId="04D91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jc w:val="center"/>
        </w:trPr>
        <w:tc>
          <w:tcPr>
            <w:tcW w:w="420"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F20962E">
            <w:pPr>
              <w:rPr>
                <w:rFonts w:hint="eastAsia" w:ascii="仿宋_GB2312" w:hAnsi="仿宋_GB2312" w:eastAsia="仿宋_GB2312" w:cs="仿宋_GB2312"/>
                <w:sz w:val="32"/>
                <w:szCs w:val="32"/>
              </w:rPr>
            </w:pPr>
          </w:p>
        </w:tc>
        <w:tc>
          <w:tcPr>
            <w:tcW w:w="1695" w:type="dxa"/>
            <w:vMerge w:val="restart"/>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5EF12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（四）无法提供</w:t>
            </w:r>
          </w:p>
        </w:tc>
        <w:tc>
          <w:tcPr>
            <w:tcW w:w="29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3CE0A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1.本机关不掌握相关政府信息</w:t>
            </w:r>
          </w:p>
        </w:tc>
        <w:tc>
          <w:tcPr>
            <w:tcW w:w="82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467B9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C6741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214A3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3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8B240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0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F65F2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F63B5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85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4C881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r>
      <w:tr w14:paraId="5C460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jc w:val="center"/>
        </w:trPr>
        <w:tc>
          <w:tcPr>
            <w:tcW w:w="420"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01F6743">
            <w:pPr>
              <w:rPr>
                <w:rFonts w:hint="eastAsia" w:ascii="仿宋_GB2312" w:hAnsi="仿宋_GB2312" w:eastAsia="仿宋_GB2312" w:cs="仿宋_GB2312"/>
                <w:sz w:val="32"/>
                <w:szCs w:val="32"/>
              </w:rPr>
            </w:pPr>
          </w:p>
        </w:tc>
        <w:tc>
          <w:tcPr>
            <w:tcW w:w="1695"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2D1866A">
            <w:pPr>
              <w:rPr>
                <w:rFonts w:hint="eastAsia" w:ascii="仿宋_GB2312" w:hAnsi="仿宋_GB2312" w:eastAsia="仿宋_GB2312" w:cs="仿宋_GB2312"/>
                <w:sz w:val="32"/>
                <w:szCs w:val="32"/>
              </w:rPr>
            </w:pPr>
          </w:p>
        </w:tc>
        <w:tc>
          <w:tcPr>
            <w:tcW w:w="29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D792C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2.没有现成信息需要另行制作</w:t>
            </w:r>
          </w:p>
        </w:tc>
        <w:tc>
          <w:tcPr>
            <w:tcW w:w="82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93C3B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FB370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C38A4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3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56881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0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BBFD5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7934E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85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42A16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r>
      <w:tr w14:paraId="5F9B6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jc w:val="center"/>
        </w:trPr>
        <w:tc>
          <w:tcPr>
            <w:tcW w:w="420"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0CBA675">
            <w:pPr>
              <w:rPr>
                <w:rFonts w:hint="eastAsia" w:ascii="仿宋_GB2312" w:hAnsi="仿宋_GB2312" w:eastAsia="仿宋_GB2312" w:cs="仿宋_GB2312"/>
                <w:sz w:val="32"/>
                <w:szCs w:val="32"/>
              </w:rPr>
            </w:pPr>
          </w:p>
        </w:tc>
        <w:tc>
          <w:tcPr>
            <w:tcW w:w="1695"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A88D88E">
            <w:pPr>
              <w:rPr>
                <w:rFonts w:hint="eastAsia" w:ascii="仿宋_GB2312" w:hAnsi="仿宋_GB2312" w:eastAsia="仿宋_GB2312" w:cs="仿宋_GB2312"/>
                <w:sz w:val="32"/>
                <w:szCs w:val="32"/>
              </w:rPr>
            </w:pPr>
          </w:p>
        </w:tc>
        <w:tc>
          <w:tcPr>
            <w:tcW w:w="29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DB74E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3.补正后申请内容仍不明确</w:t>
            </w:r>
          </w:p>
        </w:tc>
        <w:tc>
          <w:tcPr>
            <w:tcW w:w="82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7529A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8D605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B76A5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3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A1446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0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D3198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4B24E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85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DF9DB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r>
      <w:tr w14:paraId="7AB37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jc w:val="center"/>
        </w:trPr>
        <w:tc>
          <w:tcPr>
            <w:tcW w:w="420"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3DA1B6F">
            <w:pPr>
              <w:rPr>
                <w:rFonts w:hint="eastAsia" w:ascii="仿宋_GB2312" w:hAnsi="仿宋_GB2312" w:eastAsia="仿宋_GB2312" w:cs="仿宋_GB2312"/>
                <w:sz w:val="32"/>
                <w:szCs w:val="32"/>
              </w:rPr>
            </w:pPr>
          </w:p>
        </w:tc>
        <w:tc>
          <w:tcPr>
            <w:tcW w:w="1695" w:type="dxa"/>
            <w:vMerge w:val="restart"/>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5DD14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（五）不予处理</w:t>
            </w:r>
          </w:p>
        </w:tc>
        <w:tc>
          <w:tcPr>
            <w:tcW w:w="29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D0D75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1.信访举报投诉类申请</w:t>
            </w:r>
          </w:p>
        </w:tc>
        <w:tc>
          <w:tcPr>
            <w:tcW w:w="82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3F72E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01A60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E66C4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3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145FB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0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8A9C4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5E7F8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85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FD4A7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r>
      <w:tr w14:paraId="6A643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jc w:val="center"/>
        </w:trPr>
        <w:tc>
          <w:tcPr>
            <w:tcW w:w="420"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F448235">
            <w:pPr>
              <w:rPr>
                <w:rFonts w:hint="eastAsia" w:ascii="仿宋_GB2312" w:hAnsi="仿宋_GB2312" w:eastAsia="仿宋_GB2312" w:cs="仿宋_GB2312"/>
                <w:sz w:val="32"/>
                <w:szCs w:val="32"/>
              </w:rPr>
            </w:pPr>
          </w:p>
        </w:tc>
        <w:tc>
          <w:tcPr>
            <w:tcW w:w="1695"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4D3D5A6">
            <w:pPr>
              <w:rPr>
                <w:rFonts w:hint="eastAsia" w:ascii="仿宋_GB2312" w:hAnsi="仿宋_GB2312" w:eastAsia="仿宋_GB2312" w:cs="仿宋_GB2312"/>
                <w:sz w:val="32"/>
                <w:szCs w:val="32"/>
              </w:rPr>
            </w:pPr>
          </w:p>
        </w:tc>
        <w:tc>
          <w:tcPr>
            <w:tcW w:w="29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2C5A5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2.重复申请</w:t>
            </w:r>
          </w:p>
        </w:tc>
        <w:tc>
          <w:tcPr>
            <w:tcW w:w="82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FC287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FCFEF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08B72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3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A1A68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0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93013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9D2E2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85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D9EB9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r>
      <w:tr w14:paraId="303A2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jc w:val="center"/>
        </w:trPr>
        <w:tc>
          <w:tcPr>
            <w:tcW w:w="420"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EEC9FDD">
            <w:pPr>
              <w:rPr>
                <w:rFonts w:hint="eastAsia" w:ascii="仿宋_GB2312" w:hAnsi="仿宋_GB2312" w:eastAsia="仿宋_GB2312" w:cs="仿宋_GB2312"/>
                <w:sz w:val="32"/>
                <w:szCs w:val="32"/>
              </w:rPr>
            </w:pPr>
          </w:p>
        </w:tc>
        <w:tc>
          <w:tcPr>
            <w:tcW w:w="1695"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EEAF390">
            <w:pPr>
              <w:rPr>
                <w:rFonts w:hint="eastAsia" w:ascii="仿宋_GB2312" w:hAnsi="仿宋_GB2312" w:eastAsia="仿宋_GB2312" w:cs="仿宋_GB2312"/>
                <w:sz w:val="32"/>
                <w:szCs w:val="32"/>
              </w:rPr>
            </w:pPr>
          </w:p>
        </w:tc>
        <w:tc>
          <w:tcPr>
            <w:tcW w:w="29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97E45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3.要求提供公开出版物</w:t>
            </w:r>
          </w:p>
        </w:tc>
        <w:tc>
          <w:tcPr>
            <w:tcW w:w="82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94D76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3C0DE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27EDD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3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EE352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0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D752D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6846D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85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06794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r>
      <w:tr w14:paraId="63207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jc w:val="center"/>
        </w:trPr>
        <w:tc>
          <w:tcPr>
            <w:tcW w:w="420"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51DF171">
            <w:pPr>
              <w:rPr>
                <w:rFonts w:hint="eastAsia" w:ascii="仿宋_GB2312" w:hAnsi="仿宋_GB2312" w:eastAsia="仿宋_GB2312" w:cs="仿宋_GB2312"/>
                <w:sz w:val="32"/>
                <w:szCs w:val="32"/>
              </w:rPr>
            </w:pPr>
          </w:p>
        </w:tc>
        <w:tc>
          <w:tcPr>
            <w:tcW w:w="1695"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B24B286">
            <w:pPr>
              <w:rPr>
                <w:rFonts w:hint="eastAsia" w:ascii="仿宋_GB2312" w:hAnsi="仿宋_GB2312" w:eastAsia="仿宋_GB2312" w:cs="仿宋_GB2312"/>
                <w:sz w:val="32"/>
                <w:szCs w:val="32"/>
              </w:rPr>
            </w:pPr>
          </w:p>
        </w:tc>
        <w:tc>
          <w:tcPr>
            <w:tcW w:w="29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CC9A9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4.无正当理由大量反复申请</w:t>
            </w:r>
          </w:p>
        </w:tc>
        <w:tc>
          <w:tcPr>
            <w:tcW w:w="82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03AC9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DFB0E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5E621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3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3CC93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0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BD75C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07B8C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85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325FF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r>
      <w:tr w14:paraId="56BD5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420"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A2C70DB">
            <w:pPr>
              <w:rPr>
                <w:rFonts w:hint="eastAsia" w:ascii="仿宋_GB2312" w:hAnsi="仿宋_GB2312" w:eastAsia="仿宋_GB2312" w:cs="仿宋_GB2312"/>
                <w:sz w:val="32"/>
                <w:szCs w:val="32"/>
              </w:rPr>
            </w:pPr>
          </w:p>
        </w:tc>
        <w:tc>
          <w:tcPr>
            <w:tcW w:w="1695"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BF9718E">
            <w:pPr>
              <w:rPr>
                <w:rFonts w:hint="eastAsia" w:ascii="仿宋_GB2312" w:hAnsi="仿宋_GB2312" w:eastAsia="仿宋_GB2312" w:cs="仿宋_GB2312"/>
                <w:sz w:val="32"/>
                <w:szCs w:val="32"/>
              </w:rPr>
            </w:pPr>
          </w:p>
        </w:tc>
        <w:tc>
          <w:tcPr>
            <w:tcW w:w="29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38BD0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5.要求行政机关确认或重新出具已获取信息</w:t>
            </w:r>
          </w:p>
        </w:tc>
        <w:tc>
          <w:tcPr>
            <w:tcW w:w="82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88632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024C3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2DC43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3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322B3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0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AAA77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868D9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85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8E342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r>
      <w:tr w14:paraId="5AB60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420"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39B52A0">
            <w:pPr>
              <w:rPr>
                <w:rFonts w:hint="eastAsia" w:ascii="仿宋_GB2312" w:hAnsi="仿宋_GB2312" w:eastAsia="仿宋_GB2312" w:cs="仿宋_GB2312"/>
                <w:sz w:val="32"/>
                <w:szCs w:val="32"/>
              </w:rPr>
            </w:pPr>
          </w:p>
        </w:tc>
        <w:tc>
          <w:tcPr>
            <w:tcW w:w="1695" w:type="dxa"/>
            <w:vMerge w:val="restart"/>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D5747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（六）其他处理</w:t>
            </w:r>
          </w:p>
        </w:tc>
        <w:tc>
          <w:tcPr>
            <w:tcW w:w="29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2B416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1.申请人无正当理由逾期不补正、行政机关不再处理其政府信息公开申请</w:t>
            </w:r>
          </w:p>
        </w:tc>
        <w:tc>
          <w:tcPr>
            <w:tcW w:w="82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A850D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A2E5D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34CA4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3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FD6DB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0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F3856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256A0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85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07102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r>
      <w:tr w14:paraId="4D896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420"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2BA2765">
            <w:pPr>
              <w:rPr>
                <w:rFonts w:hint="eastAsia" w:ascii="仿宋_GB2312" w:hAnsi="仿宋_GB2312" w:eastAsia="仿宋_GB2312" w:cs="仿宋_GB2312"/>
                <w:sz w:val="32"/>
                <w:szCs w:val="32"/>
              </w:rPr>
            </w:pPr>
          </w:p>
        </w:tc>
        <w:tc>
          <w:tcPr>
            <w:tcW w:w="1695"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532DB6F">
            <w:pPr>
              <w:rPr>
                <w:rFonts w:hint="eastAsia" w:ascii="仿宋_GB2312" w:hAnsi="仿宋_GB2312" w:eastAsia="仿宋_GB2312" w:cs="仿宋_GB2312"/>
                <w:sz w:val="32"/>
                <w:szCs w:val="32"/>
              </w:rPr>
            </w:pPr>
          </w:p>
        </w:tc>
        <w:tc>
          <w:tcPr>
            <w:tcW w:w="29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76F2D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2.申请人逾期未按收费通知要求缴纳费用、行政机关不再处理其政府信息公开申请</w:t>
            </w:r>
          </w:p>
        </w:tc>
        <w:tc>
          <w:tcPr>
            <w:tcW w:w="82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C3D8E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311C4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0E1EC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3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C0CBB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0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869AE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C7AD3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85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B38E8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r>
      <w:tr w14:paraId="4075E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20"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9B418AE">
            <w:pPr>
              <w:rPr>
                <w:rFonts w:hint="eastAsia" w:ascii="仿宋_GB2312" w:hAnsi="仿宋_GB2312" w:eastAsia="仿宋_GB2312" w:cs="仿宋_GB2312"/>
                <w:sz w:val="32"/>
                <w:szCs w:val="32"/>
              </w:rPr>
            </w:pPr>
          </w:p>
        </w:tc>
        <w:tc>
          <w:tcPr>
            <w:tcW w:w="1695"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FF487F4">
            <w:pPr>
              <w:rPr>
                <w:rFonts w:hint="eastAsia" w:ascii="仿宋_GB2312" w:hAnsi="仿宋_GB2312" w:eastAsia="仿宋_GB2312" w:cs="仿宋_GB2312"/>
                <w:sz w:val="32"/>
                <w:szCs w:val="32"/>
              </w:rPr>
            </w:pPr>
          </w:p>
        </w:tc>
        <w:tc>
          <w:tcPr>
            <w:tcW w:w="29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88C29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3.其他</w:t>
            </w:r>
          </w:p>
        </w:tc>
        <w:tc>
          <w:tcPr>
            <w:tcW w:w="82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9A559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AA003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2CC8F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3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ECBC9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0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04B1F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B83C4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85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1A7B0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r>
      <w:tr w14:paraId="61015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420"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9FA2329">
            <w:pPr>
              <w:rPr>
                <w:rFonts w:hint="eastAsia" w:ascii="仿宋_GB2312" w:hAnsi="仿宋_GB2312" w:eastAsia="仿宋_GB2312" w:cs="仿宋_GB2312"/>
                <w:sz w:val="32"/>
                <w:szCs w:val="32"/>
              </w:rPr>
            </w:pPr>
          </w:p>
        </w:tc>
        <w:tc>
          <w:tcPr>
            <w:tcW w:w="4680" w:type="dxa"/>
            <w:gridSpan w:val="2"/>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CCB5D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（七）总计</w:t>
            </w:r>
          </w:p>
        </w:tc>
        <w:tc>
          <w:tcPr>
            <w:tcW w:w="82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B66EB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87531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1</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45A48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3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BEB5D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0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E7063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E67C1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85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EB15E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1</w:t>
            </w:r>
          </w:p>
        </w:tc>
      </w:tr>
      <w:tr w14:paraId="69639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5100" w:type="dxa"/>
            <w:gridSpan w:val="3"/>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8FF25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四、结转下年度继续办理</w:t>
            </w:r>
          </w:p>
        </w:tc>
        <w:tc>
          <w:tcPr>
            <w:tcW w:w="82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ED998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DAAB9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19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AAB32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3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537E9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70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D8949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7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49602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85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C8B4D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r>
    </w:tbl>
    <w:p w14:paraId="6591920E">
      <w:pPr>
        <w:pStyle w:val="2"/>
        <w:keepNext w:val="0"/>
        <w:keepLines w:val="0"/>
        <w:widowControl/>
        <w:suppressLineNumbers w:val="0"/>
        <w:spacing w:before="75" w:beforeAutospacing="0" w:after="75" w:afterAutospacing="0"/>
        <w:ind w:right="0"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tbl>
      <w:tblPr>
        <w:tblW w:w="90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600"/>
        <w:gridCol w:w="600"/>
        <w:gridCol w:w="600"/>
        <w:gridCol w:w="600"/>
        <w:gridCol w:w="675"/>
        <w:gridCol w:w="555"/>
        <w:gridCol w:w="600"/>
        <w:gridCol w:w="600"/>
        <w:gridCol w:w="600"/>
        <w:gridCol w:w="615"/>
        <w:gridCol w:w="600"/>
        <w:gridCol w:w="600"/>
        <w:gridCol w:w="600"/>
        <w:gridCol w:w="600"/>
        <w:gridCol w:w="630"/>
      </w:tblGrid>
      <w:tr w14:paraId="5F8F0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95" w:hRule="atLeast"/>
          <w:jc w:val="center"/>
        </w:trPr>
        <w:tc>
          <w:tcPr>
            <w:tcW w:w="3075" w:type="dxa"/>
            <w:gridSpan w:val="5"/>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4698F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行政复议</w:t>
            </w:r>
          </w:p>
        </w:tc>
        <w:tc>
          <w:tcPr>
            <w:tcW w:w="6000" w:type="dxa"/>
            <w:gridSpan w:val="10"/>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76779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行政诉讼</w:t>
            </w:r>
          </w:p>
        </w:tc>
      </w:tr>
      <w:tr w14:paraId="35C95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jc w:val="center"/>
        </w:trPr>
        <w:tc>
          <w:tcPr>
            <w:tcW w:w="600" w:type="dxa"/>
            <w:vMerge w:val="restart"/>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AAB7C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结果</w:t>
            </w:r>
          </w:p>
          <w:p w14:paraId="7667E3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维持</w:t>
            </w:r>
          </w:p>
        </w:tc>
        <w:tc>
          <w:tcPr>
            <w:tcW w:w="600" w:type="dxa"/>
            <w:vMerge w:val="restart"/>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C3A42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结果纠正</w:t>
            </w:r>
          </w:p>
        </w:tc>
        <w:tc>
          <w:tcPr>
            <w:tcW w:w="600" w:type="dxa"/>
            <w:vMerge w:val="restart"/>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2E04A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其他结果</w:t>
            </w:r>
          </w:p>
        </w:tc>
        <w:tc>
          <w:tcPr>
            <w:tcW w:w="600" w:type="dxa"/>
            <w:vMerge w:val="restart"/>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423C2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尚未</w:t>
            </w:r>
          </w:p>
          <w:p w14:paraId="025AC0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审结</w:t>
            </w:r>
          </w:p>
        </w:tc>
        <w:tc>
          <w:tcPr>
            <w:tcW w:w="660" w:type="dxa"/>
            <w:vMerge w:val="restart"/>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37E01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总</w:t>
            </w:r>
          </w:p>
          <w:p w14:paraId="02586A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计</w:t>
            </w:r>
          </w:p>
        </w:tc>
        <w:tc>
          <w:tcPr>
            <w:tcW w:w="2970" w:type="dxa"/>
            <w:gridSpan w:val="5"/>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2D22F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未经复议直接起诉</w:t>
            </w:r>
          </w:p>
        </w:tc>
        <w:tc>
          <w:tcPr>
            <w:tcW w:w="3030" w:type="dxa"/>
            <w:gridSpan w:val="5"/>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835A8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p>
          <w:p w14:paraId="7BA60A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复议后起诉</w:t>
            </w:r>
          </w:p>
          <w:p w14:paraId="40B3F4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p>
        </w:tc>
      </w:tr>
      <w:tr w14:paraId="77872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0" w:hRule="atLeast"/>
          <w:jc w:val="center"/>
        </w:trPr>
        <w:tc>
          <w:tcPr>
            <w:tcW w:w="600"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D3F4EA8">
            <w:pPr>
              <w:rPr>
                <w:rFonts w:hint="eastAsia" w:ascii="仿宋_GB2312" w:hAnsi="仿宋_GB2312" w:eastAsia="仿宋_GB2312" w:cs="仿宋_GB2312"/>
                <w:sz w:val="32"/>
                <w:szCs w:val="32"/>
              </w:rPr>
            </w:pPr>
          </w:p>
        </w:tc>
        <w:tc>
          <w:tcPr>
            <w:tcW w:w="600"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CDFED00">
            <w:pPr>
              <w:rPr>
                <w:rFonts w:hint="eastAsia" w:ascii="仿宋_GB2312" w:hAnsi="仿宋_GB2312" w:eastAsia="仿宋_GB2312" w:cs="仿宋_GB2312"/>
                <w:sz w:val="32"/>
                <w:szCs w:val="32"/>
              </w:rPr>
            </w:pPr>
          </w:p>
        </w:tc>
        <w:tc>
          <w:tcPr>
            <w:tcW w:w="600"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2EA194B">
            <w:pPr>
              <w:rPr>
                <w:rFonts w:hint="eastAsia" w:ascii="仿宋_GB2312" w:hAnsi="仿宋_GB2312" w:eastAsia="仿宋_GB2312" w:cs="仿宋_GB2312"/>
                <w:sz w:val="32"/>
                <w:szCs w:val="32"/>
              </w:rPr>
            </w:pPr>
          </w:p>
        </w:tc>
        <w:tc>
          <w:tcPr>
            <w:tcW w:w="600"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7CD8B5B">
            <w:pPr>
              <w:rPr>
                <w:rFonts w:hint="eastAsia" w:ascii="仿宋_GB2312" w:hAnsi="仿宋_GB2312" w:eastAsia="仿宋_GB2312" w:cs="仿宋_GB2312"/>
                <w:sz w:val="32"/>
                <w:szCs w:val="32"/>
              </w:rPr>
            </w:pPr>
          </w:p>
        </w:tc>
        <w:tc>
          <w:tcPr>
            <w:tcW w:w="660" w:type="dxa"/>
            <w:vMerge w:val="continue"/>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36E5AF73">
            <w:pPr>
              <w:rPr>
                <w:rFonts w:hint="eastAsia" w:ascii="仿宋_GB2312" w:hAnsi="仿宋_GB2312" w:eastAsia="仿宋_GB2312" w:cs="仿宋_GB2312"/>
                <w:sz w:val="32"/>
                <w:szCs w:val="32"/>
              </w:rPr>
            </w:pPr>
          </w:p>
        </w:tc>
        <w:tc>
          <w:tcPr>
            <w:tcW w:w="55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833EB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结果维持</w:t>
            </w:r>
          </w:p>
        </w:tc>
        <w:tc>
          <w:tcPr>
            <w:tcW w:w="60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1724B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结果纠正</w:t>
            </w:r>
          </w:p>
        </w:tc>
        <w:tc>
          <w:tcPr>
            <w:tcW w:w="60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4B9BF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其他</w:t>
            </w:r>
          </w:p>
          <w:p w14:paraId="57CC90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结果</w:t>
            </w:r>
          </w:p>
        </w:tc>
        <w:tc>
          <w:tcPr>
            <w:tcW w:w="60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D2FE7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尚未</w:t>
            </w:r>
          </w:p>
          <w:p w14:paraId="489DA0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审结</w:t>
            </w:r>
          </w:p>
        </w:tc>
        <w:tc>
          <w:tcPr>
            <w:tcW w:w="60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35782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总计</w:t>
            </w:r>
          </w:p>
        </w:tc>
        <w:tc>
          <w:tcPr>
            <w:tcW w:w="60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748182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结果维持</w:t>
            </w:r>
          </w:p>
        </w:tc>
        <w:tc>
          <w:tcPr>
            <w:tcW w:w="60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7D7AA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结果</w:t>
            </w:r>
          </w:p>
          <w:p w14:paraId="23BA33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纠正</w:t>
            </w:r>
          </w:p>
        </w:tc>
        <w:tc>
          <w:tcPr>
            <w:tcW w:w="60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4CC7E2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其他</w:t>
            </w:r>
          </w:p>
          <w:p w14:paraId="596A77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结果</w:t>
            </w:r>
          </w:p>
        </w:tc>
        <w:tc>
          <w:tcPr>
            <w:tcW w:w="60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3A388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尚未审结</w:t>
            </w:r>
          </w:p>
        </w:tc>
        <w:tc>
          <w:tcPr>
            <w:tcW w:w="60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C7CB8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总计</w:t>
            </w:r>
          </w:p>
        </w:tc>
      </w:tr>
      <w:tr w14:paraId="1973B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0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BF3EF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60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99E88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60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C14F8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60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FAFE2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66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A7F87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555"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3563E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60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0A181A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60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511569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60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C5803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60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B5F48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60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510D1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60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C5AA0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60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16479A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60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6AA355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c>
          <w:tcPr>
            <w:tcW w:w="600" w:type="dxa"/>
            <w:tcBorders>
              <w:top w:val="single" w:color="DDDDDD" w:sz="6" w:space="0"/>
              <w:left w:val="single" w:color="DDDDDD" w:sz="6" w:space="0"/>
              <w:bottom w:val="single" w:color="DDDDDD" w:sz="6" w:space="0"/>
              <w:right w:val="single" w:color="DDDDDD" w:sz="6" w:space="0"/>
            </w:tcBorders>
            <w:shd w:val="clear"/>
            <w:tcMar>
              <w:top w:w="75" w:type="dxa"/>
              <w:left w:w="75" w:type="dxa"/>
              <w:bottom w:w="75" w:type="dxa"/>
              <w:right w:w="75" w:type="dxa"/>
            </w:tcMar>
            <w:vAlign w:val="center"/>
          </w:tcPr>
          <w:p w14:paraId="2E139D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0</w:t>
            </w:r>
          </w:p>
        </w:tc>
      </w:tr>
    </w:tbl>
    <w:p w14:paraId="62FF7AA2">
      <w:pPr>
        <w:pStyle w:val="2"/>
        <w:keepNext w:val="0"/>
        <w:keepLines w:val="0"/>
        <w:widowControl/>
        <w:suppressLineNumbers w:val="0"/>
        <w:spacing w:before="75" w:beforeAutospacing="0" w:after="75" w:afterAutospacing="0"/>
        <w:ind w:right="0" w:firstLine="640" w:firstLineChars="200"/>
        <w:jc w:val="both"/>
        <w:rPr>
          <w:rFonts w:hint="eastAsia" w:ascii="黑体" w:hAnsi="黑体" w:eastAsia="黑体" w:cs="黑体"/>
          <w:sz w:val="32"/>
          <w:szCs w:val="32"/>
        </w:rPr>
      </w:pPr>
      <w:r>
        <w:rPr>
          <w:rFonts w:hint="eastAsia" w:ascii="黑体" w:hAnsi="黑体" w:eastAsia="黑体" w:cs="黑体"/>
          <w:sz w:val="32"/>
          <w:szCs w:val="32"/>
        </w:rPr>
        <w:t>五、存在的主要问题及改进情况</w:t>
      </w:r>
    </w:p>
    <w:p w14:paraId="4400827A">
      <w:pPr>
        <w:pStyle w:val="2"/>
        <w:keepNext w:val="0"/>
        <w:keepLines w:val="0"/>
        <w:widowControl/>
        <w:suppressLineNumbers w:val="0"/>
        <w:spacing w:before="75" w:beforeAutospacing="0" w:after="75" w:afterAutospacing="0"/>
        <w:ind w:right="0" w:firstLine="643"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（一）存在的主要问题</w:t>
      </w:r>
    </w:p>
    <w:p w14:paraId="5DF36BAA">
      <w:pPr>
        <w:pStyle w:val="2"/>
        <w:keepNext w:val="0"/>
        <w:keepLines w:val="0"/>
        <w:widowControl/>
        <w:suppressLineNumbers w:val="0"/>
        <w:spacing w:before="75" w:beforeAutospacing="0" w:after="75" w:afterAutospacing="0"/>
        <w:ind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部分医疗卫生机构线下信息公开存在不全面，不规范等问题，如无吸烟区指引、防盗标识等提示。</w:t>
      </w:r>
    </w:p>
    <w:p w14:paraId="209ECB4D">
      <w:pPr>
        <w:pStyle w:val="2"/>
        <w:keepNext w:val="0"/>
        <w:keepLines w:val="0"/>
        <w:widowControl/>
        <w:suppressLineNumbers w:val="0"/>
        <w:spacing w:before="75" w:beforeAutospacing="0" w:after="75" w:afterAutospacing="0"/>
        <w:ind w:right="0" w:firstLine="643"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（二）改进情况</w:t>
      </w:r>
    </w:p>
    <w:p w14:paraId="4693905D">
      <w:pPr>
        <w:pStyle w:val="2"/>
        <w:keepNext w:val="0"/>
        <w:keepLines w:val="0"/>
        <w:widowControl/>
        <w:suppressLineNumbers w:val="0"/>
        <w:spacing w:before="75" w:beforeAutospacing="0" w:after="75" w:afterAutospacing="0"/>
        <w:ind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冠县卫生健康局督促各医疗卫生机构严格按照《卫生健康领域公共企事业单位信息公开第三方评估指标体系》要求，对评估方式为现场查看的三级指标信息逐一进行检查、完善，并加大考核力度，进一步做实、做好医疗卫生机构政府信息公开工作。</w:t>
      </w:r>
    </w:p>
    <w:p w14:paraId="08FE3571">
      <w:pPr>
        <w:pStyle w:val="2"/>
        <w:keepNext w:val="0"/>
        <w:keepLines w:val="0"/>
        <w:widowControl/>
        <w:suppressLineNumbers w:val="0"/>
        <w:spacing w:before="75" w:beforeAutospacing="0" w:after="75" w:afterAutospacing="0"/>
        <w:ind w:right="0" w:firstLine="640" w:firstLineChars="200"/>
        <w:jc w:val="both"/>
        <w:rPr>
          <w:rFonts w:hint="eastAsia" w:ascii="黑体" w:hAnsi="黑体" w:eastAsia="黑体" w:cs="黑体"/>
          <w:sz w:val="32"/>
          <w:szCs w:val="32"/>
        </w:rPr>
      </w:pPr>
      <w:r>
        <w:rPr>
          <w:rFonts w:hint="eastAsia" w:ascii="黑体" w:hAnsi="黑体" w:eastAsia="黑体" w:cs="黑体"/>
          <w:sz w:val="32"/>
          <w:szCs w:val="32"/>
        </w:rPr>
        <w:t>六、其他需要报告的事项</w:t>
      </w:r>
    </w:p>
    <w:p w14:paraId="34CF72E9">
      <w:pPr>
        <w:pStyle w:val="2"/>
        <w:keepNext w:val="0"/>
        <w:keepLines w:val="0"/>
        <w:widowControl/>
        <w:suppressLineNumbers w:val="0"/>
        <w:spacing w:before="75" w:beforeAutospacing="0" w:after="75" w:afterAutospacing="0"/>
        <w:ind w:right="0" w:firstLine="643"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（一）政府信息公开信息处理费收取情况</w:t>
      </w:r>
    </w:p>
    <w:p w14:paraId="234226AD">
      <w:pPr>
        <w:pStyle w:val="2"/>
        <w:keepNext w:val="0"/>
        <w:keepLines w:val="0"/>
        <w:widowControl/>
        <w:suppressLineNumbers w:val="0"/>
        <w:spacing w:before="75" w:beforeAutospacing="0" w:after="75" w:afterAutospacing="0"/>
        <w:ind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真落实《国务院办公厅关于印发&lt;政府信息公开信息处理费管理办法&gt;的通知》（国办函〔2020〕109号）和《山东省人民政府办公厅关于做好政府信息公开信息处理费管理工作有关事项的通知》（鲁政办字〔2020〕179号）规定，本年度政府信息公开未收取信息处理费。</w:t>
      </w:r>
    </w:p>
    <w:p w14:paraId="24B9F201">
      <w:pPr>
        <w:pStyle w:val="2"/>
        <w:keepNext w:val="0"/>
        <w:keepLines w:val="0"/>
        <w:widowControl/>
        <w:suppressLineNumbers w:val="0"/>
        <w:spacing w:before="75" w:beforeAutospacing="0" w:after="75" w:afterAutospacing="0"/>
        <w:ind w:right="0" w:firstLine="643"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（二）落实年度政务公开工作要点情况</w:t>
      </w:r>
    </w:p>
    <w:p w14:paraId="173C5CE4">
      <w:pPr>
        <w:pStyle w:val="2"/>
        <w:keepNext w:val="0"/>
        <w:keepLines w:val="0"/>
        <w:widowControl/>
        <w:suppressLineNumbers w:val="0"/>
        <w:spacing w:before="75" w:beforeAutospacing="0" w:after="75" w:afterAutospacing="0"/>
        <w:ind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严格落实《冠县人民政府办公室关于2024年政务公开重点工作任务分工的通知》要求，结合我单位工作实际，制定了《冠县卫生健康局2024年政务公开重点工作任务分工》，严格按照任务分工要求，及时、精准、高质量做好卫生健康领域信息公开工作，确保政府信息公开常态化。</w:t>
      </w:r>
    </w:p>
    <w:p w14:paraId="14421316">
      <w:pPr>
        <w:pStyle w:val="2"/>
        <w:keepNext w:val="0"/>
        <w:keepLines w:val="0"/>
        <w:widowControl/>
        <w:suppressLineNumbers w:val="0"/>
        <w:spacing w:before="75" w:beforeAutospacing="0" w:after="75" w:afterAutospacing="0"/>
        <w:ind w:right="0" w:firstLine="643"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（三）人大代表建议和政协提案办理结果公开情况</w:t>
      </w:r>
    </w:p>
    <w:p w14:paraId="6EF58AD6">
      <w:pPr>
        <w:pStyle w:val="2"/>
        <w:keepNext w:val="0"/>
        <w:keepLines w:val="0"/>
        <w:widowControl/>
        <w:suppressLineNumbers w:val="0"/>
        <w:spacing w:before="75" w:beforeAutospacing="0" w:after="75" w:afterAutospacing="0"/>
        <w:ind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共办理人大代表建议5件、政协提案12件，办复率均为100%。严格按照《山东省人民政府办公厅关于做好人大代表建议和政协提案办理结果公开工作的通知》（鲁政办字〔2016〕63号）要求，除涉及国家秘密、工作秘密的，所有建议提案办理复文或摘要以及办理总体情况均在冠县人民政府网站“冠县建议提案办理”专栏进行了集中公开。</w:t>
      </w:r>
    </w:p>
    <w:p w14:paraId="4B37ED36">
      <w:pPr>
        <w:pStyle w:val="2"/>
        <w:keepNext w:val="0"/>
        <w:keepLines w:val="0"/>
        <w:widowControl/>
        <w:suppressLineNumbers w:val="0"/>
        <w:spacing w:before="75" w:beforeAutospacing="0" w:after="75" w:afterAutospacing="0"/>
        <w:ind w:right="0" w:firstLine="643"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（四）政务公开工作创新情况</w:t>
      </w:r>
    </w:p>
    <w:p w14:paraId="374DF20A">
      <w:pPr>
        <w:pStyle w:val="2"/>
        <w:keepNext w:val="0"/>
        <w:keepLines w:val="0"/>
        <w:widowControl/>
        <w:suppressLineNumbers w:val="0"/>
        <w:spacing w:before="75" w:beforeAutospacing="0" w:after="75" w:afterAutospacing="0"/>
        <w:ind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2024年9月11日下午冠县卫生健康局在冠县清泉街道社区卫生服务中心开展以“走进基层医疗卫生机构 让群众‘近’享优质医疗服务”为主题的卫健系统政府开放日活动，增进政府与群众的沟通联系，保障人民群众的知情权、参与权和监督权，切实提高社会满意度。</w:t>
      </w:r>
    </w:p>
    <w:p w14:paraId="1F1369A8">
      <w:pPr>
        <w:pStyle w:val="2"/>
        <w:keepNext w:val="0"/>
        <w:keepLines w:val="0"/>
        <w:widowControl/>
        <w:suppressLineNumbers w:val="0"/>
        <w:spacing w:before="75" w:beforeAutospacing="0" w:after="75" w:afterAutospacing="0"/>
        <w:ind w:right="0" w:firstLine="643"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（五）政府信息公开年度报告数据统计需要说明的事项</w:t>
      </w:r>
    </w:p>
    <w:p w14:paraId="61619D3C">
      <w:pPr>
        <w:pStyle w:val="2"/>
        <w:keepNext w:val="0"/>
        <w:keepLines w:val="0"/>
        <w:widowControl/>
        <w:suppressLineNumbers w:val="0"/>
        <w:spacing w:before="75" w:beforeAutospacing="0" w:after="75" w:afterAutospacing="0"/>
        <w:ind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1.本年度报告中所列数据统计期限从2024年1月1日到12月31日止。</w:t>
      </w:r>
    </w:p>
    <w:p w14:paraId="1C4CF332">
      <w:pPr>
        <w:pStyle w:val="2"/>
        <w:keepNext w:val="0"/>
        <w:keepLines w:val="0"/>
        <w:widowControl/>
        <w:suppressLineNumbers w:val="0"/>
        <w:spacing w:before="75" w:beforeAutospacing="0" w:after="75" w:afterAutospacing="0"/>
        <w:ind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2.行政许可数量、行政处罚和行政强制数量，包括已公开和依法未公开的全部处理决定。</w:t>
      </w:r>
    </w:p>
    <w:p w14:paraId="676785DE">
      <w:pPr>
        <w:pStyle w:val="2"/>
        <w:keepNext w:val="0"/>
        <w:keepLines w:val="0"/>
        <w:widowControl/>
        <w:suppressLineNumbers w:val="0"/>
        <w:spacing w:before="75" w:beforeAutospacing="0" w:after="75" w:afterAutospacing="0"/>
        <w:ind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3.行政复议机关作为共同被告的行政诉讼案件，只计算原行为主体的案件数量，不计算行政复议机关的案件数量。</w:t>
      </w:r>
    </w:p>
    <w:p w14:paraId="4424A533">
      <w:pPr>
        <w:pStyle w:val="2"/>
        <w:keepNext w:val="0"/>
        <w:keepLines w:val="0"/>
        <w:widowControl/>
        <w:suppressLineNumbers w:val="0"/>
        <w:spacing w:before="75" w:beforeAutospacing="0" w:after="75" w:afterAutospacing="0"/>
        <w:ind w:right="0" w:firstLine="643"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（六）医疗卫生机构信息公开情况</w:t>
      </w:r>
    </w:p>
    <w:p w14:paraId="322A9561">
      <w:pPr>
        <w:pStyle w:val="2"/>
        <w:keepNext w:val="0"/>
        <w:keepLines w:val="0"/>
        <w:widowControl/>
        <w:suppressLineNumbers w:val="0"/>
        <w:spacing w:before="75" w:beforeAutospacing="0" w:after="75" w:afterAutospacing="0"/>
        <w:ind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一步规范医疗卫生机构信息公开，2024年,医院、基层医疗卫生机构、妇幼保健机构、疾病预防控制中心等四个类型的23个医疗卫生机构在冠县人民政府网站主动公开基本信息、诊疗服务、健康科普等信息1117条，方便公民、法人和其他社会组织获得权威医疗卫生机构的服务信息。</w:t>
      </w:r>
    </w:p>
    <w:p w14:paraId="173F2D17">
      <w:pPr>
        <w:pStyle w:val="2"/>
        <w:keepNext w:val="0"/>
        <w:keepLines w:val="0"/>
        <w:widowControl/>
        <w:suppressLineNumbers w:val="0"/>
        <w:spacing w:before="75" w:beforeAutospacing="0" w:after="75"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shd w:val="clear" w:fill="FFFFFF"/>
        </w:rPr>
        <w:drawing>
          <wp:inline distT="0" distB="0" distL="114300" distR="114300">
            <wp:extent cx="5273675" cy="3457575"/>
            <wp:effectExtent l="0" t="0" r="3175" b="9525"/>
            <wp:docPr id="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1"/>
                    </pic:cNvPicPr>
                  </pic:nvPicPr>
                  <pic:blipFill>
                    <a:blip r:embed="rId7"/>
                    <a:stretch>
                      <a:fillRect/>
                    </a:stretch>
                  </pic:blipFill>
                  <pic:spPr>
                    <a:xfrm>
                      <a:off x="0" y="0"/>
                      <a:ext cx="5273675" cy="3457575"/>
                    </a:xfrm>
                    <a:prstGeom prst="rect">
                      <a:avLst/>
                    </a:prstGeom>
                    <a:noFill/>
                    <a:ln w="9525">
                      <a:noFill/>
                    </a:ln>
                  </pic:spPr>
                </pic:pic>
              </a:graphicData>
            </a:graphic>
          </wp:inline>
        </w:drawing>
      </w:r>
    </w:p>
    <w:p w14:paraId="13553B47">
      <w:pPr>
        <w:pStyle w:val="2"/>
        <w:keepNext w:val="0"/>
        <w:keepLines w:val="0"/>
        <w:widowControl/>
        <w:suppressLineNumbers w:val="0"/>
        <w:spacing w:before="75" w:beforeAutospacing="0" w:after="75" w:afterAutospacing="0"/>
        <w:ind w:left="0" w:right="0"/>
        <w:rPr>
          <w:rFonts w:hint="eastAsia" w:ascii="仿宋_GB2312" w:hAnsi="仿宋_GB2312" w:eastAsia="仿宋_GB2312" w:cs="仿宋_GB2312"/>
          <w:sz w:val="32"/>
          <w:szCs w:val="32"/>
        </w:rPr>
      </w:pPr>
    </w:p>
    <w:p w14:paraId="3B93FA0E">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楷体-GB2312">
    <w:altName w:val="楷体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1C3E03"/>
    <w:rsid w:val="271C3E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4</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2025-01-14T07:41:00Z</dcterms:created>
  <dc:creator>cookie</dc:creator>
  <cp:lastModifiedBy>cookie</cp:lastModifiedBy>
  <dcterms:modified xsi:type="dcterms:W3CDTF">2025-01-14T07:45:55Z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A161359C72C14BB88A63645B5F74AADA_11</vt:lpwstr>
  </property>
  <property fmtid="{D5CDD505-2E9C-101B-9397-08002B2CF9AE}" pid="4" name="KSOTemplateDocerSaveRecord">
    <vt:lpwstr>eyJoZGlkIjoiYmFiYzI2MWM0NWFiMWQ2ODljYjk4YzY5MTQxZGNlN2IiLCJ1c2VySWQiOiI0MjIyMzUzNjYifQ==</vt:lpwstr>
  </property>
</Properties>
</file>