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11E0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CESI小标宋-GB2312" w:hAnsi="CESI小标宋-GB2312" w:eastAsia="CESI小标宋-GB2312" w:cs="CESI小标宋-GB2312"/>
          <w:sz w:val="44"/>
          <w:szCs w:val="44"/>
        </w:rPr>
      </w:pPr>
      <w:r>
        <w:rPr>
          <w:rFonts w:hint="eastAsia" w:ascii="CESI小标宋-GB2312" w:hAnsi="CESI小标宋-GB2312" w:eastAsia="CESI小标宋-GB2312" w:cs="CESI小标宋-GB2312"/>
          <w:sz w:val="44"/>
          <w:szCs w:val="44"/>
          <w:lang w:eastAsia="zh-CN"/>
        </w:rPr>
        <w:t>冠县</w:t>
      </w:r>
      <w:r>
        <w:rPr>
          <w:rFonts w:hint="eastAsia" w:ascii="CESI小标宋-GB2312" w:hAnsi="CESI小标宋-GB2312" w:eastAsia="CESI小标宋-GB2312" w:cs="CESI小标宋-GB2312"/>
          <w:sz w:val="44"/>
          <w:szCs w:val="44"/>
          <w:lang w:val="en-US" w:eastAsia="zh-CN"/>
        </w:rPr>
        <w:t>审计局2024年</w:t>
      </w:r>
      <w:r>
        <w:rPr>
          <w:rFonts w:hint="eastAsia" w:ascii="CESI小标宋-GB2312" w:hAnsi="CESI小标宋-GB2312" w:eastAsia="CESI小标宋-GB2312" w:cs="CESI小标宋-GB2312"/>
          <w:sz w:val="44"/>
          <w:szCs w:val="44"/>
        </w:rPr>
        <w:t>政府信息公开工作年度报告</w:t>
      </w:r>
    </w:p>
    <w:p w14:paraId="08C9FBC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报告根据《中华人民共和国政府信息公开条例》（以下简称《条例》）</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sz w:val="32"/>
          <w:szCs w:val="32"/>
        </w:rPr>
        <w:t>《国务院办公厅政府信息与政务公开办公室关于印发&lt;中华人民共和国政府信息公开工作年度报告格式&gt;的通知》（国办公开办函〔2021〕30号）相关</w:t>
      </w:r>
      <w:r>
        <w:rPr>
          <w:rFonts w:hint="eastAsia" w:ascii="仿宋_GB2312" w:hAnsi="仿宋_GB2312" w:eastAsia="仿宋_GB2312" w:cs="仿宋_GB2312"/>
          <w:color w:val="auto"/>
          <w:sz w:val="32"/>
          <w:szCs w:val="32"/>
        </w:rPr>
        <w:t>要求编制</w:t>
      </w:r>
      <w:r>
        <w:rPr>
          <w:rFonts w:hint="eastAsia" w:ascii="仿宋_GB2312" w:hAnsi="仿宋_GB2312" w:eastAsia="仿宋_GB2312" w:cs="仿宋_GB2312"/>
          <w:color w:val="auto"/>
          <w:sz w:val="32"/>
          <w:szCs w:val="32"/>
          <w:lang w:eastAsia="zh-CN"/>
        </w:rPr>
        <w:t>，全文</w:t>
      </w:r>
      <w:r>
        <w:rPr>
          <w:rFonts w:hint="eastAsia" w:ascii="仿宋_GB2312" w:hAnsi="仿宋_GB2312" w:eastAsia="仿宋_GB2312" w:cs="仿宋_GB2312"/>
          <w:color w:val="auto"/>
          <w:sz w:val="32"/>
          <w:szCs w:val="32"/>
        </w:rPr>
        <w:t>包括总体情况、主动公开政府信息情况、收到和处理政府信息公开申请情况、</w:t>
      </w:r>
      <w:r>
        <w:rPr>
          <w:rFonts w:hint="eastAsia" w:ascii="仿宋_GB2312" w:hAnsi="仿宋_GB2312" w:eastAsia="仿宋_GB2312" w:cs="仿宋_GB2312"/>
          <w:i w:val="0"/>
          <w:caps w:val="0"/>
          <w:color w:val="auto"/>
          <w:spacing w:val="0"/>
          <w:kern w:val="0"/>
          <w:sz w:val="32"/>
          <w:szCs w:val="32"/>
          <w:lang w:val="en-US" w:eastAsia="zh-CN" w:bidi="ar"/>
        </w:rPr>
        <w:t>因政府信息公开工作被申请行政复议和提起行政诉讼情况、政府信息公开工作</w:t>
      </w:r>
      <w:r>
        <w:rPr>
          <w:rFonts w:hint="eastAsia" w:ascii="仿宋_GB2312" w:hAnsi="仿宋_GB2312" w:eastAsia="仿宋_GB2312" w:cs="仿宋_GB2312"/>
          <w:color w:val="auto"/>
          <w:sz w:val="32"/>
          <w:szCs w:val="32"/>
        </w:rPr>
        <w:t>存在的主要问题及改进情况、其他需要报告的事项</w:t>
      </w:r>
      <w:r>
        <w:rPr>
          <w:rFonts w:hint="eastAsia" w:ascii="仿宋_GB2312" w:hAnsi="仿宋_GB2312" w:eastAsia="仿宋_GB2312" w:cs="仿宋_GB2312"/>
          <w:color w:val="auto"/>
          <w:sz w:val="32"/>
          <w:szCs w:val="32"/>
          <w:lang w:eastAsia="zh-CN"/>
        </w:rPr>
        <w:t>等六个部分</w:t>
      </w:r>
      <w:r>
        <w:rPr>
          <w:rFonts w:hint="eastAsia" w:ascii="仿宋_GB2312" w:hAnsi="仿宋_GB2312" w:eastAsia="仿宋_GB2312" w:cs="仿宋_GB2312"/>
          <w:color w:val="auto"/>
          <w:sz w:val="32"/>
          <w:szCs w:val="32"/>
        </w:rPr>
        <w:t>。本年度报告中所列数据统计期限从202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年1月1日</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12月31日。本年度报告电子版可从</w:t>
      </w:r>
      <w:r>
        <w:rPr>
          <w:rFonts w:hint="eastAsia" w:ascii="仿宋_GB2312" w:hAnsi="仿宋_GB2312" w:eastAsia="仿宋_GB2312" w:cs="仿宋_GB2312"/>
          <w:color w:val="auto"/>
          <w:sz w:val="32"/>
          <w:szCs w:val="32"/>
          <w:lang w:eastAsia="zh-CN"/>
        </w:rPr>
        <w:t>冠县人民政府网站</w:t>
      </w:r>
      <w:r>
        <w:rPr>
          <w:rFonts w:hint="eastAsia" w:ascii="仿宋_GB2312" w:hAnsi="仿宋_GB2312" w:eastAsia="仿宋_GB2312" w:cs="仿宋_GB2312"/>
          <w:color w:val="auto"/>
          <w:sz w:val="32"/>
          <w:szCs w:val="32"/>
        </w:rPr>
        <w:t>（http://www.guanxian.gov.cn/）下载。</w:t>
      </w:r>
      <w:r>
        <w:rPr>
          <w:rFonts w:hint="eastAsia" w:ascii="仿宋_GB2312" w:hAnsi="仿宋_GB2312" w:eastAsia="仿宋_GB2312" w:cs="仿宋_GB2312"/>
          <w:i w:val="0"/>
          <w:caps w:val="0"/>
          <w:color w:val="auto"/>
          <w:spacing w:val="0"/>
          <w:kern w:val="0"/>
          <w:sz w:val="32"/>
          <w:szCs w:val="32"/>
          <w:lang w:val="en-US" w:eastAsia="zh-CN" w:bidi="ar"/>
        </w:rPr>
        <w:t>公众如需进一步咨询了解相关信息，请与冠县审计局联系（地址：山东省聊城市冠县育才路45号；邮编：252500；电话:0635-5231038；邮箱:gxsjjfgk@lc.shandong.cn）</w:t>
      </w:r>
      <w:r>
        <w:rPr>
          <w:rFonts w:hint="eastAsia" w:ascii="仿宋_GB2312" w:hAnsi="仿宋_GB2312" w:eastAsia="仿宋_GB2312" w:cs="仿宋_GB2312"/>
          <w:color w:val="auto"/>
          <w:sz w:val="32"/>
          <w:szCs w:val="32"/>
        </w:rPr>
        <w:t>。</w:t>
      </w:r>
    </w:p>
    <w:p w14:paraId="653E1A8C">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eastAsia="楷体_GB2312"/>
          <w:sz w:val="32"/>
          <w:szCs w:val="32"/>
          <w:lang w:eastAsia="zh-CN"/>
        </w:rPr>
      </w:pPr>
      <w:r>
        <w:rPr>
          <w:rFonts w:hint="eastAsia" w:ascii="CESI黑体-GB2312" w:hAnsi="CESI黑体-GB2312" w:eastAsia="CESI黑体-GB2312" w:cs="CESI黑体-GB2312"/>
          <w:b w:val="0"/>
          <w:bCs w:val="0"/>
          <w:sz w:val="32"/>
          <w:szCs w:val="32"/>
        </w:rPr>
        <w:t>总体情况</w:t>
      </w:r>
    </w:p>
    <w:p w14:paraId="530E7AFE">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i w:val="0"/>
          <w:iCs w:val="0"/>
          <w:caps w:val="0"/>
          <w:color w:val="000000"/>
          <w:spacing w:val="0"/>
          <w:sz w:val="32"/>
          <w:szCs w:val="32"/>
        </w:rPr>
        <w:t>202</w:t>
      </w:r>
      <w:r>
        <w:rPr>
          <w:rFonts w:hint="eastAsia" w:ascii="仿宋_GB2312" w:hAnsi="仿宋_GB2312" w:eastAsia="仿宋_GB2312" w:cs="仿宋_GB2312"/>
          <w:b w:val="0"/>
          <w:bCs w:val="0"/>
          <w:i w:val="0"/>
          <w:iCs w:val="0"/>
          <w:caps w:val="0"/>
          <w:color w:val="000000"/>
          <w:spacing w:val="0"/>
          <w:sz w:val="32"/>
          <w:szCs w:val="32"/>
          <w:lang w:val="en-US" w:eastAsia="zh-CN"/>
        </w:rPr>
        <w:t>4</w:t>
      </w:r>
      <w:r>
        <w:rPr>
          <w:rFonts w:hint="eastAsia" w:ascii="仿宋_GB2312" w:hAnsi="仿宋_GB2312" w:eastAsia="仿宋_GB2312" w:cs="仿宋_GB2312"/>
          <w:b w:val="0"/>
          <w:bCs w:val="0"/>
          <w:i w:val="0"/>
          <w:iCs w:val="0"/>
          <w:caps w:val="0"/>
          <w:color w:val="000000"/>
          <w:spacing w:val="0"/>
          <w:sz w:val="32"/>
          <w:szCs w:val="32"/>
        </w:rPr>
        <w:t>年，</w:t>
      </w:r>
      <w:r>
        <w:rPr>
          <w:rFonts w:hint="eastAsia" w:ascii="仿宋_GB2312" w:hAnsi="仿宋_GB2312" w:eastAsia="仿宋_GB2312" w:cs="仿宋_GB2312"/>
          <w:b w:val="0"/>
          <w:bCs w:val="0"/>
          <w:color w:val="auto"/>
          <w:sz w:val="32"/>
          <w:szCs w:val="32"/>
        </w:rPr>
        <w:t>冠县审计局坚持以习近平新时代中国特色社会主义思想为指导，深入贯彻落实全面深化政务公开有关工作要求，不断拓展公开的广度和深度，提高审计工作透明度，实现政务公开工作与审计业务工作深度融合、互促共进。</w:t>
      </w:r>
    </w:p>
    <w:p w14:paraId="3764981A">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CESI楷体-GB2312" w:hAnsi="CESI楷体-GB2312" w:eastAsia="CESI楷体-GB2312" w:cs="CESI楷体-GB2312"/>
          <w:b/>
          <w:bCs/>
          <w:sz w:val="32"/>
          <w:szCs w:val="32"/>
          <w:lang w:eastAsia="zh-CN"/>
        </w:rPr>
        <w:t>（</w:t>
      </w:r>
      <w:r>
        <w:rPr>
          <w:rFonts w:hint="eastAsia" w:ascii="CESI楷体-GB2312" w:hAnsi="CESI楷体-GB2312" w:eastAsia="CESI楷体-GB2312" w:cs="CESI楷体-GB2312"/>
          <w:b/>
          <w:bCs/>
          <w:sz w:val="32"/>
          <w:szCs w:val="32"/>
          <w:lang w:val="en-US" w:eastAsia="zh-CN"/>
        </w:rPr>
        <w:t>一</w:t>
      </w:r>
      <w:r>
        <w:rPr>
          <w:rFonts w:hint="eastAsia" w:ascii="CESI楷体-GB2312" w:hAnsi="CESI楷体-GB2312" w:eastAsia="CESI楷体-GB2312" w:cs="CESI楷体-GB2312"/>
          <w:b/>
          <w:bCs/>
          <w:sz w:val="32"/>
          <w:szCs w:val="32"/>
          <w:lang w:eastAsia="zh-CN"/>
        </w:rPr>
        <w:t>）</w:t>
      </w:r>
      <w:r>
        <w:rPr>
          <w:rFonts w:hint="eastAsia" w:ascii="CESI楷体-GB2312" w:hAnsi="CESI楷体-GB2312" w:eastAsia="CESI楷体-GB2312" w:cs="CESI楷体-GB2312"/>
          <w:b/>
          <w:bCs/>
          <w:sz w:val="32"/>
          <w:szCs w:val="32"/>
        </w:rPr>
        <w:t>主动公开</w:t>
      </w:r>
    </w:p>
    <w:p w14:paraId="7F0308B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lang w:eastAsia="zh-CN"/>
        </w:rPr>
      </w:pPr>
      <w:r>
        <w:rPr>
          <w:rFonts w:hint="eastAsia" w:ascii="仿宋_GB2312" w:hAnsi="仿宋_GB2312" w:eastAsia="仿宋_GB2312" w:cs="仿宋_GB2312"/>
          <w:b w:val="0"/>
          <w:bCs w:val="0"/>
          <w:i w:val="0"/>
          <w:iCs w:val="0"/>
          <w:caps w:val="0"/>
          <w:color w:val="000000"/>
          <w:spacing w:val="0"/>
          <w:sz w:val="32"/>
          <w:szCs w:val="32"/>
          <w:lang w:val="en-US" w:eastAsia="zh-CN"/>
        </w:rPr>
        <w:t>2024年，</w:t>
      </w:r>
      <w:r>
        <w:rPr>
          <w:rFonts w:hint="eastAsia" w:ascii="仿宋_GB2312" w:hAnsi="仿宋_GB2312" w:eastAsia="仿宋_GB2312" w:cs="仿宋_GB2312"/>
          <w:b w:val="0"/>
          <w:bCs w:val="0"/>
          <w:i w:val="0"/>
          <w:iCs w:val="0"/>
          <w:caps w:val="0"/>
          <w:color w:val="000000"/>
          <w:spacing w:val="0"/>
          <w:sz w:val="32"/>
          <w:szCs w:val="32"/>
          <w:lang w:eastAsia="zh-CN"/>
        </w:rPr>
        <w:t>出台《冠县</w:t>
      </w:r>
      <w:r>
        <w:rPr>
          <w:rFonts w:hint="eastAsia" w:ascii="仿宋_GB2312" w:hAnsi="仿宋_GB2312" w:eastAsia="仿宋_GB2312" w:cs="仿宋_GB2312"/>
          <w:b w:val="0"/>
          <w:bCs w:val="0"/>
          <w:i w:val="0"/>
          <w:iCs w:val="0"/>
          <w:caps w:val="0"/>
          <w:color w:val="000000"/>
          <w:spacing w:val="0"/>
          <w:sz w:val="32"/>
          <w:szCs w:val="32"/>
          <w:lang w:val="en-US" w:eastAsia="zh-CN"/>
        </w:rPr>
        <w:t>审计局2024</w:t>
      </w:r>
      <w:r>
        <w:rPr>
          <w:rFonts w:hint="eastAsia" w:ascii="仿宋_GB2312" w:hAnsi="仿宋_GB2312" w:eastAsia="仿宋_GB2312" w:cs="仿宋_GB2312"/>
          <w:b w:val="0"/>
          <w:bCs w:val="0"/>
          <w:i w:val="0"/>
          <w:iCs w:val="0"/>
          <w:caps w:val="0"/>
          <w:color w:val="000000"/>
          <w:spacing w:val="0"/>
          <w:sz w:val="32"/>
          <w:szCs w:val="32"/>
        </w:rPr>
        <w:t>年政务公开重点工作任务分工</w:t>
      </w: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lang w:val="en-US" w:eastAsia="zh-CN"/>
        </w:rPr>
        <w:t>按要求</w:t>
      </w:r>
      <w:r>
        <w:rPr>
          <w:rFonts w:hint="eastAsia" w:ascii="仿宋_GB2312" w:hAnsi="仿宋_GB2312" w:eastAsia="仿宋_GB2312" w:cs="仿宋_GB2312"/>
          <w:b w:val="0"/>
          <w:bCs w:val="0"/>
          <w:i w:val="0"/>
          <w:iCs w:val="0"/>
          <w:caps w:val="0"/>
          <w:color w:val="000000"/>
          <w:spacing w:val="0"/>
          <w:sz w:val="32"/>
          <w:szCs w:val="32"/>
          <w:lang w:eastAsia="zh-CN"/>
        </w:rPr>
        <w:t>及时向社会公开本单位政府信息。通过冠县人民政府网站主动公开发布政府信息</w:t>
      </w:r>
      <w:r>
        <w:rPr>
          <w:rFonts w:hint="eastAsia" w:ascii="仿宋_GB2312" w:hAnsi="仿宋_GB2312" w:eastAsia="仿宋_GB2312" w:cs="仿宋_GB2312"/>
          <w:b w:val="0"/>
          <w:bCs w:val="0"/>
          <w:i w:val="0"/>
          <w:iCs w:val="0"/>
          <w:caps w:val="0"/>
          <w:color w:val="000000"/>
          <w:spacing w:val="0"/>
          <w:sz w:val="32"/>
          <w:szCs w:val="32"/>
          <w:lang w:val="en-US" w:eastAsia="zh-CN"/>
        </w:rPr>
        <w:t>39条，</w:t>
      </w:r>
      <w:r>
        <w:rPr>
          <w:rFonts w:hint="eastAsia" w:ascii="仿宋_GB2312" w:eastAsia="仿宋_GB2312"/>
          <w:sz w:val="32"/>
          <w:szCs w:val="32"/>
          <w:lang w:val="en-US" w:eastAsia="zh-CN"/>
        </w:rPr>
        <w:t>其中财政信息4条、行政执法公示19条、基础建设2条、组织管理3条、法治政府建设1条、审计信息1条、政府信息公开指南1条、机构职能7条。</w:t>
      </w:r>
      <w:r>
        <w:rPr>
          <w:rFonts w:hint="eastAsia" w:ascii="仿宋_GB2312" w:eastAsia="仿宋_GB2312"/>
          <w:color w:val="auto"/>
          <w:sz w:val="32"/>
          <w:szCs w:val="32"/>
          <w:lang w:val="en-US" w:eastAsia="zh-CN"/>
        </w:rPr>
        <w:t>相关网站留言在2个工作日内处理、答复，确保群众问题及时解决</w:t>
      </w:r>
      <w:r>
        <w:rPr>
          <w:rFonts w:hint="eastAsia" w:ascii="仿宋_GB2312" w:hAnsi="仿宋_GB2312" w:eastAsia="仿宋_GB2312" w:cs="仿宋_GB2312"/>
          <w:b w:val="0"/>
          <w:bCs w:val="0"/>
          <w:i w:val="0"/>
          <w:iCs w:val="0"/>
          <w:caps w:val="0"/>
          <w:color w:val="000000"/>
          <w:spacing w:val="0"/>
          <w:sz w:val="32"/>
          <w:szCs w:val="32"/>
          <w:lang w:val="en-US" w:eastAsia="zh-CN"/>
        </w:rPr>
        <w:t>。</w:t>
      </w:r>
    </w:p>
    <w:p w14:paraId="7E64F408">
      <w:pPr>
        <w:rPr>
          <w:rFonts w:hint="eastAsia"/>
        </w:rPr>
      </w:pPr>
    </w:p>
    <w:p w14:paraId="1457709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drawing>
          <wp:inline distT="0" distB="0" distL="114300" distR="114300">
            <wp:extent cx="5271135" cy="2731770"/>
            <wp:effectExtent l="0" t="0" r="5715" b="11430"/>
            <wp:docPr id="8" name="图片 8" descr="政务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政务2"/>
                    <pic:cNvPicPr>
                      <a:picLocks noChangeAspect="1"/>
                    </pic:cNvPicPr>
                  </pic:nvPicPr>
                  <pic:blipFill>
                    <a:blip r:embed="rId5"/>
                    <a:stretch>
                      <a:fillRect/>
                    </a:stretch>
                  </pic:blipFill>
                  <pic:spPr>
                    <a:xfrm>
                      <a:off x="0" y="0"/>
                      <a:ext cx="5271135" cy="2731770"/>
                    </a:xfrm>
                    <a:prstGeom prst="rect">
                      <a:avLst/>
                    </a:prstGeom>
                  </pic:spPr>
                </pic:pic>
              </a:graphicData>
            </a:graphic>
          </wp:inline>
        </w:drawing>
      </w:r>
    </w:p>
    <w:p w14:paraId="08B8395E">
      <w:pPr>
        <w:pStyle w:val="2"/>
        <w:numPr>
          <w:ilvl w:val="0"/>
          <w:numId w:val="0"/>
        </w:numPr>
        <w:rPr>
          <w:rFonts w:hint="eastAsia"/>
          <w:lang w:val="en-US" w:eastAsia="zh-CN"/>
        </w:rPr>
      </w:pPr>
    </w:p>
    <w:p w14:paraId="6623343A">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lang w:eastAsia="zh-CN"/>
        </w:rPr>
        <w:t>（二）</w:t>
      </w:r>
      <w:r>
        <w:rPr>
          <w:rFonts w:hint="eastAsia" w:ascii="CESI楷体-GB2312" w:hAnsi="CESI楷体-GB2312" w:eastAsia="CESI楷体-GB2312" w:cs="CESI楷体-GB2312"/>
          <w:b/>
          <w:bCs/>
          <w:sz w:val="32"/>
          <w:szCs w:val="32"/>
        </w:rPr>
        <w:t>依申请公开</w:t>
      </w:r>
    </w:p>
    <w:p w14:paraId="7C88B3F1">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pPr>
      <w:r>
        <w:rPr>
          <w:rFonts w:hint="eastAsia" w:ascii="仿宋_GB2312" w:eastAsia="仿宋_GB2312"/>
          <w:sz w:val="32"/>
          <w:szCs w:val="32"/>
          <w:lang w:val="en-US" w:eastAsia="zh-CN"/>
        </w:rPr>
        <w:t>2024年，共受理政府信息公开申请1件，申请数量与去年持平。</w:t>
      </w:r>
      <w:r>
        <w:rPr>
          <w:rFonts w:hint="eastAsia" w:ascii="仿宋_GB2312" w:eastAsia="仿宋_GB2312"/>
          <w:sz w:val="32"/>
          <w:szCs w:val="32"/>
        </w:rPr>
        <w:t>政府信息公开申请内容</w:t>
      </w:r>
      <w:r>
        <w:rPr>
          <w:rFonts w:hint="eastAsia" w:ascii="仿宋_GB2312" w:eastAsia="仿宋_GB2312"/>
          <w:sz w:val="32"/>
          <w:szCs w:val="32"/>
          <w:lang w:val="en-US" w:eastAsia="zh-CN"/>
        </w:rPr>
        <w:t>为申请公开单位有关政策文件</w:t>
      </w:r>
      <w:r>
        <w:rPr>
          <w:rFonts w:hint="default" w:ascii="仿宋_GB2312" w:eastAsia="仿宋_GB2312"/>
          <w:sz w:val="32"/>
          <w:szCs w:val="32"/>
          <w:lang w:val="en-US" w:eastAsia="zh-CN"/>
        </w:rPr>
        <w:t>。</w:t>
      </w:r>
      <w:r>
        <w:rPr>
          <w:rFonts w:hint="eastAsia" w:ascii="仿宋_GB2312" w:eastAsia="仿宋_GB2312"/>
          <w:sz w:val="32"/>
          <w:szCs w:val="32"/>
        </w:rPr>
        <w:t>本年度答复政府信息公开申请</w:t>
      </w:r>
      <w:r>
        <w:rPr>
          <w:rFonts w:hint="eastAsia" w:ascii="仿宋_GB2312" w:eastAsia="仿宋_GB2312"/>
          <w:sz w:val="32"/>
          <w:szCs w:val="32"/>
          <w:lang w:val="en-US" w:eastAsia="zh-CN"/>
        </w:rPr>
        <w:t>1</w:t>
      </w:r>
      <w:r>
        <w:rPr>
          <w:rFonts w:hint="eastAsia" w:ascii="仿宋_GB2312" w:eastAsia="仿宋_GB2312"/>
          <w:sz w:val="32"/>
          <w:szCs w:val="32"/>
        </w:rPr>
        <w:t>件</w:t>
      </w:r>
      <w:r>
        <w:rPr>
          <w:rFonts w:hint="eastAsia" w:ascii="仿宋_GB2312" w:eastAsia="仿宋_GB2312"/>
          <w:sz w:val="32"/>
          <w:szCs w:val="32"/>
          <w:lang w:eastAsia="zh-CN"/>
        </w:rPr>
        <w:t>，</w:t>
      </w:r>
      <w:r>
        <w:rPr>
          <w:rFonts w:hint="eastAsia" w:ascii="仿宋_GB2312" w:eastAsia="仿宋_GB2312"/>
          <w:sz w:val="32"/>
          <w:szCs w:val="32"/>
        </w:rPr>
        <w:t>均在法定期限内予以答复。</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要求补正1件，申请人无正当理由逾期未补正</w:t>
      </w:r>
      <w:r>
        <w:rPr>
          <w:rFonts w:hint="default" w:ascii="仿宋_GB2312" w:hAnsi="宋体" w:eastAsia="仿宋_GB2312" w:cs="仿宋_GB2312"/>
          <w:i w:val="0"/>
          <w:caps w:val="0"/>
          <w:color w:val="auto"/>
          <w:spacing w:val="0"/>
          <w:kern w:val="0"/>
          <w:sz w:val="32"/>
          <w:szCs w:val="32"/>
          <w:u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全年未发生因政府信息公开被行政复议、提起行政诉讼情况。</w:t>
      </w:r>
    </w:p>
    <w:p w14:paraId="79870351">
      <w:pPr>
        <w:pStyle w:val="2"/>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pPr>
    </w:p>
    <w:p w14:paraId="1B3290AF">
      <w:pPr>
        <w:rPr>
          <w:rFonts w:hint="eastAsia"/>
          <w:lang w:val="en-US" w:eastAsia="zh-CN"/>
        </w:rPr>
      </w:pPr>
      <w:r>
        <w:rPr>
          <w:rFonts w:hint="eastAsia"/>
          <w:lang w:val="en-US" w:eastAsia="zh-CN"/>
        </w:rPr>
        <w:drawing>
          <wp:inline distT="0" distB="0" distL="114300" distR="114300">
            <wp:extent cx="5038725" cy="2766695"/>
            <wp:effectExtent l="0" t="0" r="9525" b="14605"/>
            <wp:docPr id="9" name="图片 9" descr="政务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政务3"/>
                    <pic:cNvPicPr>
                      <a:picLocks noChangeAspect="1"/>
                    </pic:cNvPicPr>
                  </pic:nvPicPr>
                  <pic:blipFill>
                    <a:blip r:embed="rId6"/>
                    <a:stretch>
                      <a:fillRect/>
                    </a:stretch>
                  </pic:blipFill>
                  <pic:spPr>
                    <a:xfrm>
                      <a:off x="0" y="0"/>
                      <a:ext cx="5038725" cy="2766695"/>
                    </a:xfrm>
                    <a:prstGeom prst="rect">
                      <a:avLst/>
                    </a:prstGeom>
                  </pic:spPr>
                </pic:pic>
              </a:graphicData>
            </a:graphic>
          </wp:inline>
        </w:drawing>
      </w:r>
    </w:p>
    <w:p w14:paraId="16D89548">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lang w:eastAsia="zh-CN"/>
        </w:rPr>
        <w:t>（三）</w:t>
      </w:r>
      <w:r>
        <w:rPr>
          <w:rFonts w:hint="eastAsia" w:ascii="CESI楷体-GB2312" w:hAnsi="CESI楷体-GB2312" w:eastAsia="CESI楷体-GB2312" w:cs="CESI楷体-GB2312"/>
          <w:b/>
          <w:bCs/>
          <w:sz w:val="32"/>
          <w:szCs w:val="32"/>
        </w:rPr>
        <w:t>政府信息管理</w:t>
      </w:r>
    </w:p>
    <w:p w14:paraId="1F1F2F07">
      <w:pPr>
        <w:ind w:firstLine="640" w:firstLineChars="200"/>
        <w:rPr>
          <w:rFonts w:hint="default" w:ascii="仿宋_GB2312" w:eastAsia="仿宋_GB2312"/>
          <w:sz w:val="32"/>
          <w:szCs w:val="32"/>
          <w:lang w:val="en-US"/>
        </w:rPr>
      </w:pP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加强政府信息保密管理。按照“先审查、后公开”的原则，对发布的内容严格落实分管领导和主要领导签批制度，切实做好政府信息公开保密审查，确保公开信息不涉密、涉密信息不公开。</w:t>
      </w:r>
    </w:p>
    <w:p w14:paraId="3DE7EAF4">
      <w:pPr>
        <w:keepNext w:val="0"/>
        <w:keepLines w:val="0"/>
        <w:pageBreakBefore w:val="0"/>
        <w:numPr>
          <w:ilvl w:val="0"/>
          <w:numId w:val="2"/>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政府信息公开平台建设</w:t>
      </w:r>
    </w:p>
    <w:p w14:paraId="4994FB83">
      <w:pPr>
        <w:ind w:firstLine="640" w:firstLineChars="200"/>
        <w:rPr>
          <w:rFonts w:hint="eastAsia" w:ascii="仿宋_GB2312" w:eastAsia="仿宋_GB2312"/>
          <w:sz w:val="32"/>
          <w:szCs w:val="32"/>
          <w:lang w:val="en-US" w:eastAsia="zh-CN"/>
        </w:rPr>
      </w:pP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做好法定主动公开内容的规范发布、日常检查、更新维护等工作。加强审计结果公开、主动公开行政执法结果、机构职能、</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单位预决算等信息。</w:t>
      </w:r>
    </w:p>
    <w:p w14:paraId="6C22742B">
      <w:pPr>
        <w:keepNext w:val="0"/>
        <w:keepLines w:val="0"/>
        <w:pageBreakBefore w:val="0"/>
        <w:numPr>
          <w:ilvl w:val="0"/>
          <w:numId w:val="2"/>
        </w:numPr>
        <w:kinsoku/>
        <w:wordWrap/>
        <w:overflowPunct/>
        <w:topLinePunct w:val="0"/>
        <w:autoSpaceDE/>
        <w:autoSpaceDN/>
        <w:bidi w:val="0"/>
        <w:adjustRightInd/>
        <w:snapToGrid/>
        <w:spacing w:line="600" w:lineRule="exact"/>
        <w:ind w:left="0" w:leftChars="0"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监督保障</w:t>
      </w:r>
    </w:p>
    <w:p w14:paraId="1CACF564">
      <w:pPr>
        <w:ind w:firstLine="640" w:firstLineChars="200"/>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pP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一是明确政务公开工作分管领导、责任科室和具体工作人员，做到责任落实到岗、工作落实到人。二是积极参加政务公开专题培训，加强政务公开队伍建设，不断提高民政政务公开工作水平。</w:t>
      </w:r>
    </w:p>
    <w:p w14:paraId="4829BDE0">
      <w:pPr>
        <w:pStyle w:val="2"/>
        <w:rPr>
          <w:rFonts w:hint="eastAsia" w:eastAsia="仿宋_GB2312"/>
          <w:lang w:eastAsia="zh-CN"/>
        </w:rPr>
      </w:pPr>
      <w:r>
        <w:rPr>
          <w:rFonts w:hint="eastAsia" w:eastAsia="仿宋_GB2312"/>
          <w:lang w:eastAsia="zh-CN"/>
        </w:rPr>
        <w:drawing>
          <wp:inline distT="0" distB="0" distL="114300" distR="114300">
            <wp:extent cx="5264785" cy="3950335"/>
            <wp:effectExtent l="0" t="0" r="12065" b="12065"/>
            <wp:docPr id="11" name="图片 11" descr="政务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政务5"/>
                    <pic:cNvPicPr>
                      <a:picLocks noChangeAspect="1"/>
                    </pic:cNvPicPr>
                  </pic:nvPicPr>
                  <pic:blipFill>
                    <a:blip r:embed="rId7"/>
                    <a:stretch>
                      <a:fillRect/>
                    </a:stretch>
                  </pic:blipFill>
                  <pic:spPr>
                    <a:xfrm>
                      <a:off x="0" y="0"/>
                      <a:ext cx="5264785" cy="3950335"/>
                    </a:xfrm>
                    <a:prstGeom prst="rect">
                      <a:avLst/>
                    </a:prstGeom>
                  </pic:spPr>
                </pic:pic>
              </a:graphicData>
            </a:graphic>
          </wp:inline>
        </w:drawing>
      </w:r>
    </w:p>
    <w:p w14:paraId="0D44098F">
      <w:pPr>
        <w:pStyle w:val="3"/>
        <w:numPr>
          <w:ilvl w:val="0"/>
          <w:numId w:val="3"/>
        </w:numPr>
        <w:spacing w:before="0" w:after="0" w:line="240" w:lineRule="auto"/>
        <w:ind w:firstLine="640" w:firstLineChars="200"/>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rPr>
        <w:t>主动公开政府信息情况</w:t>
      </w:r>
    </w:p>
    <w:tbl>
      <w:tblPr>
        <w:tblStyle w:val="6"/>
        <w:tblpPr w:leftFromText="180" w:rightFromText="180" w:vertAnchor="text" w:horzAnchor="page" w:tblpXSpec="center" w:tblpY="596"/>
        <w:tblOverlap w:val="never"/>
        <w:tblW w:w="5000" w:type="pct"/>
        <w:jc w:val="center"/>
        <w:tblLayout w:type="autofit"/>
        <w:tblCellMar>
          <w:top w:w="0" w:type="dxa"/>
          <w:left w:w="108" w:type="dxa"/>
          <w:bottom w:w="0" w:type="dxa"/>
          <w:right w:w="108" w:type="dxa"/>
        </w:tblCellMar>
      </w:tblPr>
      <w:tblGrid>
        <w:gridCol w:w="2130"/>
        <w:gridCol w:w="2130"/>
        <w:gridCol w:w="2131"/>
        <w:gridCol w:w="2131"/>
      </w:tblGrid>
      <w:tr w14:paraId="2CED7D84">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76C886F">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0E00391F">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5A219C1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14:paraId="2D74C6D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38AF9B3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1AA44FA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79BACAD7">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6D61167F">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14:paraId="4E9F6EF9">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50AA72DF">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29B13EA0">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12879257">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18BB1C8B">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14:paraId="34BB648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1FB835B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59D80A41">
            <w:pPr>
              <w:widowControl/>
              <w:jc w:val="center"/>
              <w:rPr>
                <w:rFonts w:ascii="仿宋_GB2312" w:hAnsi="Calibri" w:eastAsia="仿宋_GB2312" w:cs="Calibri"/>
                <w:color w:val="000000"/>
                <w:kern w:val="0"/>
                <w:szCs w:val="21"/>
              </w:rPr>
            </w:pPr>
            <w:r>
              <w:rPr>
                <w:rFonts w:hint="eastAsia" w:ascii="仿宋_GB2312" w:eastAsia="仿宋_GB2312" w:cs="Calibri"/>
                <w:color w:val="000000"/>
                <w:kern w:val="0"/>
                <w:szCs w:val="21"/>
                <w:lang w:val="en-US" w:eastAsia="zh-CN"/>
              </w:rPr>
              <w:t>0</w:t>
            </w:r>
          </w:p>
        </w:tc>
      </w:tr>
      <w:tr w14:paraId="419120AA">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E279D1C">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3CB236AD">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EBD620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37A2AB9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2D306BAA">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F586558">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7D9ED5F1">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13917B38">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BB1C303">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619BDF5F">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6484472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0BB07BC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1B2707C4">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12A06FB1">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55C33C3D">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r>
      <w:tr w14:paraId="46EDF691">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3FB02FB3">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57C6353F">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r>
      <w:tr w14:paraId="54D8349D">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38E9B3A">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2972866D">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4F005EB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1A181CA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3BCE1F81">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3A9502DF">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5EC676FE">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eastAsia="仿宋_GB2312" w:cs="Calibri"/>
                <w:color w:val="000000"/>
                <w:kern w:val="0"/>
                <w:szCs w:val="21"/>
                <w:lang w:val="en-US" w:eastAsia="zh-CN"/>
              </w:rPr>
              <w:t>0</w:t>
            </w:r>
          </w:p>
        </w:tc>
      </w:tr>
    </w:tbl>
    <w:p w14:paraId="18E74F5E">
      <w:pPr>
        <w:numPr>
          <w:ilvl w:val="0"/>
          <w:numId w:val="0"/>
        </w:numPr>
        <w:rPr>
          <w:rFonts w:hint="eastAsia"/>
        </w:rPr>
      </w:pPr>
    </w:p>
    <w:p w14:paraId="339EC054">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三、</w:t>
      </w:r>
      <w:r>
        <w:rPr>
          <w:rFonts w:hint="eastAsia" w:ascii="CESI黑体-GB2312" w:hAnsi="CESI黑体-GB2312" w:eastAsia="CESI黑体-GB2312" w:cs="CESI黑体-GB2312"/>
          <w:sz w:val="32"/>
          <w:szCs w:val="32"/>
        </w:rPr>
        <w:t>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21BE24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56BE9532">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06334BC8">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14:paraId="68A09A5C">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2909FD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7396AFE1">
            <w:pPr>
              <w:jc w:val="center"/>
              <w:rPr>
                <w:rFonts w:ascii="仿宋_GB2312" w:hAnsi="Times New Roman" w:eastAsia="仿宋_GB2312"/>
                <w:szCs w:val="21"/>
              </w:rPr>
            </w:pPr>
          </w:p>
        </w:tc>
        <w:tc>
          <w:tcPr>
            <w:tcW w:w="829" w:type="dxa"/>
            <w:vMerge w:val="restart"/>
            <w:noWrap w:val="0"/>
            <w:tcMar>
              <w:left w:w="108" w:type="dxa"/>
              <w:right w:w="108" w:type="dxa"/>
            </w:tcMar>
            <w:vAlign w:val="center"/>
          </w:tcPr>
          <w:p w14:paraId="1AAD8429">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14:paraId="52865EEB">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14:paraId="03B271EC">
            <w:pPr>
              <w:widowControl/>
              <w:jc w:val="center"/>
              <w:rPr>
                <w:rFonts w:ascii="黑体" w:hAnsi="黑体" w:eastAsia="黑体"/>
                <w:szCs w:val="21"/>
              </w:rPr>
            </w:pPr>
            <w:r>
              <w:rPr>
                <w:rFonts w:hint="eastAsia" w:ascii="黑体" w:hAnsi="黑体" w:eastAsia="黑体"/>
                <w:kern w:val="0"/>
                <w:szCs w:val="21"/>
              </w:rPr>
              <w:t>总计</w:t>
            </w:r>
          </w:p>
        </w:tc>
      </w:tr>
      <w:tr w14:paraId="11A68B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2217265C">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14:paraId="555D1B38">
            <w:pPr>
              <w:jc w:val="center"/>
              <w:rPr>
                <w:rFonts w:ascii="黑体" w:hAnsi="黑体" w:eastAsia="黑体"/>
                <w:szCs w:val="21"/>
              </w:rPr>
            </w:pPr>
          </w:p>
        </w:tc>
        <w:tc>
          <w:tcPr>
            <w:tcW w:w="567" w:type="dxa"/>
            <w:noWrap w:val="0"/>
            <w:tcMar>
              <w:left w:w="108" w:type="dxa"/>
              <w:right w:w="108" w:type="dxa"/>
            </w:tcMar>
            <w:vAlign w:val="center"/>
          </w:tcPr>
          <w:p w14:paraId="0A845845">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14:paraId="574F9A14">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14:paraId="46488871">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14:paraId="25F6066B">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14:paraId="7A14FC95">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14:paraId="1AFB69C7">
            <w:pPr>
              <w:jc w:val="center"/>
              <w:rPr>
                <w:rFonts w:ascii="仿宋_GB2312" w:hAnsi="Times New Roman" w:eastAsia="仿宋_GB2312"/>
                <w:szCs w:val="21"/>
              </w:rPr>
            </w:pPr>
          </w:p>
        </w:tc>
      </w:tr>
      <w:tr w14:paraId="2B4B08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6EB2DB67">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noWrap w:val="0"/>
            <w:tcMar>
              <w:left w:w="108" w:type="dxa"/>
              <w:right w:w="108" w:type="dxa"/>
            </w:tcMar>
            <w:vAlign w:val="center"/>
          </w:tcPr>
          <w:p w14:paraId="2C019BC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14:paraId="0D84C4E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ED3C5D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FC0CC5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968522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13CF58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61F783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1</w:t>
            </w:r>
          </w:p>
        </w:tc>
      </w:tr>
      <w:tr w14:paraId="65C0B1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397D9F75">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14:paraId="3136EC2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823F99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5869B1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4D7401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867D45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96D134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C53FE9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684305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79CB3407">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14:paraId="080343DF">
            <w:pPr>
              <w:widowControl/>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14:paraId="6EA00BD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E97C23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6529D2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5596E7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38FAE8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ECF493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F440F4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3684E0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C8819D4">
            <w:pPr>
              <w:rPr>
                <w:rFonts w:ascii="黑体" w:hAnsi="黑体" w:eastAsia="黑体"/>
                <w:szCs w:val="21"/>
              </w:rPr>
            </w:pPr>
          </w:p>
        </w:tc>
        <w:tc>
          <w:tcPr>
            <w:tcW w:w="4677" w:type="dxa"/>
            <w:gridSpan w:val="2"/>
            <w:noWrap w:val="0"/>
            <w:tcMar>
              <w:left w:w="108" w:type="dxa"/>
              <w:right w:w="108" w:type="dxa"/>
            </w:tcMar>
            <w:vAlign w:val="center"/>
          </w:tcPr>
          <w:p w14:paraId="0C652EC5">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noWrap w:val="0"/>
            <w:tcMar>
              <w:left w:w="108" w:type="dxa"/>
              <w:right w:w="108" w:type="dxa"/>
            </w:tcMar>
            <w:vAlign w:val="center"/>
          </w:tcPr>
          <w:p w14:paraId="79C85F8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7D0CCB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20323F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D7EF56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0E7868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572E0A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0B697B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4DE08A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5AF0690">
            <w:pPr>
              <w:rPr>
                <w:rFonts w:ascii="黑体" w:hAnsi="黑体" w:eastAsia="黑体"/>
                <w:szCs w:val="21"/>
              </w:rPr>
            </w:pPr>
          </w:p>
        </w:tc>
        <w:tc>
          <w:tcPr>
            <w:tcW w:w="1701" w:type="dxa"/>
            <w:vMerge w:val="restart"/>
            <w:noWrap w:val="0"/>
            <w:tcMar>
              <w:left w:w="108" w:type="dxa"/>
              <w:right w:w="108" w:type="dxa"/>
            </w:tcMar>
            <w:vAlign w:val="center"/>
          </w:tcPr>
          <w:p w14:paraId="408B1B1C">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14:paraId="61958EB9">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14:paraId="3327A93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E2015B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8A2823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A90019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5703C0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8E3238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10FDA9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3BE95B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36454AC">
            <w:pPr>
              <w:rPr>
                <w:rFonts w:ascii="黑体" w:hAnsi="黑体" w:eastAsia="黑体"/>
                <w:szCs w:val="21"/>
              </w:rPr>
            </w:pPr>
          </w:p>
        </w:tc>
        <w:tc>
          <w:tcPr>
            <w:tcW w:w="1701" w:type="dxa"/>
            <w:vMerge w:val="continue"/>
            <w:noWrap w:val="0"/>
            <w:tcMar>
              <w:left w:w="108" w:type="dxa"/>
              <w:right w:w="108" w:type="dxa"/>
            </w:tcMar>
            <w:vAlign w:val="center"/>
          </w:tcPr>
          <w:p w14:paraId="62E68831">
            <w:pPr>
              <w:spacing w:line="200" w:lineRule="exact"/>
              <w:rPr>
                <w:rFonts w:ascii="黑体" w:hAnsi="黑体" w:eastAsia="黑体"/>
                <w:szCs w:val="21"/>
              </w:rPr>
            </w:pPr>
          </w:p>
        </w:tc>
        <w:tc>
          <w:tcPr>
            <w:tcW w:w="2976" w:type="dxa"/>
            <w:noWrap w:val="0"/>
            <w:tcMar>
              <w:left w:w="108" w:type="dxa"/>
              <w:right w:w="108" w:type="dxa"/>
            </w:tcMar>
            <w:vAlign w:val="center"/>
          </w:tcPr>
          <w:p w14:paraId="4EC45F60">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noWrap w:val="0"/>
            <w:tcMar>
              <w:left w:w="108" w:type="dxa"/>
              <w:right w:w="108" w:type="dxa"/>
            </w:tcMar>
            <w:vAlign w:val="center"/>
          </w:tcPr>
          <w:p w14:paraId="2CDDFFF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9D8A53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798BCD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330032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46DFEE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371216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7331DE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00CC1D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DB24A15">
            <w:pPr>
              <w:rPr>
                <w:rFonts w:ascii="黑体" w:hAnsi="黑体" w:eastAsia="黑体"/>
                <w:szCs w:val="21"/>
              </w:rPr>
            </w:pPr>
          </w:p>
        </w:tc>
        <w:tc>
          <w:tcPr>
            <w:tcW w:w="1701" w:type="dxa"/>
            <w:vMerge w:val="continue"/>
            <w:noWrap w:val="0"/>
            <w:tcMar>
              <w:left w:w="108" w:type="dxa"/>
              <w:right w:w="108" w:type="dxa"/>
            </w:tcMar>
            <w:vAlign w:val="center"/>
          </w:tcPr>
          <w:p w14:paraId="29144756">
            <w:pPr>
              <w:spacing w:line="200" w:lineRule="exact"/>
              <w:rPr>
                <w:rFonts w:ascii="黑体" w:hAnsi="黑体" w:eastAsia="黑体"/>
                <w:szCs w:val="21"/>
              </w:rPr>
            </w:pPr>
          </w:p>
        </w:tc>
        <w:tc>
          <w:tcPr>
            <w:tcW w:w="2976" w:type="dxa"/>
            <w:noWrap w:val="0"/>
            <w:tcMar>
              <w:left w:w="108" w:type="dxa"/>
              <w:right w:w="108" w:type="dxa"/>
            </w:tcMar>
            <w:vAlign w:val="center"/>
          </w:tcPr>
          <w:p w14:paraId="0DA911E7">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14:paraId="4B3A0DB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499827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87EAE3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C24159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B17B28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CA48FD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3E12D1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015D67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35B1C65">
            <w:pPr>
              <w:rPr>
                <w:rFonts w:ascii="黑体" w:hAnsi="黑体" w:eastAsia="黑体"/>
                <w:szCs w:val="21"/>
              </w:rPr>
            </w:pPr>
          </w:p>
        </w:tc>
        <w:tc>
          <w:tcPr>
            <w:tcW w:w="1701" w:type="dxa"/>
            <w:vMerge w:val="continue"/>
            <w:noWrap w:val="0"/>
            <w:tcMar>
              <w:left w:w="108" w:type="dxa"/>
              <w:right w:w="108" w:type="dxa"/>
            </w:tcMar>
            <w:vAlign w:val="center"/>
          </w:tcPr>
          <w:p w14:paraId="5FF3AD31">
            <w:pPr>
              <w:spacing w:line="200" w:lineRule="exact"/>
              <w:rPr>
                <w:rFonts w:ascii="黑体" w:hAnsi="黑体" w:eastAsia="黑体"/>
                <w:szCs w:val="21"/>
              </w:rPr>
            </w:pPr>
          </w:p>
        </w:tc>
        <w:tc>
          <w:tcPr>
            <w:tcW w:w="2976" w:type="dxa"/>
            <w:noWrap w:val="0"/>
            <w:tcMar>
              <w:left w:w="108" w:type="dxa"/>
              <w:right w:w="108" w:type="dxa"/>
            </w:tcMar>
            <w:vAlign w:val="center"/>
          </w:tcPr>
          <w:p w14:paraId="3643021D">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noWrap w:val="0"/>
            <w:tcMar>
              <w:left w:w="108" w:type="dxa"/>
              <w:right w:w="108" w:type="dxa"/>
            </w:tcMar>
            <w:vAlign w:val="center"/>
          </w:tcPr>
          <w:p w14:paraId="1064965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98A846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D87894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6674F9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31AABD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3609B0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CA0C2A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1D05FE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3EC7674">
            <w:pPr>
              <w:rPr>
                <w:rFonts w:ascii="黑体" w:hAnsi="黑体" w:eastAsia="黑体"/>
                <w:szCs w:val="21"/>
              </w:rPr>
            </w:pPr>
          </w:p>
        </w:tc>
        <w:tc>
          <w:tcPr>
            <w:tcW w:w="1701" w:type="dxa"/>
            <w:vMerge w:val="continue"/>
            <w:noWrap w:val="0"/>
            <w:tcMar>
              <w:left w:w="108" w:type="dxa"/>
              <w:right w:w="108" w:type="dxa"/>
            </w:tcMar>
            <w:vAlign w:val="center"/>
          </w:tcPr>
          <w:p w14:paraId="7CFFAEFF">
            <w:pPr>
              <w:spacing w:line="200" w:lineRule="exact"/>
              <w:rPr>
                <w:rFonts w:ascii="黑体" w:hAnsi="黑体" w:eastAsia="黑体"/>
                <w:szCs w:val="21"/>
              </w:rPr>
            </w:pPr>
          </w:p>
        </w:tc>
        <w:tc>
          <w:tcPr>
            <w:tcW w:w="2976" w:type="dxa"/>
            <w:noWrap w:val="0"/>
            <w:tcMar>
              <w:left w:w="108" w:type="dxa"/>
              <w:right w:w="108" w:type="dxa"/>
            </w:tcMar>
            <w:vAlign w:val="center"/>
          </w:tcPr>
          <w:p w14:paraId="4D4912F4">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14:paraId="0C78B17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DF62CB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9C4C3F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02400D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B11249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7F3AD9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6326EB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7FCB6E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8EF016A">
            <w:pPr>
              <w:rPr>
                <w:rFonts w:ascii="黑体" w:hAnsi="黑体" w:eastAsia="黑体"/>
                <w:szCs w:val="21"/>
              </w:rPr>
            </w:pPr>
          </w:p>
        </w:tc>
        <w:tc>
          <w:tcPr>
            <w:tcW w:w="1701" w:type="dxa"/>
            <w:vMerge w:val="continue"/>
            <w:noWrap w:val="0"/>
            <w:tcMar>
              <w:left w:w="108" w:type="dxa"/>
              <w:right w:w="108" w:type="dxa"/>
            </w:tcMar>
            <w:vAlign w:val="center"/>
          </w:tcPr>
          <w:p w14:paraId="22B42B74">
            <w:pPr>
              <w:spacing w:line="200" w:lineRule="exact"/>
              <w:rPr>
                <w:rFonts w:ascii="黑体" w:hAnsi="黑体" w:eastAsia="黑体"/>
                <w:szCs w:val="21"/>
              </w:rPr>
            </w:pPr>
          </w:p>
        </w:tc>
        <w:tc>
          <w:tcPr>
            <w:tcW w:w="2976" w:type="dxa"/>
            <w:noWrap w:val="0"/>
            <w:tcMar>
              <w:left w:w="108" w:type="dxa"/>
              <w:right w:w="108" w:type="dxa"/>
            </w:tcMar>
            <w:vAlign w:val="center"/>
          </w:tcPr>
          <w:p w14:paraId="4725A14F">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noWrap w:val="0"/>
            <w:tcMar>
              <w:left w:w="108" w:type="dxa"/>
              <w:right w:w="108" w:type="dxa"/>
            </w:tcMar>
            <w:vAlign w:val="center"/>
          </w:tcPr>
          <w:p w14:paraId="0F8659C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64BDD3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441E9E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AB5A5C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82EB19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3B4CBA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DA02A5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1467A0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84916A8">
            <w:pPr>
              <w:rPr>
                <w:rFonts w:ascii="黑体" w:hAnsi="黑体" w:eastAsia="黑体"/>
                <w:szCs w:val="21"/>
              </w:rPr>
            </w:pPr>
          </w:p>
        </w:tc>
        <w:tc>
          <w:tcPr>
            <w:tcW w:w="1701" w:type="dxa"/>
            <w:vMerge w:val="continue"/>
            <w:noWrap w:val="0"/>
            <w:tcMar>
              <w:left w:w="108" w:type="dxa"/>
              <w:right w:w="108" w:type="dxa"/>
            </w:tcMar>
            <w:vAlign w:val="center"/>
          </w:tcPr>
          <w:p w14:paraId="2DF55920">
            <w:pPr>
              <w:spacing w:line="200" w:lineRule="exact"/>
              <w:rPr>
                <w:rFonts w:ascii="黑体" w:hAnsi="黑体" w:eastAsia="黑体"/>
                <w:szCs w:val="21"/>
              </w:rPr>
            </w:pPr>
          </w:p>
        </w:tc>
        <w:tc>
          <w:tcPr>
            <w:tcW w:w="2976" w:type="dxa"/>
            <w:noWrap w:val="0"/>
            <w:tcMar>
              <w:left w:w="108" w:type="dxa"/>
              <w:right w:w="108" w:type="dxa"/>
            </w:tcMar>
            <w:vAlign w:val="center"/>
          </w:tcPr>
          <w:p w14:paraId="0452C0D5">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14:paraId="39CA394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B08401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2318C2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1C5F5F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C9A996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CE8097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149627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396AF6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3056F0B">
            <w:pPr>
              <w:rPr>
                <w:rFonts w:ascii="黑体" w:hAnsi="黑体" w:eastAsia="黑体"/>
                <w:szCs w:val="21"/>
              </w:rPr>
            </w:pPr>
          </w:p>
        </w:tc>
        <w:tc>
          <w:tcPr>
            <w:tcW w:w="1701" w:type="dxa"/>
            <w:vMerge w:val="continue"/>
            <w:noWrap w:val="0"/>
            <w:tcMar>
              <w:left w:w="108" w:type="dxa"/>
              <w:right w:w="108" w:type="dxa"/>
            </w:tcMar>
            <w:vAlign w:val="center"/>
          </w:tcPr>
          <w:p w14:paraId="22926177">
            <w:pPr>
              <w:spacing w:line="200" w:lineRule="exact"/>
              <w:rPr>
                <w:rFonts w:ascii="黑体" w:hAnsi="黑体" w:eastAsia="黑体"/>
                <w:szCs w:val="21"/>
              </w:rPr>
            </w:pPr>
          </w:p>
        </w:tc>
        <w:tc>
          <w:tcPr>
            <w:tcW w:w="2976" w:type="dxa"/>
            <w:noWrap w:val="0"/>
            <w:tcMar>
              <w:left w:w="108" w:type="dxa"/>
              <w:right w:w="108" w:type="dxa"/>
            </w:tcMar>
            <w:vAlign w:val="center"/>
          </w:tcPr>
          <w:p w14:paraId="5A1B089F">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noWrap w:val="0"/>
            <w:tcMar>
              <w:left w:w="108" w:type="dxa"/>
              <w:right w:w="108" w:type="dxa"/>
            </w:tcMar>
            <w:vAlign w:val="center"/>
          </w:tcPr>
          <w:p w14:paraId="3244D11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1C4770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C141C0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0C2AD3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121AC1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92CE86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37F40D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78343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021B6DC">
            <w:pPr>
              <w:rPr>
                <w:rFonts w:ascii="黑体" w:hAnsi="黑体" w:eastAsia="黑体"/>
                <w:szCs w:val="21"/>
              </w:rPr>
            </w:pPr>
          </w:p>
        </w:tc>
        <w:tc>
          <w:tcPr>
            <w:tcW w:w="1701" w:type="dxa"/>
            <w:vMerge w:val="restart"/>
            <w:noWrap w:val="0"/>
            <w:tcMar>
              <w:left w:w="108" w:type="dxa"/>
              <w:right w:w="108" w:type="dxa"/>
            </w:tcMar>
            <w:vAlign w:val="center"/>
          </w:tcPr>
          <w:p w14:paraId="28A47B04">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14:paraId="150C752C">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14:paraId="081CC74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077C32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F0250A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8AD64C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374873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C573F0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1959C6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511233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52C6E88">
            <w:pPr>
              <w:rPr>
                <w:rFonts w:ascii="黑体" w:hAnsi="黑体" w:eastAsia="黑体"/>
                <w:szCs w:val="21"/>
              </w:rPr>
            </w:pPr>
          </w:p>
        </w:tc>
        <w:tc>
          <w:tcPr>
            <w:tcW w:w="1701" w:type="dxa"/>
            <w:vMerge w:val="continue"/>
            <w:noWrap w:val="0"/>
            <w:tcMar>
              <w:left w:w="108" w:type="dxa"/>
              <w:right w:w="108" w:type="dxa"/>
            </w:tcMar>
            <w:vAlign w:val="center"/>
          </w:tcPr>
          <w:p w14:paraId="6ED2847F">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349AE8E2">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noWrap w:val="0"/>
            <w:tcMar>
              <w:left w:w="108" w:type="dxa"/>
              <w:right w:w="108" w:type="dxa"/>
            </w:tcMar>
            <w:vAlign w:val="center"/>
          </w:tcPr>
          <w:p w14:paraId="32858C0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69D4A4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12462C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352B49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6C7DAC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DD390C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1BD552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0D6938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35388E4">
            <w:pPr>
              <w:rPr>
                <w:rFonts w:ascii="黑体" w:hAnsi="黑体" w:eastAsia="黑体"/>
                <w:szCs w:val="21"/>
              </w:rPr>
            </w:pPr>
          </w:p>
        </w:tc>
        <w:tc>
          <w:tcPr>
            <w:tcW w:w="1701" w:type="dxa"/>
            <w:vMerge w:val="continue"/>
            <w:noWrap w:val="0"/>
            <w:tcMar>
              <w:left w:w="108" w:type="dxa"/>
              <w:right w:w="108" w:type="dxa"/>
            </w:tcMar>
            <w:vAlign w:val="center"/>
          </w:tcPr>
          <w:p w14:paraId="116CFE1B">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679BA09A">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noWrap w:val="0"/>
            <w:tcMar>
              <w:left w:w="108" w:type="dxa"/>
              <w:right w:w="108" w:type="dxa"/>
            </w:tcMar>
            <w:vAlign w:val="center"/>
          </w:tcPr>
          <w:p w14:paraId="0068DDA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367D43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C062AF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BD5D6D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177383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978025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8E857F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3A6AFD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67C7077">
            <w:pPr>
              <w:rPr>
                <w:rFonts w:ascii="黑体" w:hAnsi="黑体" w:eastAsia="黑体"/>
                <w:szCs w:val="21"/>
              </w:rPr>
            </w:pPr>
          </w:p>
        </w:tc>
        <w:tc>
          <w:tcPr>
            <w:tcW w:w="1701" w:type="dxa"/>
            <w:vMerge w:val="restart"/>
            <w:noWrap w:val="0"/>
            <w:tcMar>
              <w:left w:w="108" w:type="dxa"/>
              <w:right w:w="108" w:type="dxa"/>
            </w:tcMar>
            <w:vAlign w:val="center"/>
          </w:tcPr>
          <w:p w14:paraId="415DD18D">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14:paraId="1F285E95">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noWrap w:val="0"/>
            <w:tcMar>
              <w:left w:w="108" w:type="dxa"/>
              <w:right w:w="108" w:type="dxa"/>
            </w:tcMar>
            <w:vAlign w:val="center"/>
          </w:tcPr>
          <w:p w14:paraId="09BBD25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09CD2F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D0ECD6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BAC4B9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016C95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12C74F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207835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56C72D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91C602B">
            <w:pPr>
              <w:rPr>
                <w:rFonts w:ascii="黑体" w:hAnsi="黑体" w:eastAsia="黑体"/>
                <w:szCs w:val="21"/>
              </w:rPr>
            </w:pPr>
          </w:p>
        </w:tc>
        <w:tc>
          <w:tcPr>
            <w:tcW w:w="1701" w:type="dxa"/>
            <w:vMerge w:val="continue"/>
            <w:noWrap w:val="0"/>
            <w:tcMar>
              <w:left w:w="108" w:type="dxa"/>
              <w:right w:w="108" w:type="dxa"/>
            </w:tcMar>
            <w:vAlign w:val="center"/>
          </w:tcPr>
          <w:p w14:paraId="279F10BB">
            <w:pPr>
              <w:spacing w:line="200" w:lineRule="exact"/>
              <w:rPr>
                <w:rFonts w:ascii="黑体" w:hAnsi="黑体" w:eastAsia="黑体"/>
                <w:szCs w:val="21"/>
              </w:rPr>
            </w:pPr>
          </w:p>
        </w:tc>
        <w:tc>
          <w:tcPr>
            <w:tcW w:w="2976" w:type="dxa"/>
            <w:noWrap w:val="0"/>
            <w:tcMar>
              <w:left w:w="108" w:type="dxa"/>
              <w:right w:w="108" w:type="dxa"/>
            </w:tcMar>
            <w:vAlign w:val="center"/>
          </w:tcPr>
          <w:p w14:paraId="7BCC2770">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14:paraId="00F13D3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AD8595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0A99B1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557404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1D2F79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1804DA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153A31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97ED4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1D31359">
            <w:pPr>
              <w:rPr>
                <w:rFonts w:ascii="黑体" w:hAnsi="黑体" w:eastAsia="黑体"/>
                <w:szCs w:val="21"/>
              </w:rPr>
            </w:pPr>
          </w:p>
        </w:tc>
        <w:tc>
          <w:tcPr>
            <w:tcW w:w="1701" w:type="dxa"/>
            <w:vMerge w:val="continue"/>
            <w:noWrap w:val="0"/>
            <w:tcMar>
              <w:left w:w="108" w:type="dxa"/>
              <w:right w:w="108" w:type="dxa"/>
            </w:tcMar>
            <w:vAlign w:val="center"/>
          </w:tcPr>
          <w:p w14:paraId="41DA5762">
            <w:pPr>
              <w:spacing w:line="200" w:lineRule="exact"/>
              <w:rPr>
                <w:rFonts w:ascii="黑体" w:hAnsi="黑体" w:eastAsia="黑体"/>
                <w:szCs w:val="21"/>
              </w:rPr>
            </w:pPr>
          </w:p>
        </w:tc>
        <w:tc>
          <w:tcPr>
            <w:tcW w:w="2976" w:type="dxa"/>
            <w:noWrap w:val="0"/>
            <w:tcMar>
              <w:left w:w="108" w:type="dxa"/>
              <w:right w:w="108" w:type="dxa"/>
            </w:tcMar>
            <w:vAlign w:val="center"/>
          </w:tcPr>
          <w:p w14:paraId="3ED30BC7">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14:paraId="7FC1D81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B6C1A6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42AF10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640219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73AA62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F7EADB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19C59B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5C61E9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49D0EEA2">
            <w:pPr>
              <w:rPr>
                <w:rFonts w:ascii="黑体" w:hAnsi="黑体" w:eastAsia="黑体"/>
                <w:szCs w:val="21"/>
              </w:rPr>
            </w:pPr>
          </w:p>
        </w:tc>
        <w:tc>
          <w:tcPr>
            <w:tcW w:w="1701" w:type="dxa"/>
            <w:vMerge w:val="continue"/>
            <w:noWrap w:val="0"/>
            <w:tcMar>
              <w:left w:w="108" w:type="dxa"/>
              <w:right w:w="108" w:type="dxa"/>
            </w:tcMar>
            <w:vAlign w:val="center"/>
          </w:tcPr>
          <w:p w14:paraId="6F9F4EAF">
            <w:pPr>
              <w:spacing w:line="200" w:lineRule="exact"/>
              <w:rPr>
                <w:rFonts w:ascii="黑体" w:hAnsi="黑体" w:eastAsia="黑体"/>
                <w:szCs w:val="21"/>
              </w:rPr>
            </w:pPr>
          </w:p>
        </w:tc>
        <w:tc>
          <w:tcPr>
            <w:tcW w:w="2976" w:type="dxa"/>
            <w:noWrap w:val="0"/>
            <w:tcMar>
              <w:left w:w="108" w:type="dxa"/>
              <w:right w:w="108" w:type="dxa"/>
            </w:tcMar>
            <w:vAlign w:val="center"/>
          </w:tcPr>
          <w:p w14:paraId="42248B90">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14:paraId="2FE9CC1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91019A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41E735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E1B619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129473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EF60C1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C9A11B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244E6D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094BCDEB">
            <w:pPr>
              <w:rPr>
                <w:rFonts w:ascii="黑体" w:hAnsi="黑体" w:eastAsia="黑体"/>
                <w:szCs w:val="21"/>
              </w:rPr>
            </w:pPr>
          </w:p>
        </w:tc>
        <w:tc>
          <w:tcPr>
            <w:tcW w:w="1701" w:type="dxa"/>
            <w:vMerge w:val="continue"/>
            <w:noWrap w:val="0"/>
            <w:tcMar>
              <w:left w:w="108" w:type="dxa"/>
              <w:right w:w="108" w:type="dxa"/>
            </w:tcMar>
            <w:vAlign w:val="center"/>
          </w:tcPr>
          <w:p w14:paraId="19D1A856">
            <w:pPr>
              <w:spacing w:line="200" w:lineRule="exact"/>
              <w:rPr>
                <w:rFonts w:ascii="黑体" w:hAnsi="黑体" w:eastAsia="黑体"/>
                <w:szCs w:val="21"/>
              </w:rPr>
            </w:pPr>
          </w:p>
        </w:tc>
        <w:tc>
          <w:tcPr>
            <w:tcW w:w="2976" w:type="dxa"/>
            <w:noWrap w:val="0"/>
            <w:tcMar>
              <w:left w:w="108" w:type="dxa"/>
              <w:right w:w="108" w:type="dxa"/>
            </w:tcMar>
            <w:vAlign w:val="center"/>
          </w:tcPr>
          <w:p w14:paraId="37C291BF">
            <w:pPr>
              <w:widowControl/>
              <w:spacing w:line="300" w:lineRule="exact"/>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829" w:type="dxa"/>
            <w:noWrap w:val="0"/>
            <w:tcMar>
              <w:left w:w="108" w:type="dxa"/>
              <w:right w:w="108" w:type="dxa"/>
            </w:tcMar>
            <w:vAlign w:val="center"/>
          </w:tcPr>
          <w:p w14:paraId="4D78A19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E26DFD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87AEA0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E71705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B5A9AA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975707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8B5224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7BAAA4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0342C1A1">
            <w:pPr>
              <w:rPr>
                <w:rFonts w:ascii="黑体" w:hAnsi="黑体" w:eastAsia="黑体"/>
                <w:szCs w:val="21"/>
              </w:rPr>
            </w:pPr>
          </w:p>
        </w:tc>
        <w:tc>
          <w:tcPr>
            <w:tcW w:w="1701" w:type="dxa"/>
            <w:vMerge w:val="restart"/>
            <w:noWrap w:val="0"/>
            <w:tcMar>
              <w:left w:w="108" w:type="dxa"/>
              <w:right w:w="108" w:type="dxa"/>
            </w:tcMar>
            <w:vAlign w:val="center"/>
          </w:tcPr>
          <w:p w14:paraId="49C25FB9">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14:paraId="2D9EB8A5">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14:paraId="1C51F90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14:paraId="7160AD3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21C01A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EC8DFA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52D650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58D524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0A3C90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1</w:t>
            </w:r>
          </w:p>
        </w:tc>
      </w:tr>
      <w:tr w14:paraId="15A021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ED92E29">
            <w:pPr>
              <w:rPr>
                <w:rFonts w:ascii="黑体" w:hAnsi="黑体" w:eastAsia="黑体"/>
                <w:szCs w:val="21"/>
              </w:rPr>
            </w:pPr>
          </w:p>
        </w:tc>
        <w:tc>
          <w:tcPr>
            <w:tcW w:w="1701" w:type="dxa"/>
            <w:vMerge w:val="continue"/>
            <w:noWrap w:val="0"/>
            <w:tcMar>
              <w:left w:w="108" w:type="dxa"/>
              <w:right w:w="108" w:type="dxa"/>
            </w:tcMar>
            <w:vAlign w:val="center"/>
          </w:tcPr>
          <w:p w14:paraId="0EF0DD53">
            <w:pPr>
              <w:widowControl/>
              <w:spacing w:line="300" w:lineRule="exact"/>
              <w:rPr>
                <w:rFonts w:ascii="黑体" w:hAnsi="黑体" w:eastAsia="黑体"/>
                <w:kern w:val="0"/>
                <w:szCs w:val="21"/>
              </w:rPr>
            </w:pPr>
          </w:p>
        </w:tc>
        <w:tc>
          <w:tcPr>
            <w:tcW w:w="2976" w:type="dxa"/>
            <w:noWrap w:val="0"/>
            <w:vAlign w:val="center"/>
          </w:tcPr>
          <w:p w14:paraId="365C9DDB">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14:paraId="2D139C2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F331FD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83A762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013A21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CD6B2D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61451D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CC6A05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2A4F4C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E974205">
            <w:pPr>
              <w:rPr>
                <w:rFonts w:ascii="黑体" w:hAnsi="黑体" w:eastAsia="黑体"/>
                <w:szCs w:val="21"/>
              </w:rPr>
            </w:pPr>
          </w:p>
        </w:tc>
        <w:tc>
          <w:tcPr>
            <w:tcW w:w="1701" w:type="dxa"/>
            <w:vMerge w:val="continue"/>
            <w:noWrap w:val="0"/>
            <w:tcMar>
              <w:left w:w="108" w:type="dxa"/>
              <w:right w:w="108" w:type="dxa"/>
            </w:tcMar>
            <w:vAlign w:val="center"/>
          </w:tcPr>
          <w:p w14:paraId="54D67607">
            <w:pPr>
              <w:widowControl/>
              <w:spacing w:line="300" w:lineRule="exact"/>
              <w:rPr>
                <w:rFonts w:ascii="黑体" w:hAnsi="黑体" w:eastAsia="黑体"/>
                <w:kern w:val="0"/>
                <w:szCs w:val="21"/>
              </w:rPr>
            </w:pPr>
          </w:p>
        </w:tc>
        <w:tc>
          <w:tcPr>
            <w:tcW w:w="2976" w:type="dxa"/>
            <w:noWrap w:val="0"/>
            <w:vAlign w:val="center"/>
          </w:tcPr>
          <w:p w14:paraId="2F56B5C9">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14:paraId="0010385F">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C0F4C0D">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345A9E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BD489C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F81B91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039A60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F08298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778949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7EECAE06">
            <w:pPr>
              <w:rPr>
                <w:rFonts w:ascii="黑体" w:hAnsi="黑体" w:eastAsia="黑体"/>
                <w:szCs w:val="21"/>
              </w:rPr>
            </w:pPr>
          </w:p>
        </w:tc>
        <w:tc>
          <w:tcPr>
            <w:tcW w:w="4677" w:type="dxa"/>
            <w:gridSpan w:val="2"/>
            <w:noWrap w:val="0"/>
            <w:tcMar>
              <w:left w:w="108" w:type="dxa"/>
              <w:right w:w="108" w:type="dxa"/>
            </w:tcMar>
            <w:vAlign w:val="center"/>
          </w:tcPr>
          <w:p w14:paraId="4C5BB0F9">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14:paraId="17E8FAFD">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14:paraId="7D43B50C">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6F3706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FBBE80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474412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417EFF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D6A9A0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1</w:t>
            </w:r>
          </w:p>
        </w:tc>
      </w:tr>
      <w:tr w14:paraId="0B1E51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2F2DB432">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14:paraId="42A29806">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3BEF88D">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04D9DF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506D7B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6A8386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09DC51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7C7EEA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bl>
    <w:p w14:paraId="3AD121A6">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四、</w:t>
      </w:r>
      <w:r>
        <w:rPr>
          <w:rFonts w:hint="eastAsia" w:ascii="CESI黑体-GB2312" w:hAnsi="CESI黑体-GB2312" w:eastAsia="CESI黑体-GB2312" w:cs="CESI黑体-GB2312"/>
          <w:sz w:val="32"/>
          <w:szCs w:val="32"/>
        </w:rPr>
        <w:t>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431E4A1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0088FB0">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50F322F7">
            <w:pPr>
              <w:widowControl/>
              <w:jc w:val="center"/>
              <w:rPr>
                <w:rFonts w:ascii="黑体" w:hAnsi="黑体" w:eastAsia="黑体"/>
              </w:rPr>
            </w:pPr>
            <w:r>
              <w:rPr>
                <w:rFonts w:ascii="黑体" w:hAnsi="黑体" w:eastAsia="黑体"/>
                <w:kern w:val="0"/>
                <w:sz w:val="20"/>
                <w:szCs w:val="20"/>
              </w:rPr>
              <w:t>行政诉讼</w:t>
            </w:r>
          </w:p>
        </w:tc>
      </w:tr>
      <w:tr w14:paraId="63AB07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6F20A222">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202A20BE">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3DCD7FE8">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22A894FC">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6C4B9B41">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3DD03CC6">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0BF175DB">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6214FDAC">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4C34E41D">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0F754959">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14:paraId="3C20227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4C9F8DC">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211439BC">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154EBF1B">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3EAB3139">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6C35EE8A">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03E3EFB8">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460A845">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378453B">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14B16924">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9DD45D7">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33CFDFCF">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91BEC9C">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17D11E5">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1614F39">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37A41BBF">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4DD605C">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2AFA48CC">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6698F4D">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448EC20">
            <w:pPr>
              <w:widowControl/>
              <w:jc w:val="center"/>
              <w:rPr>
                <w:rFonts w:ascii="黑体" w:hAnsi="黑体" w:eastAsia="黑体"/>
              </w:rPr>
            </w:pPr>
            <w:r>
              <w:rPr>
                <w:rFonts w:ascii="黑体" w:hAnsi="黑体" w:eastAsia="黑体"/>
                <w:kern w:val="0"/>
                <w:sz w:val="20"/>
                <w:szCs w:val="20"/>
              </w:rPr>
              <w:t>总计</w:t>
            </w:r>
          </w:p>
        </w:tc>
      </w:tr>
      <w:tr w14:paraId="11EB06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5549EEF">
            <w:pPr>
              <w:widowControl/>
              <w:spacing w:after="180"/>
              <w:jc w:val="center"/>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0995B354">
            <w:pPr>
              <w:widowControl/>
              <w:spacing w:after="180"/>
              <w:jc w:val="center"/>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5085348B">
            <w:pPr>
              <w:widowControl/>
              <w:spacing w:after="180"/>
              <w:jc w:val="center"/>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5AF7D3E9">
            <w:pPr>
              <w:widowControl/>
              <w:spacing w:after="180"/>
              <w:jc w:val="center"/>
              <w:rPr>
                <w:rFonts w:ascii="Times New Roman" w:hAnsi="Times New Roma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1119769C">
            <w:pPr>
              <w:widowControl/>
              <w:spacing w:after="180"/>
              <w:jc w:val="center"/>
              <w:rPr>
                <w:rFonts w:ascii="Times New Roman" w:hAnsi="Times New Roma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6D6EF7BF">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B18D43E">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F886EA0">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EE04A83">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E93CA2A">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BBBBBDB">
            <w:pPr>
              <w:widowControl/>
              <w:spacing w:after="180"/>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B4DF194">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A53C814">
            <w:pPr>
              <w:widowControl/>
              <w:spacing w:after="180"/>
              <w:jc w:val="center"/>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36B19DE6">
            <w:pPr>
              <w:widowControl/>
              <w:spacing w:after="180"/>
              <w:jc w:val="center"/>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2F3531F7">
            <w:pPr>
              <w:widowControl/>
              <w:spacing w:after="180"/>
              <w:jc w:val="center"/>
              <w:rPr>
                <w:rFonts w:ascii="Times New Roman" w:hAnsi="Times New Roman"/>
              </w:rPr>
            </w:pPr>
            <w:r>
              <w:rPr>
                <w:rFonts w:hint="eastAsia" w:ascii="Times New Roman" w:hAnsi="Times New Roman"/>
                <w:lang w:val="en-US" w:eastAsia="zh-CN"/>
              </w:rPr>
              <w:t>0</w:t>
            </w:r>
          </w:p>
        </w:tc>
      </w:tr>
    </w:tbl>
    <w:p w14:paraId="7E244088">
      <w:pPr>
        <w:pStyle w:val="3"/>
        <w:numPr>
          <w:ilvl w:val="0"/>
          <w:numId w:val="0"/>
        </w:numPr>
        <w:spacing w:before="0" w:after="0" w:line="240" w:lineRule="auto"/>
        <w:ind w:firstLine="640" w:firstLineChars="200"/>
        <w:rPr>
          <w:rFonts w:hint="eastAsia" w:ascii="仿宋_GB2312" w:eastAsia="仿宋_GB2312"/>
          <w:sz w:val="32"/>
          <w:szCs w:val="32"/>
        </w:rPr>
      </w:pPr>
      <w:r>
        <w:rPr>
          <w:rFonts w:hint="eastAsia" w:ascii="CESI黑体-GB2312" w:hAnsi="CESI黑体-GB2312" w:eastAsia="CESI黑体-GB2312" w:cs="CESI黑体-GB2312"/>
          <w:b w:val="0"/>
          <w:bCs w:val="0"/>
          <w:lang w:eastAsia="zh-CN"/>
        </w:rPr>
        <w:t>五、</w:t>
      </w:r>
      <w:r>
        <w:rPr>
          <w:rFonts w:hint="eastAsia" w:ascii="CESI黑体-GB2312" w:hAnsi="CESI黑体-GB2312" w:eastAsia="CESI黑体-GB2312" w:cs="CESI黑体-GB2312"/>
          <w:b w:val="0"/>
          <w:bCs w:val="0"/>
        </w:rPr>
        <w:t>存在的主要问题及改进情况</w:t>
      </w:r>
    </w:p>
    <w:p w14:paraId="24AB9887">
      <w:pPr>
        <w:ind w:firstLine="643" w:firstLineChars="200"/>
        <w:rPr>
          <w:rFonts w:hint="eastAsia" w:ascii="仿宋_GB2312" w:eastAsia="仿宋_GB2312"/>
          <w:sz w:val="32"/>
          <w:szCs w:val="32"/>
          <w:lang w:eastAsia="zh-CN"/>
        </w:rPr>
      </w:pPr>
      <w:r>
        <w:rPr>
          <w:rFonts w:hint="eastAsia" w:ascii="楷体_GB2312" w:hAnsi="楷体_GB2312" w:eastAsia="楷体_GB2312" w:cs="楷体_GB2312"/>
          <w:b/>
          <w:bCs/>
          <w:sz w:val="32"/>
          <w:szCs w:val="32"/>
          <w:lang w:eastAsia="zh-CN"/>
        </w:rPr>
        <w:t>（一）存在的主要问题</w:t>
      </w:r>
    </w:p>
    <w:p w14:paraId="6FE2E08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0" w:firstLineChars="200"/>
        <w:jc w:val="left"/>
        <w:rPr>
          <w:rFonts w:hint="eastAsia" w:ascii="仿宋_GB2312" w:hAnsi="文星仿宋" w:eastAsia="仿宋_GB2312" w:cs="Times New Roman"/>
          <w:kern w:val="2"/>
          <w:sz w:val="32"/>
          <w:szCs w:val="32"/>
          <w:lang w:val="en-US" w:eastAsia="zh-CN" w:bidi="ar-SA"/>
        </w:rPr>
      </w:pPr>
      <w:r>
        <w:rPr>
          <w:rFonts w:hint="eastAsia" w:ascii="仿宋_GB2312" w:hAnsi="文星仿宋" w:eastAsia="仿宋_GB2312" w:cs="Times New Roman"/>
          <w:kern w:val="2"/>
          <w:sz w:val="32"/>
          <w:szCs w:val="32"/>
          <w:lang w:val="en-US" w:eastAsia="zh-CN" w:bidi="ar-SA"/>
        </w:rPr>
        <w:t>信息公开工作人员业务水平还需要进一步提高，推进基层政务公开标准化规范化建设水平有待进一步提高。</w:t>
      </w:r>
    </w:p>
    <w:p w14:paraId="4B9D002F">
      <w:pPr>
        <w:pStyle w:val="2"/>
        <w:ind w:firstLine="643" w:firstLineChars="200"/>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（二）改进情况</w:t>
      </w:r>
    </w:p>
    <w:p w14:paraId="0A84CB5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0" w:firstLineChars="200"/>
        <w:jc w:val="left"/>
        <w:rPr>
          <w:rFonts w:hint="eastAsia" w:ascii="仿宋_GB2312" w:hAnsi="文星仿宋" w:eastAsia="仿宋_GB2312" w:cs="Times New Roman"/>
          <w:kern w:val="2"/>
          <w:sz w:val="32"/>
          <w:szCs w:val="32"/>
          <w:lang w:val="en-US" w:eastAsia="zh-CN" w:bidi="ar-SA"/>
        </w:rPr>
      </w:pPr>
      <w:r>
        <w:rPr>
          <w:rFonts w:hint="eastAsia" w:ascii="仿宋_GB2312" w:hAnsi="文星仿宋" w:eastAsia="仿宋_GB2312" w:cs="Times New Roman"/>
          <w:kern w:val="2"/>
          <w:sz w:val="32"/>
          <w:szCs w:val="32"/>
          <w:lang w:val="en-US" w:eastAsia="zh-CN" w:bidi="ar-SA"/>
        </w:rPr>
        <w:t>强化培训。将政务公开培训作为常规培训的重点内容，重点讲解政务公开工作要点、程序，提高全局工作人员的信息公开意识和工作能力，整体提升我局政务公开工作水平。</w:t>
      </w:r>
    </w:p>
    <w:p w14:paraId="0E6B45DF">
      <w:pPr>
        <w:pStyle w:val="3"/>
        <w:numPr>
          <w:ilvl w:val="0"/>
          <w:numId w:val="0"/>
        </w:numPr>
        <w:spacing w:before="0" w:after="0" w:line="240" w:lineRule="auto"/>
        <w:ind w:firstLine="640" w:firstLineChars="200"/>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六、</w:t>
      </w:r>
      <w:r>
        <w:rPr>
          <w:rFonts w:hint="eastAsia" w:ascii="CESI黑体-GB2312" w:hAnsi="CESI黑体-GB2312" w:eastAsia="CESI黑体-GB2312" w:cs="CESI黑体-GB2312"/>
          <w:b w:val="0"/>
          <w:bCs w:val="0"/>
        </w:rPr>
        <w:t>其他需要报告的事项</w:t>
      </w:r>
    </w:p>
    <w:p w14:paraId="0BA51DB7">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（一）政府信息公开信息处理费收取情况</w:t>
      </w:r>
    </w:p>
    <w:p w14:paraId="7125D497">
      <w:pPr>
        <w:ind w:firstLine="640" w:firstLineChars="200"/>
        <w:rPr>
          <w:rFonts w:hint="eastAsia" w:ascii="仿宋_GB2312" w:eastAsia="仿宋_GB2312"/>
          <w:sz w:val="32"/>
          <w:szCs w:val="32"/>
          <w:lang w:eastAsia="zh-CN"/>
        </w:rPr>
      </w:pPr>
      <w:r>
        <w:rPr>
          <w:rFonts w:hint="eastAsia" w:ascii="仿宋_GB2312" w:hAnsi="文星仿宋" w:eastAsia="仿宋_GB2312"/>
          <w:sz w:val="32"/>
          <w:szCs w:val="32"/>
          <w:lang w:eastAsia="zh-CN"/>
        </w:rPr>
        <w:t>认真落实</w:t>
      </w:r>
      <w:r>
        <w:rPr>
          <w:rFonts w:hint="eastAsia" w:ascii="仿宋_GB2312" w:hAnsi="文星仿宋" w:eastAsia="仿宋_GB2312"/>
          <w:sz w:val="32"/>
          <w:szCs w:val="32"/>
        </w:rPr>
        <w:t>《国务院办公厅关于印发&lt;政府信息公开信息处理费管理办法&gt;的通知》（国办函〔2020〕109号）和《山东省人民政府办公厅关于做好政府信息公开信息处理费管理工作有关事项的通知》（鲁政办字〔2020〕179号）规定，</w:t>
      </w:r>
      <w:r>
        <w:rPr>
          <w:rFonts w:hint="eastAsia" w:ascii="仿宋_GB2312" w:eastAsia="仿宋_GB2312"/>
          <w:sz w:val="32"/>
          <w:szCs w:val="32"/>
          <w:lang w:eastAsia="zh-CN"/>
        </w:rPr>
        <w:t>本年度政府信息公开未收取信息处理费。</w:t>
      </w:r>
    </w:p>
    <w:p w14:paraId="2FDBDA9C">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（二）落实年度政务公开工作要点情况</w:t>
      </w:r>
    </w:p>
    <w:p w14:paraId="12026204">
      <w:pPr>
        <w:ind w:firstLine="640" w:firstLineChars="200"/>
        <w:rPr>
          <w:rFonts w:hint="eastAsia" w:ascii="仿宋_GB2312" w:hAnsi="文星仿宋" w:eastAsia="仿宋_GB2312"/>
          <w:sz w:val="32"/>
          <w:szCs w:val="32"/>
        </w:rPr>
      </w:pPr>
      <w:r>
        <w:rPr>
          <w:rFonts w:hint="eastAsia" w:ascii="仿宋_GB2312" w:hAnsi="文星仿宋" w:eastAsia="仿宋_GB2312"/>
          <w:sz w:val="32"/>
          <w:szCs w:val="32"/>
        </w:rPr>
        <w:t>根据《冠县人民政府办公室关于2024年政务公开重点工作任务分工的通知》等文件要求，结合我单位工作实际，制定了《冠县审计局2024年政务公开重点工作任务分工》，各科室严格按照任务分工要求，按时保质公开有关政府信息，在内容上、形式上、方式上做好文章，持续抓好政府信息公开工作，强化公开的时效性、准确性，确保政府信息公开上新台阶。</w:t>
      </w:r>
    </w:p>
    <w:p w14:paraId="2829813F">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（三）人大代表建议和政协提案办理结果公开情况</w:t>
      </w:r>
    </w:p>
    <w:p w14:paraId="119CC5EE">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2024年冠县审计局未收到建议提案</w:t>
      </w:r>
      <w:r>
        <w:rPr>
          <w:rFonts w:hint="eastAsia" w:ascii="仿宋_GB2312" w:eastAsia="仿宋_GB2312"/>
          <w:sz w:val="32"/>
          <w:szCs w:val="32"/>
          <w:lang w:eastAsia="zh-CN"/>
        </w:rPr>
        <w:t>。</w:t>
      </w:r>
    </w:p>
    <w:p w14:paraId="5B1CBABD">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（四）政务公开工作创新情况</w:t>
      </w:r>
    </w:p>
    <w:p w14:paraId="3C773448">
      <w:pPr>
        <w:ind w:firstLine="640" w:firstLineChars="200"/>
        <w:rPr>
          <w:rFonts w:ascii="微软雅黑" w:hAnsi="微软雅黑" w:eastAsia="微软雅黑" w:cs="微软雅黑"/>
          <w:i w:val="0"/>
          <w:iCs w:val="0"/>
          <w:caps w:val="0"/>
          <w:color w:val="333333"/>
          <w:spacing w:val="0"/>
          <w:sz w:val="24"/>
          <w:szCs w:val="24"/>
          <w:shd w:val="clear" w:fill="FFFFFF"/>
        </w:rPr>
      </w:pPr>
      <w:r>
        <w:rPr>
          <w:rFonts w:hint="eastAsia" w:ascii="仿宋_GB2312" w:hAnsi="仿宋_GB2312" w:eastAsia="仿宋_GB2312" w:cs="仿宋_GB2312"/>
          <w:sz w:val="32"/>
          <w:szCs w:val="32"/>
          <w:lang w:val="en-US" w:eastAsia="zh-CN"/>
        </w:rPr>
        <w:t>为进一步提升政务公开水平，增进政府与群众的沟通联系，切实提高社会满意度，9月4日冠县审计局开展政府开放日活动。活动邀请了人大代表、被审计单位代表及群众代表等20人参加。活动中，审计局四级调研员杨朝明同志介绍2023年工作开展情况、审计成果及取得的成效，党组成员、经济责任服务中心中心主任朱建华同志解读2024年审计工作计划及2024年以来审计工作情况。法规政策科负责人介绍审计业务工作流程。并同各位代表进行深入交流，认真听取代表们提出的意见建议。会场气氛热烈活跃，与会代表踊跃发言。代表们参观了报送审计现场，更深入的了解审计工作，还就有关审计业务问题与审计人员进行交流互动，提出了中肯的意见和建议。此次“政府开放日”活动，进一步搭建起政府与群众的桥梁，充分发挥了政务公开推进行政决策科学化、民主化、法治化的积极作用。</w:t>
      </w:r>
    </w:p>
    <w:p w14:paraId="6347A8C0">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（五）政府信息公开年度报告数据统计需要说明的事项</w:t>
      </w:r>
    </w:p>
    <w:p w14:paraId="4A08407C">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本年度报告中所列数据统计期限从</w:t>
      </w:r>
      <w:r>
        <w:rPr>
          <w:rFonts w:hint="eastAsia" w:ascii="仿宋_GB2312" w:eastAsia="仿宋_GB2312"/>
          <w:sz w:val="32"/>
          <w:szCs w:val="32"/>
          <w:lang w:val="en-US" w:eastAsia="zh-CN"/>
        </w:rPr>
        <w:t>2024年1月1日到12月31日止。</w:t>
      </w:r>
    </w:p>
    <w:p w14:paraId="24683C25">
      <w:pPr>
        <w:keepNext w:val="0"/>
        <w:keepLines w:val="0"/>
        <w:widowControl/>
        <w:suppressLineNumbers w:val="0"/>
        <w:ind w:firstLine="640" w:firstLineChars="200"/>
        <w:jc w:val="left"/>
        <w:rPr>
          <w:rFonts w:ascii="仿宋_GB2312" w:eastAsia="仿宋_GB2312"/>
          <w:sz w:val="32"/>
          <w:szCs w:val="32"/>
        </w:rPr>
      </w:pPr>
    </w:p>
    <w:p w14:paraId="723F9BCC">
      <w:pPr>
        <w:ind w:firstLine="640" w:firstLineChars="200"/>
        <w:rPr>
          <w:rFonts w:hint="eastAsia" w:ascii="仿宋_GB2312" w:eastAsia="仿宋_GB2312"/>
          <w:sz w:val="32"/>
          <w:szCs w:val="32"/>
          <w:lang w:eastAsia="zh-CN"/>
        </w:rPr>
      </w:pPr>
      <w:bookmarkStart w:id="10" w:name="_GoBack"/>
      <w:bookmarkEnd w:id="10"/>
    </w:p>
    <w:p w14:paraId="72433134">
      <w:pPr>
        <w:ind w:firstLine="640" w:firstLineChars="200"/>
        <w:rPr>
          <w:rFonts w:hint="eastAsia" w:ascii="仿宋_GB2312" w:eastAsia="仿宋_GB2312"/>
          <w:sz w:val="32"/>
          <w:szCs w:val="32"/>
          <w:lang w:eastAsia="zh-CN"/>
        </w:rPr>
      </w:pPr>
    </w:p>
    <w:p w14:paraId="406CA470">
      <w:pPr>
        <w:ind w:firstLine="640" w:firstLineChars="200"/>
        <w:rPr>
          <w:rFonts w:hint="eastAsia" w:ascii="仿宋_GB2312" w:eastAsia="仿宋_GB2312"/>
          <w:sz w:val="32"/>
          <w:szCs w:val="32"/>
          <w:lang w:eastAsia="zh-CN"/>
        </w:rPr>
      </w:pPr>
    </w:p>
    <w:p w14:paraId="11F7870C">
      <w:pPr>
        <w:pStyle w:val="2"/>
        <w:rPr>
          <w:rFonts w:hint="eastAsia" w:ascii="仿宋_GB2312" w:eastAsia="仿宋_GB2312"/>
          <w:sz w:val="32"/>
          <w:szCs w:val="32"/>
          <w:lang w:eastAsia="zh-CN"/>
        </w:rPr>
      </w:pPr>
    </w:p>
    <w:p w14:paraId="646FFCA4">
      <w:pPr>
        <w:rPr>
          <w:rFonts w:hint="eastAsia" w:ascii="仿宋_GB2312" w:eastAsia="仿宋_GB2312"/>
          <w:sz w:val="32"/>
          <w:szCs w:val="32"/>
          <w:lang w:eastAsia="zh-CN"/>
        </w:rPr>
      </w:pPr>
    </w:p>
    <w:p w14:paraId="7824CA61">
      <w:pPr>
        <w:pStyle w:val="2"/>
        <w:rPr>
          <w:rFonts w:hint="eastAsia"/>
          <w:lang w:eastAsia="zh-CN"/>
        </w:rPr>
      </w:pPr>
    </w:p>
    <w:p w14:paraId="6D282B55">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eastAsia="仿宋_GB2312"/>
          <w:sz w:val="32"/>
          <w:szCs w:val="32"/>
          <w:lang w:val="en-US" w:eastAsia="zh-CN"/>
        </w:rPr>
      </w:pPr>
    </w:p>
    <w:p w14:paraId="36A3E567"/>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CESI小标宋-GB2312">
    <w:altName w:val="宋体"/>
    <w:panose1 w:val="02000500000000000000"/>
    <w:charset w:val="86"/>
    <w:family w:val="auto"/>
    <w:pitch w:val="default"/>
    <w:sig w:usb0="00000000" w:usb1="00000000" w:usb2="00000010" w:usb3="00000000" w:csb0="0004000F"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CESI楷体-GB2312">
    <w:altName w:val="楷体_GB2312"/>
    <w:panose1 w:val="02000500000000000000"/>
    <w:charset w:val="86"/>
    <w:family w:val="auto"/>
    <w:pitch w:val="default"/>
    <w:sig w:usb0="00000000" w:usb1="00000000" w:usb2="00000012" w:usb3="00000000" w:csb0="0004000F" w:csb1="00000000"/>
  </w:font>
  <w:font w:name="楷体">
    <w:panose1 w:val="02010609060101010101"/>
    <w:charset w:val="86"/>
    <w:family w:val="decorative"/>
    <w:pitch w:val="default"/>
    <w:sig w:usb0="800002BF" w:usb1="38CF7CFA" w:usb2="00000016" w:usb3="00000000" w:csb0="00040001" w:csb1="00000000"/>
  </w:font>
  <w:font w:name="文星仿宋">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368A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20A959">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1420A95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6A1D9E"/>
    <w:multiLevelType w:val="singleLevel"/>
    <w:tmpl w:val="CD6A1D9E"/>
    <w:lvl w:ilvl="0" w:tentative="0">
      <w:start w:val="1"/>
      <w:numFmt w:val="chineseCounting"/>
      <w:suff w:val="nothing"/>
      <w:lvlText w:val="%1、"/>
      <w:lvlJc w:val="left"/>
      <w:rPr>
        <w:rFonts w:hint="eastAsia"/>
      </w:rPr>
    </w:lvl>
  </w:abstractNum>
  <w:abstractNum w:abstractNumId="1">
    <w:nsid w:val="54300017"/>
    <w:multiLevelType w:val="singleLevel"/>
    <w:tmpl w:val="54300017"/>
    <w:lvl w:ilvl="0" w:tentative="0">
      <w:start w:val="4"/>
      <w:numFmt w:val="chineseCounting"/>
      <w:suff w:val="nothing"/>
      <w:lvlText w:val="（%1）"/>
      <w:lvlJc w:val="left"/>
      <w:rPr>
        <w:rFonts w:hint="eastAsia"/>
      </w:rPr>
    </w:lvl>
  </w:abstractNum>
  <w:abstractNum w:abstractNumId="2">
    <w:nsid w:val="680301AB"/>
    <w:multiLevelType w:val="singleLevel"/>
    <w:tmpl w:val="680301AB"/>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jYzljNmZlODQzNWJjMzU5ZGNhMTcwNWExMTRhMzUifQ=="/>
  </w:docVars>
  <w:rsids>
    <w:rsidRoot w:val="00000000"/>
    <w:rsid w:val="16C2318A"/>
    <w:rsid w:val="3BB11B99"/>
    <w:rsid w:val="44F91D40"/>
    <w:rsid w:val="4C8D1398"/>
    <w:rsid w:val="72DA0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99"/>
    <w:pPr>
      <w:spacing w:beforeAutospacing="1" w:afterAutospacing="1"/>
      <w:jc w:val="left"/>
    </w:pPr>
    <w:rPr>
      <w:rFonts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2802</Words>
  <Characters>2948</Characters>
  <Lines>0</Lines>
  <Paragraphs>0</Paragraphs>
  <TotalTime>19</TotalTime>
  <ScaleCrop>false</ScaleCrop>
  <LinksUpToDate>false</LinksUpToDate>
  <CharactersWithSpaces>2951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2024-01-12T02:56:00Z</dcterms:created>
  <dc:creator>LENOVO</dc:creator>
  <cp:lastModifiedBy>cookie</cp:lastModifiedBy>
  <dcterms:modified xsi:type="dcterms:W3CDTF">2025-01-22T07:10:04Z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CB30DBD9706344F983FD82B6087B359B_12</vt:lpwstr>
  </property>
  <property fmtid="{D5CDD505-2E9C-101B-9397-08002B2CF9AE}" pid="4" name="KSOTemplateDocerSaveRecord">
    <vt:lpwstr>eyJoZGlkIjoiYmFiYzI2MWM0NWFiMWQ2ODljYjk4YzY5MTQxZGNlN2IiLCJ1c2VySWQiOiI0MjIyMzUzNjYifQ==</vt:lpwstr>
  </property>
</Properties>
</file>