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C5F90">
      <w:pPr>
        <w:spacing w:line="245" w:lineRule="auto"/>
        <w:rPr>
          <w:rFonts w:ascii="Arial"/>
          <w:sz w:val="21"/>
        </w:rPr>
      </w:pPr>
    </w:p>
    <w:p w14:paraId="5CD06E93">
      <w:pPr>
        <w:spacing w:line="245" w:lineRule="auto"/>
        <w:rPr>
          <w:rFonts w:ascii="Arial"/>
          <w:sz w:val="21"/>
        </w:rPr>
      </w:pPr>
    </w:p>
    <w:p w14:paraId="1CD9717C">
      <w:pPr>
        <w:spacing w:line="245" w:lineRule="auto"/>
        <w:rPr>
          <w:rFonts w:ascii="Arial"/>
          <w:sz w:val="21"/>
        </w:rPr>
      </w:pPr>
    </w:p>
    <w:p w14:paraId="4696C4F8">
      <w:pPr>
        <w:spacing w:line="245" w:lineRule="auto"/>
        <w:rPr>
          <w:rFonts w:ascii="Arial"/>
          <w:sz w:val="21"/>
        </w:rPr>
      </w:pPr>
    </w:p>
    <w:p w14:paraId="00D09668">
      <w:pPr>
        <w:spacing w:line="245" w:lineRule="auto"/>
        <w:rPr>
          <w:rFonts w:ascii="Arial"/>
          <w:sz w:val="21"/>
        </w:rPr>
      </w:pPr>
    </w:p>
    <w:p w14:paraId="6C9EB9EF">
      <w:pPr>
        <w:spacing w:line="245" w:lineRule="auto"/>
        <w:rPr>
          <w:rFonts w:ascii="Arial"/>
          <w:sz w:val="21"/>
        </w:rPr>
      </w:pPr>
    </w:p>
    <w:p w14:paraId="7CD2F807">
      <w:pPr>
        <w:pStyle w:val="2"/>
        <w:spacing w:before="97" w:line="222" w:lineRule="auto"/>
        <w:ind w:left="2630"/>
      </w:pPr>
      <w:r>
        <w:rPr>
          <w:spacing w:val="11"/>
        </w:rPr>
        <w:t>冠发改价格〔2025〕5号</w:t>
      </w:r>
    </w:p>
    <w:p w14:paraId="26DF1389">
      <w:pPr>
        <w:spacing w:line="245" w:lineRule="auto"/>
        <w:rPr>
          <w:rFonts w:ascii="Arial"/>
          <w:sz w:val="21"/>
        </w:rPr>
      </w:pPr>
    </w:p>
    <w:p w14:paraId="251B4F72">
      <w:pPr>
        <w:spacing w:line="245" w:lineRule="auto"/>
        <w:rPr>
          <w:rFonts w:ascii="Arial"/>
          <w:sz w:val="21"/>
        </w:rPr>
      </w:pPr>
    </w:p>
    <w:p w14:paraId="23AE3C61">
      <w:pPr>
        <w:spacing w:line="245" w:lineRule="auto"/>
        <w:rPr>
          <w:rFonts w:ascii="Arial"/>
          <w:sz w:val="21"/>
        </w:rPr>
      </w:pPr>
    </w:p>
    <w:p w14:paraId="275334B5">
      <w:pPr>
        <w:spacing w:line="246" w:lineRule="auto"/>
        <w:rPr>
          <w:rFonts w:ascii="Arial"/>
          <w:sz w:val="21"/>
        </w:rPr>
      </w:pPr>
    </w:p>
    <w:p w14:paraId="5C518D63">
      <w:pPr>
        <w:spacing w:before="137" w:line="228" w:lineRule="auto"/>
        <w:ind w:left="2595" w:right="719" w:hanging="1919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1"/>
          <w:sz w:val="42"/>
          <w:szCs w:val="42"/>
        </w:rPr>
        <w:t>关于进一步明确冠县殡葬基本服务收费</w:t>
      </w:r>
      <w:r>
        <w:rPr>
          <w:rFonts w:ascii="宋体" w:hAnsi="宋体" w:eastAsia="宋体" w:cs="宋体"/>
          <w:b/>
          <w:bCs/>
          <w:spacing w:val="1"/>
          <w:sz w:val="42"/>
          <w:szCs w:val="42"/>
        </w:rPr>
        <w:t>及相关问题的通知</w:t>
      </w:r>
    </w:p>
    <w:p w14:paraId="673A3C02">
      <w:pPr>
        <w:spacing w:line="282" w:lineRule="auto"/>
        <w:rPr>
          <w:rFonts w:ascii="Arial"/>
          <w:sz w:val="21"/>
        </w:rPr>
      </w:pPr>
    </w:p>
    <w:p w14:paraId="60329F04">
      <w:pPr>
        <w:spacing w:line="283" w:lineRule="auto"/>
        <w:rPr>
          <w:rFonts w:ascii="Arial"/>
          <w:sz w:val="21"/>
        </w:rPr>
      </w:pPr>
    </w:p>
    <w:p w14:paraId="237210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冠县殡葬服务中心：</w:t>
      </w:r>
    </w:p>
    <w:p w14:paraId="39A811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1" w:firstLine="65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为了促进公益性殡葬行业健康发展，进一步规范殡葬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服务收费行为，巩固殡葬改革成果，保障殡葬事业公益属性，减轻群众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丧葬负担，根据《山东省发展和改革委员会关于公布&lt;山东省定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价目录&gt;的通知》(鲁发改价格〔2020〕1361号)、《关于进一步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加强殡葬服务收费管理的通知》(鲁发改价格〔2023〕235号)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等文件精神，参照周边县市，并结合冠县实际，经研究，现将你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单位殡葬基本服务收费标准及有关事项通知如下：</w:t>
      </w:r>
    </w:p>
    <w:p w14:paraId="781633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99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一、殡葬基本服务收费</w:t>
      </w:r>
    </w:p>
    <w:p w14:paraId="7FF065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right="39" w:firstLine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(一)殡葬基本服务项目包括遗体接运、遗体存放、遗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体火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化、骨灰寄存4项收费项目(具体服务内容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、收费标准等见附件)。</w:t>
      </w:r>
    </w:p>
    <w:p w14:paraId="24E9EC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right="84" w:firstLine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(二)根据惠民殡葬政策有关规定，遗体接运费(冠县辖区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内)、遗体存放费(存放时间72小时)、遗体火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化费(含惠民骨灰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盒一个)、骨灰寄存费(一年)属于政府惠民免除项目，免收服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务费用。</w:t>
      </w:r>
    </w:p>
    <w:p w14:paraId="10E1C3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right="51" w:firstLine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(三)你单位提供的殡葬基本服务免除项目所需经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费列入财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政预算，据实结算。</w:t>
      </w:r>
    </w:p>
    <w:p w14:paraId="125E11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99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二、其他有关规定</w:t>
      </w:r>
    </w:p>
    <w:p w14:paraId="4A7699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right="95" w:firstLine="79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(一)你单位负责提供殡葬基本服务，该收费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作为行政事业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性收费管理，严格落实“收支两条线”规定，收费收入全额纳入财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政预算管理。</w:t>
      </w:r>
    </w:p>
    <w:p w14:paraId="73A196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firstLine="790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(二)你单位应严格按照《山东省殡葬服务收费项目清单》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所列服务项目、服务内容及备注规定的不同情形，开展殡葬服务活动并收取费用。殡仪馆内转接服务属于其标准化作业内容，不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得另行收取费用。</w:t>
      </w:r>
    </w:p>
    <w:p w14:paraId="495873B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firstLine="790"/>
        <w:textAlignment w:val="baseline"/>
        <w:rPr>
          <w:rFonts w:hint="eastAsia" w:ascii="仿宋_GB2312" w:hAnsi="仿宋_GB2312" w:eastAsia="仿宋_GB2312" w:cs="仿宋_GB2312"/>
          <w:spacing w:val="1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(三)你单位要严格落实收费公示制度，在服务场所显著位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置公布服务项目、收费标准、文件依据、减免政策、举报电话、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服务流程、服务规范等内容，自觉接受社会监督。</w:t>
      </w:r>
    </w:p>
    <w:p w14:paraId="78CFB5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44" w:right="79" w:firstLine="79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(四)在实施服务和收费前应向群众提供服务清单(手册),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说明服务项目、服务内容和收费标准等有关情况，由殡葬用户自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愿选择，并与殡葬用户签订服务合同(协议),不得违反公平自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愿原则捆绑、分拆或强制提供服务并收费。</w:t>
      </w:r>
    </w:p>
    <w:p w14:paraId="223534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50" w:right="96" w:firstLine="6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本通知自发布之日起执行，有效期至2027年2月10日，期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满前三个月需按规定重新报批；原冠发改价格〔2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020〕23号文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件同时废止；期间如遇国家、省、市相关政策调整，按新政策执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行。</w:t>
      </w:r>
    </w:p>
    <w:p w14:paraId="582F738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82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附件：冠县殡葬服务中心殡葬基本服务项目收费标准</w:t>
      </w:r>
    </w:p>
    <w:p w14:paraId="29BB8A1C">
      <w:pPr>
        <w:spacing w:line="344" w:lineRule="auto"/>
        <w:rPr>
          <w:rFonts w:ascii="Arial"/>
          <w:sz w:val="21"/>
        </w:rPr>
      </w:pPr>
    </w:p>
    <w:p w14:paraId="34657204">
      <w:pPr>
        <w:spacing w:line="344" w:lineRule="auto"/>
        <w:rPr>
          <w:rFonts w:ascii="Arial"/>
          <w:sz w:val="21"/>
        </w:rPr>
      </w:pPr>
    </w:p>
    <w:p w14:paraId="5727ACF1">
      <w:pPr>
        <w:spacing w:line="344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F8BFA9">
      <w:pPr>
        <w:spacing w:line="344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冠县发展和改革局             冠县财政局</w:t>
      </w:r>
    </w:p>
    <w:p w14:paraId="05869F39">
      <w:pPr>
        <w:spacing w:line="344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055385">
      <w:pPr>
        <w:spacing w:line="344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32C3DE">
      <w:pPr>
        <w:spacing w:line="344" w:lineRule="auto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冠县民政局             冠县市场监督管理局</w:t>
      </w:r>
    </w:p>
    <w:p w14:paraId="15983E1F">
      <w:pPr>
        <w:spacing w:line="344" w:lineRule="auto"/>
        <w:rPr>
          <w:rFonts w:ascii="Arial"/>
          <w:sz w:val="21"/>
        </w:rPr>
      </w:pPr>
    </w:p>
    <w:p w14:paraId="56025D81">
      <w:pPr>
        <w:spacing w:line="344" w:lineRule="auto"/>
        <w:rPr>
          <w:rFonts w:ascii="Arial"/>
          <w:sz w:val="21"/>
        </w:rPr>
      </w:pPr>
    </w:p>
    <w:p w14:paraId="6AAB73D4">
      <w:pPr>
        <w:spacing w:line="344" w:lineRule="auto"/>
        <w:rPr>
          <w:rFonts w:ascii="Arial"/>
          <w:sz w:val="21"/>
        </w:rPr>
      </w:pPr>
    </w:p>
    <w:p w14:paraId="1B0001E3">
      <w:pPr>
        <w:spacing w:line="344" w:lineRule="auto"/>
        <w:rPr>
          <w:rFonts w:ascii="Arial"/>
          <w:sz w:val="21"/>
        </w:rPr>
      </w:pPr>
    </w:p>
    <w:p w14:paraId="2C428ECE">
      <w:pPr>
        <w:spacing w:line="344" w:lineRule="auto"/>
        <w:rPr>
          <w:rFonts w:ascii="Arial"/>
          <w:sz w:val="21"/>
        </w:rPr>
      </w:pPr>
    </w:p>
    <w:p w14:paraId="45808822">
      <w:pPr>
        <w:spacing w:line="344" w:lineRule="auto"/>
        <w:rPr>
          <w:rFonts w:ascii="Arial"/>
          <w:sz w:val="21"/>
        </w:rPr>
      </w:pPr>
    </w:p>
    <w:p w14:paraId="25DA8AA4">
      <w:pPr>
        <w:pStyle w:val="2"/>
        <w:spacing w:before="98" w:line="222" w:lineRule="auto"/>
        <w:ind w:left="6019"/>
      </w:pPr>
      <w:r>
        <w:rPr>
          <w:spacing w:val="40"/>
        </w:rPr>
        <w:t>2025年2月10日</w:t>
      </w:r>
    </w:p>
    <w:p w14:paraId="71C9099F">
      <w:pPr>
        <w:spacing w:line="313" w:lineRule="auto"/>
        <w:rPr>
          <w:rFonts w:ascii="Arial"/>
          <w:sz w:val="21"/>
        </w:rPr>
      </w:pPr>
    </w:p>
    <w:p w14:paraId="10142443">
      <w:pPr>
        <w:spacing w:line="313" w:lineRule="auto"/>
        <w:rPr>
          <w:rFonts w:ascii="Arial"/>
          <w:sz w:val="21"/>
        </w:rPr>
      </w:pPr>
    </w:p>
    <w:p w14:paraId="63718141">
      <w:pPr>
        <w:spacing w:line="313" w:lineRule="auto"/>
        <w:rPr>
          <w:rFonts w:ascii="Arial"/>
          <w:sz w:val="21"/>
        </w:rPr>
      </w:pPr>
    </w:p>
    <w:p w14:paraId="7F6BED65">
      <w:pPr>
        <w:spacing w:line="265" w:lineRule="auto"/>
        <w:rPr>
          <w:rFonts w:ascii="Arial"/>
          <w:sz w:val="21"/>
        </w:rPr>
      </w:pPr>
    </w:p>
    <w:p w14:paraId="39F0DFA9">
      <w:pPr>
        <w:spacing w:line="265" w:lineRule="auto"/>
        <w:rPr>
          <w:rFonts w:ascii="Arial"/>
          <w:sz w:val="21"/>
        </w:rPr>
      </w:pPr>
    </w:p>
    <w:p w14:paraId="5D94CD70">
      <w:pPr>
        <w:spacing w:line="265" w:lineRule="auto"/>
        <w:rPr>
          <w:rFonts w:ascii="Arial"/>
          <w:sz w:val="21"/>
        </w:rPr>
      </w:pPr>
    </w:p>
    <w:p w14:paraId="6F08BEB1">
      <w:pPr>
        <w:spacing w:line="265" w:lineRule="auto"/>
        <w:rPr>
          <w:rFonts w:ascii="Arial"/>
          <w:sz w:val="21"/>
        </w:rPr>
      </w:pPr>
    </w:p>
    <w:p w14:paraId="26E527B6">
      <w:pPr>
        <w:spacing w:line="265" w:lineRule="auto"/>
        <w:rPr>
          <w:rFonts w:ascii="Arial"/>
          <w:sz w:val="21"/>
        </w:rPr>
      </w:pPr>
    </w:p>
    <w:p w14:paraId="32C291CC">
      <w:pPr>
        <w:spacing w:line="265" w:lineRule="auto"/>
        <w:rPr>
          <w:rFonts w:ascii="Arial"/>
          <w:sz w:val="21"/>
        </w:rPr>
      </w:pPr>
    </w:p>
    <w:p w14:paraId="16D7A7FE">
      <w:pPr>
        <w:spacing w:line="265" w:lineRule="auto"/>
        <w:rPr>
          <w:rFonts w:ascii="Arial"/>
          <w:sz w:val="21"/>
        </w:rPr>
      </w:pPr>
    </w:p>
    <w:p w14:paraId="25C485ED">
      <w:pPr>
        <w:spacing w:line="265" w:lineRule="auto"/>
        <w:rPr>
          <w:rFonts w:ascii="Arial"/>
          <w:sz w:val="21"/>
        </w:rPr>
      </w:pPr>
    </w:p>
    <w:p w14:paraId="08A1F22E">
      <w:pPr>
        <w:spacing w:line="265" w:lineRule="auto"/>
        <w:rPr>
          <w:rFonts w:ascii="Arial"/>
          <w:sz w:val="21"/>
        </w:rPr>
      </w:pPr>
    </w:p>
    <w:p w14:paraId="69D63D6A">
      <w:pPr>
        <w:spacing w:line="265" w:lineRule="auto"/>
        <w:rPr>
          <w:rFonts w:ascii="Arial"/>
          <w:sz w:val="21"/>
        </w:rPr>
      </w:pPr>
    </w:p>
    <w:p w14:paraId="1D23F55F">
      <w:pPr>
        <w:spacing w:line="265" w:lineRule="auto"/>
        <w:rPr>
          <w:rFonts w:ascii="Arial"/>
          <w:sz w:val="21"/>
        </w:rPr>
      </w:pPr>
    </w:p>
    <w:p w14:paraId="3D97E5A7">
      <w:pPr>
        <w:spacing w:line="265" w:lineRule="auto"/>
        <w:rPr>
          <w:rFonts w:ascii="Arial"/>
          <w:sz w:val="21"/>
        </w:rPr>
      </w:pPr>
    </w:p>
    <w:p w14:paraId="47D7F649">
      <w:pPr>
        <w:spacing w:line="265" w:lineRule="auto"/>
        <w:rPr>
          <w:rFonts w:ascii="Arial"/>
          <w:sz w:val="21"/>
        </w:rPr>
      </w:pPr>
    </w:p>
    <w:p w14:paraId="3C9F8DF3">
      <w:pPr>
        <w:spacing w:line="265" w:lineRule="auto"/>
        <w:rPr>
          <w:rFonts w:ascii="Arial"/>
          <w:sz w:val="21"/>
        </w:rPr>
      </w:pPr>
    </w:p>
    <w:p w14:paraId="46E43812">
      <w:pPr>
        <w:spacing w:line="265" w:lineRule="auto"/>
        <w:rPr>
          <w:rFonts w:ascii="Arial"/>
          <w:sz w:val="21"/>
        </w:rPr>
      </w:pPr>
    </w:p>
    <w:p w14:paraId="13089F19">
      <w:pPr>
        <w:spacing w:line="265" w:lineRule="auto"/>
        <w:rPr>
          <w:rFonts w:ascii="Arial"/>
          <w:sz w:val="21"/>
        </w:rPr>
      </w:pPr>
      <w:bookmarkStart w:id="0" w:name="_GoBack"/>
      <w:bookmarkEnd w:id="0"/>
    </w:p>
    <w:p w14:paraId="39E60201">
      <w:pPr>
        <w:spacing w:line="265" w:lineRule="auto"/>
        <w:rPr>
          <w:rFonts w:ascii="Arial"/>
          <w:sz w:val="21"/>
        </w:rPr>
      </w:pPr>
    </w:p>
    <w:p w14:paraId="50ECEC0C">
      <w:pPr>
        <w:spacing w:line="265" w:lineRule="auto"/>
        <w:rPr>
          <w:rFonts w:ascii="Arial"/>
          <w:sz w:val="21"/>
        </w:rPr>
      </w:pPr>
    </w:p>
    <w:p w14:paraId="22F65618">
      <w:pPr>
        <w:spacing w:line="265" w:lineRule="auto"/>
        <w:rPr>
          <w:rFonts w:ascii="Arial"/>
          <w:sz w:val="21"/>
        </w:rPr>
      </w:pPr>
    </w:p>
    <w:p w14:paraId="5A712342">
      <w:pPr>
        <w:spacing w:before="78" w:line="224" w:lineRule="auto"/>
        <w:ind w:left="14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13"/>
          <w:sz w:val="24"/>
          <w:szCs w:val="24"/>
        </w:rPr>
        <w:t>附件：</w:t>
      </w:r>
    </w:p>
    <w:p w14:paraId="11E1512D">
      <w:pPr>
        <w:spacing w:line="361" w:lineRule="auto"/>
        <w:rPr>
          <w:rFonts w:ascii="Arial"/>
          <w:sz w:val="21"/>
        </w:rPr>
      </w:pPr>
    </w:p>
    <w:p w14:paraId="6E12C7A4">
      <w:pPr>
        <w:spacing w:before="126" w:line="272" w:lineRule="auto"/>
        <w:ind w:left="3609" w:right="1086" w:hanging="2419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9"/>
          <w:sz w:val="39"/>
          <w:szCs w:val="39"/>
        </w:rPr>
        <w:t>冠县殡葬服务中心殡葬基本服务项目</w:t>
      </w:r>
      <w:r>
        <w:rPr>
          <w:rFonts w:ascii="宋体" w:hAnsi="宋体" w:eastAsia="宋体" w:cs="宋体"/>
          <w:b/>
          <w:bCs/>
          <w:spacing w:val="10"/>
          <w:sz w:val="39"/>
          <w:szCs w:val="39"/>
        </w:rPr>
        <w:t>收费标准</w:t>
      </w:r>
    </w:p>
    <w:p w14:paraId="1F61A470">
      <w:pPr>
        <w:spacing w:before="203"/>
      </w:pPr>
    </w:p>
    <w:tbl>
      <w:tblPr>
        <w:tblStyle w:val="6"/>
        <w:tblW w:w="8610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539"/>
        <w:gridCol w:w="1089"/>
        <w:gridCol w:w="2237"/>
        <w:gridCol w:w="799"/>
        <w:gridCol w:w="879"/>
        <w:gridCol w:w="679"/>
        <w:gridCol w:w="1933"/>
      </w:tblGrid>
      <w:tr w14:paraId="0F408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455" w:type="dxa"/>
            <w:textDirection w:val="tbRlV"/>
            <w:vAlign w:val="top"/>
          </w:tcPr>
          <w:p w14:paraId="4855D1A9">
            <w:pPr>
              <w:pStyle w:val="7"/>
              <w:spacing w:before="100" w:line="200" w:lineRule="auto"/>
              <w:ind w:left="331"/>
            </w:pPr>
            <w:r>
              <w:t>项目类别</w:t>
            </w:r>
          </w:p>
        </w:tc>
        <w:tc>
          <w:tcPr>
            <w:tcW w:w="539" w:type="dxa"/>
            <w:textDirection w:val="tbRlV"/>
            <w:vAlign w:val="top"/>
          </w:tcPr>
          <w:p w14:paraId="0CDCAA89">
            <w:pPr>
              <w:pStyle w:val="7"/>
              <w:spacing w:before="163" w:line="199" w:lineRule="auto"/>
              <w:ind w:left="572"/>
            </w:pPr>
            <w:r>
              <w:t>序号</w:t>
            </w:r>
          </w:p>
        </w:tc>
        <w:tc>
          <w:tcPr>
            <w:tcW w:w="1089" w:type="dxa"/>
            <w:vAlign w:val="top"/>
          </w:tcPr>
          <w:p w14:paraId="47D9B7E3">
            <w:pPr>
              <w:spacing w:line="247" w:lineRule="auto"/>
              <w:rPr>
                <w:rFonts w:ascii="Arial"/>
                <w:sz w:val="21"/>
              </w:rPr>
            </w:pPr>
          </w:p>
          <w:p w14:paraId="3C0A2642">
            <w:pPr>
              <w:spacing w:line="247" w:lineRule="auto"/>
              <w:rPr>
                <w:rFonts w:ascii="Arial"/>
                <w:sz w:val="21"/>
              </w:rPr>
            </w:pPr>
          </w:p>
          <w:p w14:paraId="2D54F3B8">
            <w:pPr>
              <w:pStyle w:val="7"/>
              <w:spacing w:before="78" w:line="226" w:lineRule="auto"/>
              <w:ind w:left="291" w:right="262"/>
            </w:pPr>
            <w:r>
              <w:rPr>
                <w:spacing w:val="5"/>
              </w:rPr>
              <w:t>服务</w:t>
            </w:r>
            <w:r>
              <w:rPr>
                <w:spacing w:val="-35"/>
              </w:rPr>
              <w:t>项目</w:t>
            </w:r>
          </w:p>
        </w:tc>
        <w:tc>
          <w:tcPr>
            <w:tcW w:w="2237" w:type="dxa"/>
            <w:vAlign w:val="top"/>
          </w:tcPr>
          <w:p w14:paraId="60E30284">
            <w:pPr>
              <w:spacing w:line="316" w:lineRule="auto"/>
              <w:rPr>
                <w:rFonts w:ascii="Arial"/>
                <w:sz w:val="21"/>
              </w:rPr>
            </w:pPr>
          </w:p>
          <w:p w14:paraId="70287FD6">
            <w:pPr>
              <w:spacing w:line="317" w:lineRule="auto"/>
              <w:rPr>
                <w:rFonts w:ascii="Arial"/>
                <w:sz w:val="21"/>
              </w:rPr>
            </w:pPr>
          </w:p>
          <w:p w14:paraId="7A9BF9AA">
            <w:pPr>
              <w:pStyle w:val="7"/>
              <w:spacing w:before="78" w:line="219" w:lineRule="auto"/>
              <w:ind w:left="632"/>
            </w:pPr>
            <w:r>
              <w:rPr>
                <w:spacing w:val="3"/>
              </w:rPr>
              <w:t>服务内容</w:t>
            </w:r>
          </w:p>
        </w:tc>
        <w:tc>
          <w:tcPr>
            <w:tcW w:w="799" w:type="dxa"/>
            <w:vAlign w:val="top"/>
          </w:tcPr>
          <w:p w14:paraId="18208719">
            <w:pPr>
              <w:spacing w:line="471" w:lineRule="auto"/>
              <w:rPr>
                <w:rFonts w:ascii="Arial"/>
                <w:sz w:val="21"/>
              </w:rPr>
            </w:pPr>
          </w:p>
          <w:p w14:paraId="31510888">
            <w:pPr>
              <w:pStyle w:val="7"/>
              <w:spacing w:before="78" w:line="218" w:lineRule="auto"/>
              <w:ind w:left="154"/>
            </w:pPr>
            <w:r>
              <w:rPr>
                <w:spacing w:val="5"/>
              </w:rPr>
              <w:t>定价</w:t>
            </w:r>
          </w:p>
          <w:p w14:paraId="66A15EF9">
            <w:pPr>
              <w:pStyle w:val="7"/>
              <w:spacing w:before="20" w:line="221" w:lineRule="auto"/>
              <w:ind w:left="154"/>
            </w:pPr>
            <w:r>
              <w:rPr>
                <w:spacing w:val="4"/>
              </w:rPr>
              <w:t>形式</w:t>
            </w:r>
          </w:p>
        </w:tc>
        <w:tc>
          <w:tcPr>
            <w:tcW w:w="879" w:type="dxa"/>
            <w:vAlign w:val="top"/>
          </w:tcPr>
          <w:p w14:paraId="1DFA91B0">
            <w:pPr>
              <w:spacing w:line="475" w:lineRule="auto"/>
              <w:rPr>
                <w:rFonts w:ascii="Arial"/>
                <w:sz w:val="21"/>
              </w:rPr>
            </w:pPr>
          </w:p>
          <w:p w14:paraId="345E40D1">
            <w:pPr>
              <w:pStyle w:val="7"/>
              <w:spacing w:before="78" w:line="221" w:lineRule="auto"/>
              <w:ind w:left="196"/>
            </w:pPr>
            <w:r>
              <w:rPr>
                <w:spacing w:val="-3"/>
              </w:rPr>
              <w:t>计量</w:t>
            </w:r>
          </w:p>
          <w:p w14:paraId="3B5EB3E3">
            <w:pPr>
              <w:pStyle w:val="7"/>
              <w:spacing w:before="32" w:line="220" w:lineRule="auto"/>
              <w:ind w:left="196"/>
            </w:pPr>
            <w:r>
              <w:rPr>
                <w:spacing w:val="4"/>
              </w:rPr>
              <w:t>单位</w:t>
            </w:r>
          </w:p>
        </w:tc>
        <w:tc>
          <w:tcPr>
            <w:tcW w:w="679" w:type="dxa"/>
            <w:vAlign w:val="top"/>
          </w:tcPr>
          <w:p w14:paraId="7AC8C4E0">
            <w:pPr>
              <w:spacing w:line="474" w:lineRule="auto"/>
              <w:rPr>
                <w:rFonts w:ascii="Arial"/>
                <w:sz w:val="21"/>
              </w:rPr>
            </w:pPr>
          </w:p>
          <w:p w14:paraId="68735D99">
            <w:pPr>
              <w:pStyle w:val="7"/>
              <w:spacing w:before="78" w:line="219" w:lineRule="auto"/>
              <w:ind w:left="97"/>
            </w:pPr>
            <w:r>
              <w:rPr>
                <w:spacing w:val="7"/>
              </w:rPr>
              <w:t>收费</w:t>
            </w:r>
          </w:p>
          <w:p w14:paraId="3B4BDE0B">
            <w:pPr>
              <w:pStyle w:val="7"/>
              <w:spacing w:before="25" w:line="220" w:lineRule="auto"/>
              <w:ind w:left="97"/>
            </w:pPr>
            <w:r>
              <w:rPr>
                <w:spacing w:val="5"/>
              </w:rPr>
              <w:t>标准</w:t>
            </w:r>
          </w:p>
        </w:tc>
        <w:tc>
          <w:tcPr>
            <w:tcW w:w="1933" w:type="dxa"/>
            <w:vAlign w:val="top"/>
          </w:tcPr>
          <w:p w14:paraId="14FAFCBF">
            <w:pPr>
              <w:spacing w:line="315" w:lineRule="auto"/>
              <w:rPr>
                <w:rFonts w:ascii="Arial"/>
                <w:sz w:val="21"/>
              </w:rPr>
            </w:pPr>
          </w:p>
          <w:p w14:paraId="0F70AC28">
            <w:pPr>
              <w:spacing w:line="316" w:lineRule="auto"/>
              <w:rPr>
                <w:rFonts w:ascii="Arial"/>
                <w:sz w:val="21"/>
              </w:rPr>
            </w:pPr>
          </w:p>
          <w:p w14:paraId="2CD6910E">
            <w:pPr>
              <w:pStyle w:val="7"/>
              <w:spacing w:before="78" w:line="221" w:lineRule="auto"/>
              <w:ind w:left="721"/>
            </w:pPr>
            <w:r>
              <w:rPr>
                <w:b/>
                <w:bCs/>
                <w:spacing w:val="-6"/>
              </w:rPr>
              <w:t>备注</w:t>
            </w:r>
          </w:p>
        </w:tc>
      </w:tr>
      <w:tr w14:paraId="5E1FE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455" w:type="dxa"/>
            <w:vMerge w:val="restart"/>
            <w:tcBorders>
              <w:bottom w:val="nil"/>
            </w:tcBorders>
            <w:textDirection w:val="tbRlV"/>
            <w:vAlign w:val="top"/>
          </w:tcPr>
          <w:p w14:paraId="0865B816">
            <w:pPr>
              <w:pStyle w:val="7"/>
              <w:spacing w:before="109" w:line="200" w:lineRule="auto"/>
              <w:ind w:left="3098"/>
            </w:pPr>
            <w:r>
              <w:rPr>
                <w:spacing w:val="59"/>
              </w:rPr>
              <w:t>殡葬基本服务</w:t>
            </w:r>
          </w:p>
        </w:tc>
        <w:tc>
          <w:tcPr>
            <w:tcW w:w="539" w:type="dxa"/>
            <w:vAlign w:val="top"/>
          </w:tcPr>
          <w:p w14:paraId="0B2B49AA">
            <w:pPr>
              <w:spacing w:line="247" w:lineRule="auto"/>
              <w:rPr>
                <w:rFonts w:ascii="Arial"/>
                <w:sz w:val="21"/>
              </w:rPr>
            </w:pPr>
          </w:p>
          <w:p w14:paraId="6786D00E">
            <w:pPr>
              <w:spacing w:line="248" w:lineRule="auto"/>
              <w:rPr>
                <w:rFonts w:ascii="Arial"/>
                <w:sz w:val="21"/>
              </w:rPr>
            </w:pPr>
          </w:p>
          <w:p w14:paraId="49B57705">
            <w:pPr>
              <w:spacing w:line="248" w:lineRule="auto"/>
              <w:rPr>
                <w:rFonts w:ascii="Arial"/>
                <w:sz w:val="21"/>
              </w:rPr>
            </w:pPr>
          </w:p>
          <w:p w14:paraId="3D8B8494">
            <w:pPr>
              <w:pStyle w:val="7"/>
              <w:spacing w:before="78" w:line="241" w:lineRule="auto"/>
              <w:ind w:left="200"/>
            </w:pPr>
            <w:r>
              <w:t>1</w:t>
            </w:r>
          </w:p>
        </w:tc>
        <w:tc>
          <w:tcPr>
            <w:tcW w:w="1089" w:type="dxa"/>
            <w:vAlign w:val="top"/>
          </w:tcPr>
          <w:p w14:paraId="1DB2FD91">
            <w:pPr>
              <w:spacing w:line="290" w:lineRule="auto"/>
              <w:rPr>
                <w:rFonts w:ascii="Arial"/>
                <w:sz w:val="21"/>
              </w:rPr>
            </w:pPr>
          </w:p>
          <w:p w14:paraId="013B9A4B">
            <w:pPr>
              <w:spacing w:line="291" w:lineRule="auto"/>
              <w:rPr>
                <w:rFonts w:ascii="Arial"/>
                <w:sz w:val="21"/>
              </w:rPr>
            </w:pPr>
          </w:p>
          <w:p w14:paraId="0285A088">
            <w:pPr>
              <w:pStyle w:val="7"/>
              <w:spacing w:before="78" w:line="221" w:lineRule="auto"/>
              <w:ind w:left="291"/>
            </w:pPr>
            <w:r>
              <w:rPr>
                <w:spacing w:val="-3"/>
              </w:rPr>
              <w:t>遗体</w:t>
            </w:r>
          </w:p>
          <w:p w14:paraId="68871683">
            <w:pPr>
              <w:pStyle w:val="7"/>
              <w:spacing w:before="22" w:line="221" w:lineRule="auto"/>
              <w:ind w:left="291"/>
            </w:pPr>
            <w:r>
              <w:rPr>
                <w:spacing w:val="-3"/>
              </w:rPr>
              <w:t>接运</w:t>
            </w:r>
          </w:p>
        </w:tc>
        <w:tc>
          <w:tcPr>
            <w:tcW w:w="2237" w:type="dxa"/>
            <w:vAlign w:val="top"/>
          </w:tcPr>
          <w:p w14:paraId="303FA1B8">
            <w:pPr>
              <w:pStyle w:val="7"/>
              <w:spacing w:before="42" w:line="220" w:lineRule="auto"/>
              <w:ind w:left="32"/>
            </w:pPr>
            <w:r>
              <w:rPr>
                <w:spacing w:val="-1"/>
              </w:rPr>
              <w:t>遗体接运，到指定地</w:t>
            </w:r>
          </w:p>
          <w:p w14:paraId="1121B802">
            <w:pPr>
              <w:pStyle w:val="7"/>
              <w:spacing w:before="43" w:line="215" w:lineRule="auto"/>
              <w:ind w:left="32"/>
            </w:pPr>
            <w:r>
              <w:rPr>
                <w:spacing w:val="1"/>
              </w:rPr>
              <w:t>点接运遗体：对正常</w:t>
            </w:r>
          </w:p>
          <w:p w14:paraId="733E01D8">
            <w:pPr>
              <w:pStyle w:val="7"/>
              <w:spacing w:line="219" w:lineRule="auto"/>
              <w:ind w:left="152"/>
            </w:pPr>
            <w:r>
              <w:rPr>
                <w:spacing w:val="1"/>
              </w:rPr>
              <w:t>死亡遗体进行消毒</w:t>
            </w:r>
          </w:p>
          <w:p w14:paraId="4D7E7298">
            <w:pPr>
              <w:pStyle w:val="7"/>
              <w:spacing w:before="45" w:line="215" w:lineRule="auto"/>
              <w:ind w:left="32"/>
            </w:pPr>
            <w:r>
              <w:rPr>
                <w:spacing w:val="1"/>
              </w:rPr>
              <w:t>处理后装殓。服务标</w:t>
            </w:r>
          </w:p>
          <w:p w14:paraId="67A05317">
            <w:pPr>
              <w:pStyle w:val="7"/>
              <w:spacing w:before="2" w:line="213" w:lineRule="auto"/>
              <w:ind w:left="112" w:right="144" w:firstLine="39"/>
            </w:pPr>
            <w:r>
              <w:rPr>
                <w:spacing w:val="1"/>
              </w:rPr>
              <w:t>准参照行业规定执</w:t>
            </w:r>
            <w:r>
              <w:rPr>
                <w:spacing w:val="-1"/>
              </w:rPr>
              <w:t>行。</w:t>
            </w:r>
          </w:p>
        </w:tc>
        <w:tc>
          <w:tcPr>
            <w:tcW w:w="799" w:type="dxa"/>
            <w:vAlign w:val="top"/>
          </w:tcPr>
          <w:p w14:paraId="229C5AEE">
            <w:pPr>
              <w:spacing w:line="284" w:lineRule="auto"/>
              <w:rPr>
                <w:rFonts w:ascii="Arial"/>
                <w:sz w:val="21"/>
              </w:rPr>
            </w:pPr>
          </w:p>
          <w:p w14:paraId="0E7D4B4B">
            <w:pPr>
              <w:spacing w:line="284" w:lineRule="auto"/>
              <w:rPr>
                <w:rFonts w:ascii="Arial"/>
                <w:sz w:val="21"/>
              </w:rPr>
            </w:pPr>
          </w:p>
          <w:p w14:paraId="7788E5BD">
            <w:pPr>
              <w:pStyle w:val="7"/>
              <w:spacing w:before="78" w:line="219" w:lineRule="auto"/>
              <w:ind w:left="154"/>
            </w:pPr>
            <w:r>
              <w:rPr>
                <w:spacing w:val="-3"/>
              </w:rPr>
              <w:t>政府</w:t>
            </w:r>
          </w:p>
          <w:p w14:paraId="4F8C9AFD">
            <w:pPr>
              <w:pStyle w:val="7"/>
              <w:spacing w:before="14" w:line="218" w:lineRule="auto"/>
              <w:ind w:left="154"/>
            </w:pPr>
            <w:r>
              <w:rPr>
                <w:spacing w:val="5"/>
              </w:rPr>
              <w:t>定价</w:t>
            </w:r>
          </w:p>
        </w:tc>
        <w:tc>
          <w:tcPr>
            <w:tcW w:w="879" w:type="dxa"/>
            <w:vAlign w:val="top"/>
          </w:tcPr>
          <w:p w14:paraId="3FE840F7">
            <w:pPr>
              <w:rPr>
                <w:rFonts w:ascii="Arial"/>
                <w:sz w:val="21"/>
              </w:rPr>
            </w:pPr>
          </w:p>
          <w:p w14:paraId="315F26C1">
            <w:pPr>
              <w:rPr>
                <w:rFonts w:ascii="Arial"/>
                <w:sz w:val="21"/>
              </w:rPr>
            </w:pPr>
          </w:p>
          <w:p w14:paraId="3D8D972F">
            <w:pPr>
              <w:rPr>
                <w:rFonts w:ascii="Arial"/>
                <w:sz w:val="21"/>
              </w:rPr>
            </w:pPr>
          </w:p>
          <w:p w14:paraId="594DC317">
            <w:pPr>
              <w:pStyle w:val="7"/>
              <w:spacing w:before="78" w:line="220" w:lineRule="auto"/>
              <w:ind w:left="136"/>
            </w:pPr>
            <w:r>
              <w:rPr>
                <w:spacing w:val="4"/>
              </w:rPr>
              <w:t>元/具</w:t>
            </w:r>
          </w:p>
        </w:tc>
        <w:tc>
          <w:tcPr>
            <w:tcW w:w="679" w:type="dxa"/>
            <w:vAlign w:val="top"/>
          </w:tcPr>
          <w:p w14:paraId="70B5A6C7">
            <w:pPr>
              <w:spacing w:line="247" w:lineRule="auto"/>
              <w:rPr>
                <w:rFonts w:ascii="Arial"/>
                <w:sz w:val="21"/>
              </w:rPr>
            </w:pPr>
          </w:p>
          <w:p w14:paraId="6E3B91D0">
            <w:pPr>
              <w:spacing w:line="247" w:lineRule="auto"/>
              <w:rPr>
                <w:rFonts w:ascii="Arial"/>
                <w:sz w:val="21"/>
              </w:rPr>
            </w:pPr>
          </w:p>
          <w:p w14:paraId="2FAD68E4">
            <w:pPr>
              <w:spacing w:line="248" w:lineRule="auto"/>
              <w:rPr>
                <w:rFonts w:ascii="Arial"/>
                <w:sz w:val="21"/>
              </w:rPr>
            </w:pPr>
          </w:p>
          <w:p w14:paraId="0FA83193">
            <w:pPr>
              <w:pStyle w:val="7"/>
              <w:spacing w:before="78"/>
              <w:ind w:left="157"/>
            </w:pPr>
            <w:r>
              <w:rPr>
                <w:spacing w:val="-3"/>
              </w:rPr>
              <w:t>260</w:t>
            </w:r>
          </w:p>
        </w:tc>
        <w:tc>
          <w:tcPr>
            <w:tcW w:w="1933" w:type="dxa"/>
            <w:vAlign w:val="top"/>
          </w:tcPr>
          <w:p w14:paraId="51BFE2A4">
            <w:pPr>
              <w:pStyle w:val="7"/>
              <w:spacing w:before="62" w:line="225" w:lineRule="auto"/>
              <w:ind w:left="108" w:right="64" w:firstLine="69"/>
              <w:jc w:val="both"/>
            </w:pPr>
            <w:r>
              <w:t>超过20公里的，</w:t>
            </w:r>
            <w:r>
              <w:rPr>
                <w:spacing w:val="12"/>
              </w:rPr>
              <w:t>每超过1公里加</w:t>
            </w:r>
            <w:r>
              <w:rPr>
                <w:spacing w:val="11"/>
              </w:rPr>
              <w:t>收3元，按往返</w:t>
            </w:r>
            <w:r>
              <w:rPr>
                <w:spacing w:val="2"/>
              </w:rPr>
              <w:t>里程计算；包括</w:t>
            </w:r>
            <w:r>
              <w:rPr>
                <w:spacing w:val="6"/>
              </w:rPr>
              <w:t>车内消毒和馆内</w:t>
            </w:r>
            <w:r>
              <w:t>搬抬尸体。</w:t>
            </w:r>
          </w:p>
        </w:tc>
      </w:tr>
      <w:tr w14:paraId="46D7D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 w:hRule="atLeast"/>
        </w:trPr>
        <w:tc>
          <w:tcPr>
            <w:tcW w:w="4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B15AA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316E6BD7">
            <w:pPr>
              <w:spacing w:line="260" w:lineRule="auto"/>
              <w:rPr>
                <w:rFonts w:ascii="Arial"/>
                <w:sz w:val="21"/>
              </w:rPr>
            </w:pPr>
          </w:p>
          <w:p w14:paraId="21450D9C">
            <w:pPr>
              <w:spacing w:line="261" w:lineRule="auto"/>
              <w:rPr>
                <w:rFonts w:ascii="Arial"/>
                <w:sz w:val="21"/>
              </w:rPr>
            </w:pPr>
          </w:p>
          <w:p w14:paraId="7727F266">
            <w:pPr>
              <w:spacing w:line="261" w:lineRule="auto"/>
              <w:rPr>
                <w:rFonts w:ascii="Arial"/>
                <w:sz w:val="21"/>
              </w:rPr>
            </w:pPr>
          </w:p>
          <w:p w14:paraId="302984BF">
            <w:pPr>
              <w:spacing w:line="261" w:lineRule="auto"/>
              <w:rPr>
                <w:rFonts w:ascii="Arial"/>
                <w:sz w:val="21"/>
              </w:rPr>
            </w:pPr>
          </w:p>
          <w:p w14:paraId="0F70B723">
            <w:pPr>
              <w:pStyle w:val="7"/>
              <w:spacing w:before="78" w:line="241" w:lineRule="auto"/>
              <w:ind w:left="200"/>
            </w:pPr>
            <w:r>
              <w:t>2</w:t>
            </w:r>
          </w:p>
        </w:tc>
        <w:tc>
          <w:tcPr>
            <w:tcW w:w="1089" w:type="dxa"/>
            <w:vAlign w:val="top"/>
          </w:tcPr>
          <w:p w14:paraId="30946922">
            <w:pPr>
              <w:spacing w:line="425" w:lineRule="auto"/>
              <w:rPr>
                <w:rFonts w:ascii="Arial"/>
                <w:sz w:val="21"/>
              </w:rPr>
            </w:pPr>
          </w:p>
          <w:p w14:paraId="438E4830">
            <w:pPr>
              <w:pStyle w:val="7"/>
              <w:spacing w:before="79" w:line="230" w:lineRule="auto"/>
              <w:ind w:left="231" w:right="238" w:firstLine="59"/>
              <w:jc w:val="both"/>
            </w:pPr>
            <w:r>
              <w:rPr>
                <w:spacing w:val="-5"/>
              </w:rPr>
              <w:t>遗体</w:t>
            </w:r>
            <w:r>
              <w:rPr>
                <w:spacing w:val="25"/>
              </w:rPr>
              <w:t>存放</w:t>
            </w:r>
            <w:r>
              <w:rPr>
                <w:spacing w:val="3"/>
              </w:rPr>
              <w:t>(含冷</w:t>
            </w:r>
          </w:p>
          <w:p w14:paraId="6E2C7D22">
            <w:pPr>
              <w:pStyle w:val="7"/>
              <w:spacing w:line="248" w:lineRule="auto"/>
              <w:ind w:left="231" w:right="50" w:hanging="180"/>
            </w:pPr>
            <w:r>
              <w:rPr>
                <w:spacing w:val="4"/>
              </w:rPr>
              <w:t>藏、冷冻</w:t>
            </w:r>
            <w:r>
              <w:rPr>
                <w:spacing w:val="17"/>
              </w:rPr>
              <w:t>保存)</w:t>
            </w:r>
          </w:p>
        </w:tc>
        <w:tc>
          <w:tcPr>
            <w:tcW w:w="2237" w:type="dxa"/>
            <w:vAlign w:val="top"/>
          </w:tcPr>
          <w:p w14:paraId="075079B5">
            <w:pPr>
              <w:spacing w:line="421" w:lineRule="auto"/>
              <w:rPr>
                <w:rFonts w:ascii="Arial"/>
                <w:sz w:val="21"/>
              </w:rPr>
            </w:pPr>
          </w:p>
          <w:p w14:paraId="7F2F9185">
            <w:pPr>
              <w:pStyle w:val="7"/>
              <w:spacing w:before="78" w:line="234" w:lineRule="auto"/>
              <w:ind w:left="32" w:right="23" w:firstLine="119"/>
            </w:pPr>
            <w:r>
              <w:rPr>
                <w:spacing w:val="-1"/>
              </w:rPr>
              <w:t>将遗体放入冷藏棺</w:t>
            </w:r>
            <w:r>
              <w:t>(冷冻柜)内，以低温</w:t>
            </w:r>
            <w:r>
              <w:rPr>
                <w:spacing w:val="1"/>
              </w:rPr>
              <w:t>方式保存遗体。服务</w:t>
            </w:r>
          </w:p>
          <w:p w14:paraId="4A3B74AA">
            <w:pPr>
              <w:pStyle w:val="7"/>
              <w:spacing w:before="2" w:line="239" w:lineRule="auto"/>
              <w:ind w:left="92" w:right="139" w:firstLine="59"/>
            </w:pPr>
            <w:r>
              <w:rPr>
                <w:spacing w:val="1"/>
              </w:rPr>
              <w:t>标准参照行业规定</w:t>
            </w:r>
            <w:r>
              <w:t>执行。</w:t>
            </w:r>
          </w:p>
        </w:tc>
        <w:tc>
          <w:tcPr>
            <w:tcW w:w="799" w:type="dxa"/>
            <w:vAlign w:val="top"/>
          </w:tcPr>
          <w:p w14:paraId="7BD4EE5D">
            <w:pPr>
              <w:spacing w:line="292" w:lineRule="auto"/>
              <w:rPr>
                <w:rFonts w:ascii="Arial"/>
                <w:sz w:val="21"/>
              </w:rPr>
            </w:pPr>
          </w:p>
          <w:p w14:paraId="7344ABDC">
            <w:pPr>
              <w:spacing w:line="293" w:lineRule="auto"/>
              <w:rPr>
                <w:rFonts w:ascii="Arial"/>
                <w:sz w:val="21"/>
              </w:rPr>
            </w:pPr>
          </w:p>
          <w:p w14:paraId="4A81BA2F">
            <w:pPr>
              <w:spacing w:line="293" w:lineRule="auto"/>
              <w:rPr>
                <w:rFonts w:ascii="Arial"/>
                <w:sz w:val="21"/>
              </w:rPr>
            </w:pPr>
          </w:p>
          <w:p w14:paraId="71D95903">
            <w:pPr>
              <w:pStyle w:val="7"/>
              <w:spacing w:before="78" w:line="219" w:lineRule="auto"/>
              <w:ind w:left="154"/>
            </w:pPr>
            <w:r>
              <w:rPr>
                <w:spacing w:val="-3"/>
              </w:rPr>
              <w:t>政府</w:t>
            </w:r>
          </w:p>
          <w:p w14:paraId="27F066BB">
            <w:pPr>
              <w:pStyle w:val="7"/>
              <w:spacing w:before="14" w:line="218" w:lineRule="auto"/>
              <w:ind w:left="154"/>
            </w:pPr>
            <w:r>
              <w:rPr>
                <w:spacing w:val="5"/>
              </w:rPr>
              <w:t>定价</w:t>
            </w:r>
          </w:p>
        </w:tc>
        <w:tc>
          <w:tcPr>
            <w:tcW w:w="879" w:type="dxa"/>
            <w:vAlign w:val="top"/>
          </w:tcPr>
          <w:p w14:paraId="1EE75D02">
            <w:pPr>
              <w:spacing w:line="294" w:lineRule="auto"/>
              <w:rPr>
                <w:rFonts w:ascii="Arial"/>
                <w:sz w:val="21"/>
              </w:rPr>
            </w:pPr>
          </w:p>
          <w:p w14:paraId="0FE32C8B">
            <w:pPr>
              <w:spacing w:line="294" w:lineRule="auto"/>
              <w:rPr>
                <w:rFonts w:ascii="Arial"/>
                <w:sz w:val="21"/>
              </w:rPr>
            </w:pPr>
          </w:p>
          <w:p w14:paraId="3CD5760A">
            <w:pPr>
              <w:spacing w:line="294" w:lineRule="auto"/>
              <w:rPr>
                <w:rFonts w:ascii="Arial"/>
                <w:sz w:val="21"/>
              </w:rPr>
            </w:pPr>
          </w:p>
          <w:p w14:paraId="2E0C5581">
            <w:pPr>
              <w:pStyle w:val="7"/>
              <w:spacing w:before="78" w:line="235" w:lineRule="auto"/>
              <w:ind w:left="316" w:right="113" w:hanging="180"/>
            </w:pPr>
            <w:r>
              <w:rPr>
                <w:spacing w:val="6"/>
              </w:rPr>
              <w:t>元/小</w:t>
            </w:r>
            <w:r>
              <w:t>时</w:t>
            </w:r>
          </w:p>
        </w:tc>
        <w:tc>
          <w:tcPr>
            <w:tcW w:w="679" w:type="dxa"/>
            <w:vAlign w:val="top"/>
          </w:tcPr>
          <w:p w14:paraId="45067E3B">
            <w:pPr>
              <w:spacing w:line="260" w:lineRule="auto"/>
              <w:rPr>
                <w:rFonts w:ascii="Arial"/>
                <w:sz w:val="21"/>
              </w:rPr>
            </w:pPr>
          </w:p>
          <w:p w14:paraId="481704C9">
            <w:pPr>
              <w:spacing w:line="261" w:lineRule="auto"/>
              <w:rPr>
                <w:rFonts w:ascii="Arial"/>
                <w:sz w:val="21"/>
              </w:rPr>
            </w:pPr>
          </w:p>
          <w:p w14:paraId="1702033C">
            <w:pPr>
              <w:spacing w:line="261" w:lineRule="auto"/>
              <w:rPr>
                <w:rFonts w:ascii="Arial"/>
                <w:sz w:val="21"/>
              </w:rPr>
            </w:pPr>
          </w:p>
          <w:p w14:paraId="5B703281">
            <w:pPr>
              <w:spacing w:line="261" w:lineRule="auto"/>
              <w:rPr>
                <w:rFonts w:ascii="Arial"/>
                <w:sz w:val="21"/>
              </w:rPr>
            </w:pPr>
          </w:p>
          <w:p w14:paraId="01B72F59">
            <w:pPr>
              <w:pStyle w:val="7"/>
              <w:spacing w:before="78" w:line="239" w:lineRule="auto"/>
              <w:ind w:left="157"/>
            </w:pPr>
            <w:r>
              <w:rPr>
                <w:spacing w:val="-3"/>
              </w:rPr>
              <w:t>6.6</w:t>
            </w:r>
          </w:p>
        </w:tc>
        <w:tc>
          <w:tcPr>
            <w:tcW w:w="1933" w:type="dxa"/>
            <w:vAlign w:val="top"/>
          </w:tcPr>
          <w:p w14:paraId="1798C237">
            <w:pPr>
              <w:pStyle w:val="7"/>
              <w:spacing w:before="64" w:line="219" w:lineRule="auto"/>
              <w:ind w:left="118"/>
            </w:pPr>
            <w:r>
              <w:rPr>
                <w:spacing w:val="1"/>
              </w:rPr>
              <w:t>不足半小时按半</w:t>
            </w:r>
          </w:p>
          <w:p w14:paraId="4BD59592">
            <w:pPr>
              <w:pStyle w:val="7"/>
              <w:spacing w:before="5" w:line="219" w:lineRule="auto"/>
              <w:ind w:left="118"/>
            </w:pPr>
            <w:r>
              <w:rPr>
                <w:spacing w:val="1"/>
              </w:rPr>
              <w:t>小时计算，超过</w:t>
            </w:r>
          </w:p>
          <w:p w14:paraId="30A1AC8B">
            <w:pPr>
              <w:pStyle w:val="7"/>
              <w:spacing w:before="35" w:line="220" w:lineRule="auto"/>
              <w:ind w:left="118"/>
            </w:pPr>
            <w:r>
              <w:rPr>
                <w:spacing w:val="2"/>
              </w:rPr>
              <w:t>半小时不足一小</w:t>
            </w:r>
          </w:p>
          <w:p w14:paraId="77C3D27D">
            <w:pPr>
              <w:pStyle w:val="7"/>
              <w:spacing w:before="3" w:line="219" w:lineRule="auto"/>
              <w:ind w:left="238"/>
            </w:pPr>
            <w:r>
              <w:rPr>
                <w:spacing w:val="1"/>
              </w:rPr>
              <w:t>时按一小时计</w:t>
            </w:r>
          </w:p>
          <w:p w14:paraId="37136584">
            <w:pPr>
              <w:pStyle w:val="7"/>
              <w:spacing w:before="45" w:line="219" w:lineRule="auto"/>
              <w:ind w:left="118"/>
            </w:pPr>
            <w:r>
              <w:rPr>
                <w:spacing w:val="2"/>
              </w:rPr>
              <w:t>算。计费起止时</w:t>
            </w:r>
          </w:p>
          <w:p w14:paraId="18180FB0">
            <w:pPr>
              <w:pStyle w:val="7"/>
              <w:spacing w:before="15" w:line="219" w:lineRule="auto"/>
              <w:ind w:left="118"/>
            </w:pPr>
            <w:r>
              <w:rPr>
                <w:spacing w:val="2"/>
              </w:rPr>
              <w:t>间以双方签字的</w:t>
            </w:r>
          </w:p>
          <w:p w14:paraId="6D9BADAB">
            <w:pPr>
              <w:pStyle w:val="7"/>
              <w:spacing w:before="6" w:line="209" w:lineRule="auto"/>
              <w:ind w:left="98" w:right="346" w:firstLine="19"/>
            </w:pPr>
            <w:r>
              <w:rPr>
                <w:spacing w:val="3"/>
              </w:rPr>
              <w:t>存取确认单确</w:t>
            </w:r>
            <w:r>
              <w:rPr>
                <w:spacing w:val="-1"/>
              </w:rPr>
              <w:t>定。</w:t>
            </w:r>
          </w:p>
        </w:tc>
      </w:tr>
      <w:tr w14:paraId="358AE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4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EF4A09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7C2837F">
            <w:pPr>
              <w:spacing w:line="295" w:lineRule="auto"/>
              <w:rPr>
                <w:rFonts w:ascii="Arial"/>
                <w:sz w:val="21"/>
              </w:rPr>
            </w:pPr>
          </w:p>
          <w:p w14:paraId="54BC1957">
            <w:pPr>
              <w:spacing w:line="295" w:lineRule="auto"/>
              <w:rPr>
                <w:rFonts w:ascii="Arial"/>
                <w:sz w:val="21"/>
              </w:rPr>
            </w:pPr>
          </w:p>
          <w:p w14:paraId="7F9A3122">
            <w:pPr>
              <w:spacing w:line="295" w:lineRule="auto"/>
              <w:rPr>
                <w:rFonts w:ascii="Arial"/>
                <w:sz w:val="21"/>
              </w:rPr>
            </w:pPr>
          </w:p>
          <w:p w14:paraId="54AB0C8D">
            <w:pPr>
              <w:pStyle w:val="7"/>
              <w:spacing w:before="78"/>
              <w:ind w:left="200"/>
            </w:pPr>
            <w:r>
              <w:t>3</w:t>
            </w:r>
          </w:p>
        </w:tc>
        <w:tc>
          <w:tcPr>
            <w:tcW w:w="1089" w:type="dxa"/>
            <w:vAlign w:val="top"/>
          </w:tcPr>
          <w:p w14:paraId="21C42DC6">
            <w:pPr>
              <w:spacing w:line="396" w:lineRule="auto"/>
              <w:rPr>
                <w:rFonts w:ascii="Arial"/>
                <w:sz w:val="21"/>
              </w:rPr>
            </w:pPr>
          </w:p>
          <w:p w14:paraId="0EEE1D17">
            <w:pPr>
              <w:pStyle w:val="7"/>
              <w:spacing w:before="78" w:line="221" w:lineRule="auto"/>
              <w:ind w:left="291"/>
            </w:pPr>
            <w:r>
              <w:rPr>
                <w:spacing w:val="-3"/>
              </w:rPr>
              <w:t>遗体</w:t>
            </w:r>
          </w:p>
          <w:p w14:paraId="726A9411">
            <w:pPr>
              <w:pStyle w:val="7"/>
              <w:spacing w:before="31" w:line="219" w:lineRule="auto"/>
              <w:ind w:left="291"/>
            </w:pPr>
            <w:r>
              <w:rPr>
                <w:spacing w:val="5"/>
              </w:rPr>
              <w:t>火化</w:t>
            </w:r>
          </w:p>
          <w:p w14:paraId="65CDC6CC">
            <w:pPr>
              <w:pStyle w:val="7"/>
              <w:spacing w:before="5" w:line="219" w:lineRule="auto"/>
              <w:ind w:left="231"/>
            </w:pPr>
            <w:r>
              <w:rPr>
                <w:spacing w:val="4"/>
              </w:rPr>
              <w:t>(含骨</w:t>
            </w:r>
          </w:p>
          <w:p w14:paraId="1C171B31">
            <w:pPr>
              <w:pStyle w:val="7"/>
              <w:spacing w:before="25" w:line="219" w:lineRule="auto"/>
              <w:ind w:left="111"/>
            </w:pPr>
            <w:r>
              <w:rPr>
                <w:spacing w:val="13"/>
              </w:rPr>
              <w:t>灰装整)</w:t>
            </w:r>
          </w:p>
        </w:tc>
        <w:tc>
          <w:tcPr>
            <w:tcW w:w="2237" w:type="dxa"/>
            <w:vAlign w:val="top"/>
          </w:tcPr>
          <w:p w14:paraId="07527372">
            <w:pPr>
              <w:pStyle w:val="7"/>
              <w:spacing w:before="206" w:line="219" w:lineRule="auto"/>
              <w:jc w:val="right"/>
            </w:pPr>
            <w:r>
              <w:rPr>
                <w:spacing w:val="3"/>
              </w:rPr>
              <w:t>用火化设备对遗体、</w:t>
            </w:r>
          </w:p>
          <w:p w14:paraId="5E20BC88">
            <w:pPr>
              <w:pStyle w:val="7"/>
              <w:spacing w:before="18" w:line="233" w:lineRule="auto"/>
              <w:ind w:left="32" w:firstLine="115"/>
            </w:pPr>
            <w:r>
              <w:rPr>
                <w:spacing w:val="-8"/>
              </w:rPr>
              <w:t>遗骸或残肢等进行焚化，并对出炉骨灰</w:t>
            </w:r>
            <w:r>
              <w:rPr>
                <w:spacing w:val="3"/>
              </w:rPr>
              <w:t>按程序拾捡、粉碎、</w:t>
            </w:r>
            <w:r>
              <w:rPr>
                <w:spacing w:val="-7"/>
              </w:rPr>
              <w:t>装盒。服务标准参照</w:t>
            </w:r>
            <w:r>
              <w:rPr>
                <w:spacing w:val="2"/>
              </w:rPr>
              <w:t>行业规定执行。</w:t>
            </w:r>
          </w:p>
        </w:tc>
        <w:tc>
          <w:tcPr>
            <w:tcW w:w="799" w:type="dxa"/>
            <w:vAlign w:val="top"/>
          </w:tcPr>
          <w:p w14:paraId="2D1B09FE">
            <w:pPr>
              <w:spacing w:line="356" w:lineRule="auto"/>
              <w:rPr>
                <w:rFonts w:ascii="Arial"/>
                <w:sz w:val="21"/>
              </w:rPr>
            </w:pPr>
          </w:p>
          <w:p w14:paraId="62372788">
            <w:pPr>
              <w:spacing w:line="356" w:lineRule="auto"/>
              <w:rPr>
                <w:rFonts w:ascii="Arial"/>
                <w:sz w:val="21"/>
              </w:rPr>
            </w:pPr>
          </w:p>
          <w:p w14:paraId="3BF08577">
            <w:pPr>
              <w:pStyle w:val="7"/>
              <w:spacing w:before="78" w:line="219" w:lineRule="auto"/>
              <w:ind w:left="154"/>
            </w:pPr>
            <w:r>
              <w:rPr>
                <w:spacing w:val="-3"/>
              </w:rPr>
              <w:t>政府</w:t>
            </w:r>
          </w:p>
          <w:p w14:paraId="3DE0A926">
            <w:pPr>
              <w:pStyle w:val="7"/>
              <w:spacing w:before="4" w:line="218" w:lineRule="auto"/>
              <w:ind w:left="154"/>
            </w:pPr>
            <w:r>
              <w:rPr>
                <w:spacing w:val="5"/>
              </w:rPr>
              <w:t>定价</w:t>
            </w:r>
          </w:p>
        </w:tc>
        <w:tc>
          <w:tcPr>
            <w:tcW w:w="879" w:type="dxa"/>
            <w:vAlign w:val="top"/>
          </w:tcPr>
          <w:p w14:paraId="313F1B98">
            <w:pPr>
              <w:spacing w:line="287" w:lineRule="auto"/>
              <w:rPr>
                <w:rFonts w:ascii="Arial"/>
                <w:sz w:val="21"/>
              </w:rPr>
            </w:pPr>
          </w:p>
          <w:p w14:paraId="1BEF5888">
            <w:pPr>
              <w:spacing w:line="288" w:lineRule="auto"/>
              <w:rPr>
                <w:rFonts w:ascii="Arial"/>
                <w:sz w:val="21"/>
              </w:rPr>
            </w:pPr>
          </w:p>
          <w:p w14:paraId="30406A55">
            <w:pPr>
              <w:spacing w:line="288" w:lineRule="auto"/>
              <w:rPr>
                <w:rFonts w:ascii="Arial"/>
                <w:sz w:val="21"/>
              </w:rPr>
            </w:pPr>
          </w:p>
          <w:p w14:paraId="3E5C149F">
            <w:pPr>
              <w:pStyle w:val="7"/>
              <w:spacing w:before="78" w:line="220" w:lineRule="auto"/>
              <w:ind w:left="136"/>
            </w:pPr>
            <w:r>
              <w:rPr>
                <w:spacing w:val="4"/>
              </w:rPr>
              <w:t>元/具</w:t>
            </w:r>
          </w:p>
        </w:tc>
        <w:tc>
          <w:tcPr>
            <w:tcW w:w="679" w:type="dxa"/>
            <w:vAlign w:val="top"/>
          </w:tcPr>
          <w:p w14:paraId="51D911CC">
            <w:pPr>
              <w:spacing w:line="295" w:lineRule="auto"/>
              <w:rPr>
                <w:rFonts w:ascii="Arial"/>
                <w:sz w:val="21"/>
              </w:rPr>
            </w:pPr>
          </w:p>
          <w:p w14:paraId="175A0937">
            <w:pPr>
              <w:spacing w:line="295" w:lineRule="auto"/>
              <w:rPr>
                <w:rFonts w:ascii="Arial"/>
                <w:sz w:val="21"/>
              </w:rPr>
            </w:pPr>
          </w:p>
          <w:p w14:paraId="04E9AC4D">
            <w:pPr>
              <w:spacing w:line="295" w:lineRule="auto"/>
              <w:rPr>
                <w:rFonts w:ascii="Arial"/>
                <w:sz w:val="21"/>
              </w:rPr>
            </w:pPr>
          </w:p>
          <w:p w14:paraId="0736A744">
            <w:pPr>
              <w:pStyle w:val="7"/>
              <w:spacing w:before="78"/>
              <w:ind w:left="157"/>
            </w:pPr>
            <w:r>
              <w:rPr>
                <w:spacing w:val="-3"/>
              </w:rPr>
              <w:t>800</w:t>
            </w:r>
          </w:p>
        </w:tc>
        <w:tc>
          <w:tcPr>
            <w:tcW w:w="1933" w:type="dxa"/>
            <w:vAlign w:val="top"/>
          </w:tcPr>
          <w:p w14:paraId="556A5DF0">
            <w:pPr>
              <w:spacing w:line="286" w:lineRule="auto"/>
              <w:rPr>
                <w:rFonts w:ascii="Arial"/>
                <w:sz w:val="21"/>
              </w:rPr>
            </w:pPr>
          </w:p>
          <w:p w14:paraId="0181AF9D">
            <w:pPr>
              <w:pStyle w:val="7"/>
              <w:spacing w:before="78" w:line="225" w:lineRule="auto"/>
              <w:ind w:left="97" w:right="49" w:hanging="39"/>
            </w:pPr>
            <w:r>
              <w:rPr>
                <w:spacing w:val="1"/>
              </w:rPr>
              <w:t>捡灰炉；7岁以下</w:t>
            </w:r>
            <w:r>
              <w:t>儿童减半。</w:t>
            </w:r>
          </w:p>
          <w:p w14:paraId="23DB4E72">
            <w:pPr>
              <w:pStyle w:val="7"/>
              <w:spacing w:before="15" w:line="232" w:lineRule="auto"/>
              <w:ind w:left="88" w:right="90" w:firstLine="29"/>
            </w:pPr>
            <w:r>
              <w:rPr>
                <w:spacing w:val="-2"/>
              </w:rPr>
              <w:t>包括普通骨灰盒</w:t>
            </w:r>
            <w:r>
              <w:rPr>
                <w:spacing w:val="-18"/>
              </w:rPr>
              <w:t>一个(据实结</w:t>
            </w:r>
            <w:r>
              <w:t>算)。</w:t>
            </w:r>
          </w:p>
        </w:tc>
      </w:tr>
      <w:tr w14:paraId="39477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455" w:type="dxa"/>
            <w:vMerge w:val="continue"/>
            <w:tcBorders>
              <w:top w:val="nil"/>
            </w:tcBorders>
            <w:textDirection w:val="tbRlV"/>
            <w:vAlign w:val="top"/>
          </w:tcPr>
          <w:p w14:paraId="7342DD22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7405D300">
            <w:pPr>
              <w:spacing w:line="319" w:lineRule="auto"/>
              <w:rPr>
                <w:rFonts w:ascii="Arial"/>
                <w:sz w:val="21"/>
              </w:rPr>
            </w:pPr>
          </w:p>
          <w:p w14:paraId="25AE26CA">
            <w:pPr>
              <w:spacing w:line="320" w:lineRule="auto"/>
              <w:rPr>
                <w:rFonts w:ascii="Arial"/>
                <w:sz w:val="21"/>
              </w:rPr>
            </w:pPr>
          </w:p>
          <w:p w14:paraId="6B395E58">
            <w:pPr>
              <w:pStyle w:val="7"/>
              <w:spacing w:before="78" w:line="241" w:lineRule="auto"/>
              <w:ind w:left="200"/>
            </w:pPr>
            <w:r>
              <w:t>4</w:t>
            </w:r>
          </w:p>
        </w:tc>
        <w:tc>
          <w:tcPr>
            <w:tcW w:w="1089" w:type="dxa"/>
            <w:vAlign w:val="top"/>
          </w:tcPr>
          <w:p w14:paraId="4FD2DFBC">
            <w:pPr>
              <w:spacing w:line="457" w:lineRule="auto"/>
              <w:rPr>
                <w:rFonts w:ascii="Arial"/>
                <w:sz w:val="21"/>
              </w:rPr>
            </w:pPr>
          </w:p>
          <w:p w14:paraId="78D9D814">
            <w:pPr>
              <w:pStyle w:val="7"/>
              <w:spacing w:before="78" w:line="219" w:lineRule="auto"/>
              <w:ind w:left="291"/>
            </w:pPr>
            <w:r>
              <w:rPr>
                <w:spacing w:val="5"/>
              </w:rPr>
              <w:t>骨灰</w:t>
            </w:r>
          </w:p>
          <w:p w14:paraId="35900CBD">
            <w:pPr>
              <w:pStyle w:val="7"/>
              <w:spacing w:before="35" w:line="219" w:lineRule="auto"/>
              <w:ind w:left="291"/>
            </w:pPr>
            <w:r>
              <w:rPr>
                <w:spacing w:val="5"/>
              </w:rPr>
              <w:t>寄存</w:t>
            </w:r>
          </w:p>
        </w:tc>
        <w:tc>
          <w:tcPr>
            <w:tcW w:w="2237" w:type="dxa"/>
            <w:vAlign w:val="top"/>
          </w:tcPr>
          <w:p w14:paraId="5741FF43">
            <w:pPr>
              <w:spacing w:line="308" w:lineRule="auto"/>
              <w:rPr>
                <w:rFonts w:ascii="Arial"/>
                <w:sz w:val="21"/>
              </w:rPr>
            </w:pPr>
          </w:p>
          <w:p w14:paraId="084DEAD2">
            <w:pPr>
              <w:spacing w:line="308" w:lineRule="auto"/>
              <w:rPr>
                <w:rFonts w:ascii="Arial"/>
                <w:sz w:val="21"/>
              </w:rPr>
            </w:pPr>
          </w:p>
          <w:p w14:paraId="66DC2FE3">
            <w:pPr>
              <w:pStyle w:val="7"/>
              <w:spacing w:before="78" w:line="219" w:lineRule="auto"/>
              <w:jc w:val="right"/>
            </w:pPr>
            <w:r>
              <w:rPr>
                <w:spacing w:val="-3"/>
              </w:rPr>
              <w:t>约定期限存放骨灰。</w:t>
            </w:r>
          </w:p>
        </w:tc>
        <w:tc>
          <w:tcPr>
            <w:tcW w:w="799" w:type="dxa"/>
            <w:vAlign w:val="top"/>
          </w:tcPr>
          <w:p w14:paraId="362E5D4F">
            <w:pPr>
              <w:spacing w:line="445" w:lineRule="auto"/>
              <w:rPr>
                <w:rFonts w:ascii="Arial"/>
                <w:sz w:val="21"/>
              </w:rPr>
            </w:pPr>
          </w:p>
          <w:p w14:paraId="6FDF61C5">
            <w:pPr>
              <w:pStyle w:val="7"/>
              <w:spacing w:before="78" w:line="219" w:lineRule="auto"/>
              <w:ind w:left="154"/>
            </w:pPr>
            <w:r>
              <w:rPr>
                <w:spacing w:val="-3"/>
              </w:rPr>
              <w:t>政府</w:t>
            </w:r>
          </w:p>
          <w:p w14:paraId="2C8590B7">
            <w:pPr>
              <w:pStyle w:val="7"/>
              <w:spacing w:before="44" w:line="218" w:lineRule="auto"/>
              <w:ind w:left="154"/>
            </w:pPr>
            <w:r>
              <w:rPr>
                <w:spacing w:val="5"/>
              </w:rPr>
              <w:t>定价</w:t>
            </w:r>
          </w:p>
        </w:tc>
        <w:tc>
          <w:tcPr>
            <w:tcW w:w="879" w:type="dxa"/>
            <w:vAlign w:val="top"/>
          </w:tcPr>
          <w:p w14:paraId="5B8FC06B">
            <w:pPr>
              <w:spacing w:line="477" w:lineRule="auto"/>
              <w:rPr>
                <w:rFonts w:ascii="Arial"/>
                <w:sz w:val="21"/>
              </w:rPr>
            </w:pPr>
          </w:p>
          <w:p w14:paraId="4E340987">
            <w:pPr>
              <w:pStyle w:val="7"/>
              <w:spacing w:before="78" w:line="217" w:lineRule="auto"/>
              <w:ind w:left="255" w:right="144" w:hanging="119"/>
            </w:pPr>
            <w:r>
              <w:rPr>
                <w:spacing w:val="-4"/>
              </w:rPr>
              <w:t>元/盒</w:t>
            </w:r>
            <w:r>
              <w:rPr>
                <w:spacing w:val="-2"/>
              </w:rPr>
              <w:t>/年</w:t>
            </w:r>
          </w:p>
        </w:tc>
        <w:tc>
          <w:tcPr>
            <w:tcW w:w="679" w:type="dxa"/>
            <w:vAlign w:val="top"/>
          </w:tcPr>
          <w:p w14:paraId="7F0434AB">
            <w:pPr>
              <w:spacing w:line="319" w:lineRule="auto"/>
              <w:rPr>
                <w:rFonts w:ascii="Arial"/>
                <w:sz w:val="21"/>
              </w:rPr>
            </w:pPr>
          </w:p>
          <w:p w14:paraId="06E13CC2">
            <w:pPr>
              <w:spacing w:line="320" w:lineRule="auto"/>
              <w:rPr>
                <w:rFonts w:ascii="Arial"/>
                <w:sz w:val="21"/>
              </w:rPr>
            </w:pPr>
          </w:p>
          <w:p w14:paraId="081B5F88">
            <w:pPr>
              <w:pStyle w:val="7"/>
              <w:spacing w:before="78"/>
              <w:ind w:left="157"/>
            </w:pPr>
            <w:r>
              <w:rPr>
                <w:spacing w:val="-7"/>
              </w:rPr>
              <w:t>100</w:t>
            </w:r>
          </w:p>
        </w:tc>
        <w:tc>
          <w:tcPr>
            <w:tcW w:w="1933" w:type="dxa"/>
            <w:vAlign w:val="top"/>
          </w:tcPr>
          <w:p w14:paraId="78E3CFEC">
            <w:pPr>
              <w:spacing w:line="242" w:lineRule="auto"/>
              <w:rPr>
                <w:rFonts w:ascii="Arial"/>
                <w:sz w:val="21"/>
              </w:rPr>
            </w:pPr>
          </w:p>
          <w:p w14:paraId="5C2A4489">
            <w:pPr>
              <w:spacing w:line="243" w:lineRule="auto"/>
              <w:rPr>
                <w:rFonts w:ascii="Arial"/>
                <w:sz w:val="21"/>
              </w:rPr>
            </w:pPr>
          </w:p>
          <w:p w14:paraId="56C95E86">
            <w:pPr>
              <w:pStyle w:val="7"/>
              <w:spacing w:before="78" w:line="241" w:lineRule="auto"/>
              <w:ind w:left="127" w:right="134" w:hanging="9"/>
            </w:pPr>
            <w:r>
              <w:rPr>
                <w:spacing w:val="-2"/>
              </w:rPr>
              <w:t>含证；不足一年</w:t>
            </w:r>
            <w:r>
              <w:t>的按月折算。</w:t>
            </w:r>
          </w:p>
        </w:tc>
      </w:tr>
    </w:tbl>
    <w:p w14:paraId="4851B49D">
      <w:pPr>
        <w:rPr>
          <w:rFonts w:ascii="Arial"/>
          <w:sz w:val="21"/>
        </w:rPr>
      </w:pPr>
    </w:p>
    <w:sectPr>
      <w:footerReference r:id="rId5" w:type="default"/>
      <w:pgSz w:w="11900" w:h="16820"/>
      <w:pgMar w:top="1429" w:right="1385" w:bottom="1585" w:left="1785" w:header="0" w:footer="107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50A35">
    <w:pPr>
      <w:spacing w:line="236" w:lineRule="auto"/>
      <w:ind w:left="124"/>
      <w:rPr>
        <w:rFonts w:ascii="宋体" w:hAnsi="宋体" w:eastAsia="宋体" w:cs="宋体"/>
        <w:sz w:val="39"/>
        <w:szCs w:val="39"/>
      </w:rPr>
    </w:pPr>
    <w:r>
      <w:rPr>
        <w:rFonts w:ascii="宋体" w:hAnsi="宋体" w:eastAsia="宋体" w:cs="宋体"/>
        <w:spacing w:val="-5"/>
        <w:sz w:val="39"/>
        <w:szCs w:val="39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825DF9"/>
    <w:rsid w:val="588345BA"/>
    <w:rsid w:val="6C313D15"/>
    <w:rsid w:val="7A777D22"/>
    <w:rsid w:val="7D3913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1320</Words>
  <Characters>1358</Characters>
  <TotalTime>1</TotalTime>
  <ScaleCrop>false</ScaleCrop>
  <LinksUpToDate>false</LinksUpToDate>
  <CharactersWithSpaces>1384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2025-03-24T09:39:00Z</dcterms:created>
  <dc:creator>Administrator</dc:creator>
  <cp:lastModifiedBy>cookie</cp:lastModifiedBy>
  <dcterms:modified xsi:type="dcterms:W3CDTF">2025-03-24T07:10:08Z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2025-03-24T09:39:24Z</vt:filetime>
  </property>
  <property fmtid="{D5CDD505-2E9C-101B-9397-08002B2CF9AE}" pid="4" name="UsrData">
    <vt:lpwstr>67e0b7c91087f5001f8c83b9wl</vt:lpwstr>
  </property>
  <property fmtid="{D5CDD505-2E9C-101B-9397-08002B2CF9AE}" pid="5" name="KSOTemplateDocerSaveRecord">
    <vt:lpwstr>eyJoZGlkIjoiYmFiYzI2MWM0NWFiMWQ2ODljYjk4YzY5MTQxZGNlN2IiLCJ1c2VySWQiOiI0MjIyMzUzNjYifQ==</vt:lpwstr>
  </property>
  <property fmtid="{D5CDD505-2E9C-101B-9397-08002B2CF9AE}" pid="6" name="KSOProductBuildVer">
    <vt:lpwstr>2052-12.1.0.20305</vt:lpwstr>
  </property>
  <property fmtid="{D5CDD505-2E9C-101B-9397-08002B2CF9AE}" pid="7" name="ICV">
    <vt:lpwstr>06275A90DD7144F69B9CF2E28FE86F11_12</vt:lpwstr>
  </property>
</Properties>
</file>