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冠政办发〔2023〕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号</w:t>
      </w: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>
      <w:pPr>
        <w:pStyle w:val="2"/>
        <w:ind w:left="0" w:leftChars="0" w:firstLine="0" w:firstLineChars="0"/>
        <w:rPr>
          <w:rFonts w:hint="eastAsia" w:ascii="仿宋_GB2312" w:eastAsia="仿宋_GB2312"/>
          <w:sz w:val="32"/>
          <w:szCs w:val="32"/>
        </w:rPr>
      </w:pPr>
    </w:p>
    <w:p>
      <w:pPr>
        <w:widowControl/>
        <w:spacing w:line="600" w:lineRule="exact"/>
        <w:jc w:val="center"/>
        <w:rPr>
          <w:rFonts w:hint="default" w:ascii="方正大标宋简体" w:hAnsi="方正大标宋简体" w:eastAsia="方正大标宋简体" w:cs="方正大标宋简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冠县人民政府</w:t>
      </w:r>
      <w:r>
        <w:rPr>
          <w:rFonts w:hint="eastAsia" w:ascii="方正大标宋简体" w:hAnsi="方正大标宋简体" w:eastAsia="方正大标宋简体" w:cs="方正大标宋简体"/>
          <w:color w:val="000000" w:themeColor="text1"/>
          <w:ker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办公室</w:t>
      </w:r>
    </w:p>
    <w:p>
      <w:pPr>
        <w:widowControl/>
        <w:spacing w:line="600" w:lineRule="exact"/>
        <w:jc w:val="center"/>
        <w:rPr>
          <w:rFonts w:hint="eastAsia" w:ascii="方正大标宋简体" w:hAnsi="方正大标宋简体" w:eastAsia="方正大标宋简体" w:cs="方正大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关于印发《冠县支持工业技术改造综合奖补</w:t>
      </w:r>
    </w:p>
    <w:p>
      <w:pPr>
        <w:widowControl/>
        <w:spacing w:line="600" w:lineRule="exact"/>
        <w:jc w:val="center"/>
        <w:rPr>
          <w:rFonts w:hint="eastAsia" w:ascii="方正大标宋简体" w:hAnsi="方正大标宋简体" w:eastAsia="方正大标宋简体" w:cs="方正大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实施方案》的通知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各乡镇人民政府、街道办事处，县经济开发区管委会，县直有关部门（单位）：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现将《冠县支持工业技术改造综合奖补实施方案（试行）》印发给你们，请结合实际认真组织实施。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80" w:firstLineChars="1775"/>
        <w:jc w:val="left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冠县人民政府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办公室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</w:t>
      </w:r>
      <w:r>
        <w:rPr>
          <w:rFonts w:hint="default" w:ascii="仿宋_GB2312" w:hAnsi="宋体" w:eastAsia="仿宋_GB2312" w:cs="仿宋_GB2312"/>
          <w:color w:val="000000" w:themeColor="text1"/>
          <w:kern w:val="0"/>
          <w:sz w:val="32"/>
          <w:szCs w:val="32"/>
          <w:lang w:val="en" w:eastAsia="zh-CN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2023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（此件公开发布）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widowControl/>
        <w:spacing w:line="600" w:lineRule="exact"/>
        <w:jc w:val="center"/>
        <w:rPr>
          <w:rFonts w:hint="eastAsia" w:ascii="方正大标宋简体" w:hAnsi="方正大标宋简体" w:eastAsia="方正大标宋简体" w:cs="方正大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大标宋简体" w:hAnsi="方正大标宋简体" w:eastAsia="方正大标宋简体" w:cs="方正大标宋简体"/>
          <w:color w:val="000000" w:themeColor="text1"/>
          <w:kern w:val="0"/>
          <w:sz w:val="44"/>
          <w:szCs w:val="44"/>
          <w14:textFill>
            <w14:solidFill>
              <w14:schemeClr w14:val="tx1"/>
            </w14:solidFill>
          </w14:textFill>
        </w:rPr>
        <w:t>冠县支持工业技术改造综合奖补实施方案</w:t>
      </w:r>
    </w:p>
    <w:p>
      <w:pPr>
        <w:widowControl/>
        <w:spacing w:line="600" w:lineRule="exact"/>
        <w:jc w:val="center"/>
        <w:rPr>
          <w:rFonts w:ascii="方正小标宋简体" w:hAnsi="方正小标宋简体" w:eastAsia="方正小标宋简体" w:cs="方正小标宋简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00" w:lineRule="exact"/>
        <w:jc w:val="center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第一章</w:t>
      </w:r>
      <w:r>
        <w:rPr>
          <w:rFonts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总则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第一条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为深入落实上级关于支持民营经济高质量发展的部署要求，发挥财政资金激励作用，鼓励、支持和引导全县民营经济转型升级、高端发展，结合我县实际，制定本方案。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第二条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本方案的综合奖补是对企业实施技术改造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包括节水技改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、智能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制造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、绿色制造、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科技创新体系建设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等项目和企业的奖补。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第三条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实施企业技术改造综合奖补政策遵循依法依规、公平公正、简便操作的原则，县级每年最高安排1000万元预算资金，为政策实施提供资金保障。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第二章</w:t>
      </w:r>
      <w:r>
        <w:rPr>
          <w:rFonts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奖补标准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第四条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 w:cs="仿宋_GB2312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采用事后奖补的方式，重点支持“亩产效益”评为</w:t>
      </w:r>
      <w:r>
        <w:rPr>
          <w:rFonts w:ascii="仿宋_GB2312" w:hAnsi="宋体" w:eastAsia="仿宋_GB2312" w:cs="仿宋_GB2312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A</w:t>
      </w:r>
      <w:r>
        <w:rPr>
          <w:rFonts w:hint="eastAsia" w:ascii="仿宋_GB2312" w:hAnsi="宋体" w:eastAsia="仿宋_GB2312" w:cs="仿宋_GB2312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类和</w:t>
      </w:r>
      <w:r>
        <w:rPr>
          <w:rFonts w:ascii="仿宋_GB2312" w:hAnsi="宋体" w:eastAsia="仿宋_GB2312" w:cs="仿宋_GB2312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B</w:t>
      </w:r>
      <w:r>
        <w:rPr>
          <w:rFonts w:hint="eastAsia" w:ascii="仿宋_GB2312" w:hAnsi="宋体" w:eastAsia="仿宋_GB2312" w:cs="仿宋_GB2312"/>
          <w:color w:val="000000" w:themeColor="text1"/>
          <w:spacing w:val="-6"/>
          <w:kern w:val="0"/>
          <w:sz w:val="32"/>
          <w:szCs w:val="32"/>
          <w14:textFill>
            <w14:solidFill>
              <w14:schemeClr w14:val="tx1"/>
            </w14:solidFill>
          </w14:textFill>
        </w:rPr>
        <w:t>类、专精特新、高新技术、企业上云、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节水节能等企业加快实施技术改造、科技创新、数字转型、智能制造，推进企业优质发展，加快制造业转型升级。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20"/>
        <w:jc w:val="lef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第五条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支持民营企业持续发展。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对设备投入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万元以上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制造业技术改造项目，按照设备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含软件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实际购置金额不超过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10%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的比例给予支持，单户企业县级最高支持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万元。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其中“亩产效益”综合评价结果为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C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类和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D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类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的企业，设备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含软件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投资奖补的比例分别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下浮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20%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、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30%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设备购置金额是指申报项目新购置（不含二手设备）的生产、研发、节能、节水、检验检测等设备及配套软件支出金额，单台设备价格不低于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万元。根据企业提供的购置设备增值税专用发票或普通发票，由第三方社会中介机构核定。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第六条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支持民营企业智能发展。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对新获认定的国家级智能制造示范工厂、智能制造优秀场景，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;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对新获认定的国家级增材制造典型应用场景，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万元的一次性奖励；对新获认定的省级智能制造系统解决方案供应商、智能制造标杆企业、智能工厂、数字化车间、智能制造场景，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70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万元的一次性奖励。对新获认定的市级智能工厂、数字化车间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万元的一次性奖励。鼓励企业深度应用标识解析体系，支持企业对按照购置标识解析体系设备（含软件）实际金额不超过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20%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的比例给予奖补，单户企业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最高支持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万元。标识注册量超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万条且月均解析量超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万次的生产制造企业，每年对前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万元的一次性奖励。对首次通过国家两化融合管理体系贯标认定、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DCMM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（数据管理能力成熟度评估模型标准）二级以上评估认证的企业，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万元的一次性奖励。对获得省级以上工业互联网试点示范、工业互联网创新领航应用案例、新一代信息技术与制造业融合发展试点示范的企业，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万元的一次性奖励。对认定为“优秀水城软件名品”的企业，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第七条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支持民营企业优质发展。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对新获认定的国家级、省级制造业单项冠军，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万元的一次性奖励。对新获认定的国家级质量标杆、省级质量标杆的企业，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万元的一次性奖励。对新认定的国家级、省级“专精特新”企业，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万元的一次性奖励。对新获认定的省级“独角兽”</w:t>
      </w:r>
      <w:r>
        <w:rPr>
          <w:rFonts w:hint="eastAsia" w:ascii="仿宋_GB2312" w:eastAsia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瞪羚企业，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万元的一次性奖励。对列入省首台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套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重大技术装备及关键核心零部件产品名单推广应用指导目录的产品，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万元的一次性奖励；对认定为省首台（套）技术装备和关键核心零部件项目产品的，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万元一次性奖励；对参加省装备制造业创新创意大赛获得一、二、三等奖的企业，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万元的一次性奖励。对新获认定省级企业管理标杆的企业，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给予最高</w:t>
      </w:r>
      <w:r>
        <w:rPr>
          <w:rFonts w:hint="eastAsia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第八条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支持民营企业绿色发展。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对新获认定的国家级、省级、市级绿色园区，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万元的一次性奖励；对新获认定的国家级、省级、市级绿色工厂的企业，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万元的一次性奖励；对新获认定的国家级、省级、市级绿色供应链管理和工业产品绿色设计示范的企业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万元的一次性奖励；对新获认定的国家级、市级绿色设计产品的企业，每种产品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给予最高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万元的一次性奖励。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对新获认定的国家级、省级、市级节水型示范企业或示范标杆企业，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一次性奖励；对新获认定的国家、省级、市级推广目录的工业节水技术装备和产品的企业，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一次性奖励。对新获国家级、省级、市级能效领跑者、水效领跑者同等级节能降耗相关荣誉称号的企业，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一次性奖励。对新获得国家发明或实用新型节水技术专利的企业，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给予最高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一次性奖励。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80"/>
        <w:jc w:val="left"/>
        <w:textAlignment w:val="auto"/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第九条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支持民营企业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品牌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发展。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对新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获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认定的国家级、省级、市级工业设计中心，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一次性奖励；对参加省、市级工业设计大赛和职业技能大赛的企业或个人，根据获得的金奖、银奖、铜奖、优秀奖及新星奖等奖项情况，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20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一次性奖励。对新列入国家级、省级服务型制造示范企业（项目、平台）的，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40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万元的一次性奖励。对成功创建国家级、省级制造业创新中心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的企业，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万元的一次性奖励；对新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获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认定的省级、市级“一企一技术”研发中心企业，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分别给予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最高</w:t>
      </w:r>
      <w:r>
        <w:rPr>
          <w:rFonts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一次性奖励；对新认定的国家级、省级技术创新示范企业，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一次性奖励。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对新列入省新材料领军企业培育库的企业，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给予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最高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一次性奖励；对新评选为省新材料领军企业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50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强的企业，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给予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最高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一次性奖励。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第十条 支持民营企业创新发展。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u w:val="none"/>
          <w:lang w:bidi="ar"/>
          <w14:textFill>
            <w14:solidFill>
              <w14:schemeClr w14:val="tx1"/>
            </w14:solidFill>
          </w14:textFill>
        </w:rPr>
        <w:t>县财政每年设立200万元科技创新引导资金，对新获批国家级、省级、市级重点实验室、技术创新中心等平台的企业，分别给予最高30万元、15万元、10万元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u w:val="none"/>
          <w:lang w:bidi="ar"/>
          <w14:textFill>
            <w14:solidFill>
              <w14:schemeClr w14:val="tx1"/>
            </w14:solidFill>
          </w14:textFill>
        </w:rPr>
        <w:t>一次性奖励；对新获批院士工作站的企业给予最高20万元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u w:val="none"/>
          <w:lang w:bidi="ar"/>
          <w14:textFill>
            <w14:solidFill>
              <w14:schemeClr w14:val="tx1"/>
            </w14:solidFill>
          </w14:textFill>
        </w:rPr>
        <w:t>一次性奖励；对新认定国家级高端人才和省级“泰山学者”、“泰山产业领军人才”的企业，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分别给予最高50万元、20万元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一次性奖励；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u w:val="none"/>
          <w:lang w:bidi="ar"/>
          <w14:textFill>
            <w14:solidFill>
              <w14:schemeClr w14:val="tx1"/>
            </w14:solidFill>
          </w14:textFill>
        </w:rPr>
        <w:t>对新认定的高新技术企业或通过复审的高新技术企业，给予最高10万元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u w:val="none"/>
          <w:lang w:bidi="ar"/>
          <w14:textFill>
            <w14:solidFill>
              <w14:schemeClr w14:val="tx1"/>
            </w14:solidFill>
          </w14:textFill>
        </w:rPr>
        <w:t>一次性奖励；对与高校院所共建科技创新平台或委托研发新产品、新技术等科技成果的企业，给予最高20万元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u w:val="none"/>
          <w:lang w:val="en-US" w:eastAsia="zh-CN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u w:val="none"/>
          <w14:textFill>
            <w14:solidFill>
              <w14:schemeClr w14:val="tx1"/>
            </w14:solidFill>
          </w14:textFill>
        </w:rPr>
        <w:t>一次性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u w:val="none"/>
          <w:lang w:bidi="ar"/>
          <w14:textFill>
            <w14:solidFill>
              <w14:schemeClr w14:val="tx1"/>
            </w14:solidFill>
          </w14:textFill>
        </w:rPr>
        <w:t>奖励。</w:t>
      </w:r>
    </w:p>
    <w:p>
      <w:pPr>
        <w:pStyle w:val="1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780"/>
        <w:jc w:val="left"/>
        <w:textAlignment w:val="auto"/>
        <w:rPr>
          <w:rFonts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支持民营经济集群发展。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对新获认定的国家级、省级、市级“特色产业集群”，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一次性奖励；对新认定的国家级、省级、市级小型微型企业创业创新示范基地、中小企业公共服务示范平台的，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一次性奖励；对被认定为省软件名园、软件特色名园的，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分别给予最高</w:t>
      </w:r>
      <w:r>
        <w:rPr>
          <w:rFonts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万元、</w:t>
      </w:r>
      <w:r>
        <w:rPr>
          <w:rFonts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一次性奖励；支持乡镇经济加快转型升级，对评选为市级民营经济高质量发展强镇（乡、街道）的，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县级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给予最高</w:t>
      </w:r>
      <w:r>
        <w:rPr>
          <w:rFonts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10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万元</w:t>
      </w:r>
      <w:r>
        <w:rPr>
          <w:rFonts w:hint="eastAsia" w:ascii="仿宋_GB2312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一次性奖励。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第三章 申报条件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申报条件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申请奖补政策应具备以下基本条件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企业在冠县行政区域内注册，具有独立的法人资格；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申报项目应按照相关要求，办理固定资产投资项目核准或备案手续，项目实施地在本县范围内；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企业未列入严重违法失信主体名单；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四</w:t>
      </w:r>
      <w: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)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符合财政涉企资金“绿色门槛”制度要求。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第四章 申请程序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奖补申请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县工业和信息化局联合县财政局发布年度综合奖补资金申报指南，明确项目申报具体条件和要求。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材料审核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（一）县工业和信息化局负责受理企业申请材料，核实企业申报材料的真实性，对已达到奖补要求的企业，县工业和信息化局牵头委托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有资质的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第三方社会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中介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机构进行材料审核、发票核验等工作，第三方社会中介机构独立核定申报项目，并出具审核报告。根据第三方社会中介机构出具的审核意见，确定拟给予奖补企业名单。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（二）对拟给予奖补的企业名单向社会公示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5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个工作日。公示后，县工业和信息化局按规定制定资金分配方案报县财政局。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资金拨付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县财政局根据县工业和信息化局提出的资金分配方案，及时按有关规定拨付奖补资金。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第五章 责任分工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第十六条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县工业和信息化局牵头负责组织奖补资金申报工作，提出资金安排意见建议，具体实施奖补资金的预算编制、执行、绩效管理和信息公开。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第十七条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县财政局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负责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指导县工业和信息化局开展奖补资金预算编制、绩效管理，为奖补政策实施提供资金保障。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第十八条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申报企业对其提供的申请材料真实性、合法性负责，并积极配合第三方社会中介机构做好现场核查工作，按要求如实提供相关资料。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第六章 监督检查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第十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获得奖补资金的企业应严格执行财务规章制度和会计核算办法，自觉接受审计、纪检监察、财政、工业和信息化等部门的监督检查。对弄虚作假骗取奖补资金等行为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,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停止其奖补资金申报资格，并按照《中华人民共和国预算法》《财政违法行为处罚处分条例》等法律法规予以处罚。</w:t>
      </w:r>
      <w:r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left"/>
        <w:textAlignment w:val="auto"/>
        <w:rPr>
          <w:rFonts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十条</w:t>
      </w:r>
      <w:r>
        <w:rPr>
          <w:rFonts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第三方社会中介机构在材料审核、现场核实过程中存在弄虚作假等行为的，将其失信行为列入负面清单，同时暂停其专项资金申报资格。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600" w:lineRule="exact"/>
        <w:jc w:val="center"/>
        <w:textAlignment w:val="auto"/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第七章  </w:t>
      </w: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附则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第二十一条</w:t>
      </w: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上述政策与我县已出台的其它政策不一致的，以本政策内容为准。按照就高不就低的原则，同一企业同类政策不重复享受。</w:t>
      </w: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jc w:val="both"/>
        <w:textAlignment w:val="auto"/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第二十二条</w:t>
      </w:r>
      <w:r>
        <w:rPr>
          <w:rFonts w:hint="eastAsia" w:ascii="黑体" w:hAnsi="宋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u w:val="none"/>
          <w:lang w:bidi="ar"/>
          <w14:textFill>
            <w14:solidFill>
              <w14:schemeClr w14:val="tx1"/>
            </w14:solidFill>
          </w14:textFill>
        </w:rPr>
        <w:t>上述政策由县工业和信息化局和县财政局负责解释，本政策于2023年12月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2"/>
          <w:szCs w:val="32"/>
          <w:u w:val="none"/>
          <w:lang w:bidi="ar"/>
          <w14:textFill>
            <w14:solidFill>
              <w14:schemeClr w14:val="tx1"/>
            </w14:solidFill>
          </w14:textFill>
        </w:rPr>
        <w:t>日发布，政策实施期自2023年1月1日起，于2025年12月31日止。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5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315" w:firstLineChars="150"/>
        <w:jc w:val="both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Calibri" w:hAnsi="Calibri" w:eastAsia="宋体" w:cs="Times New Roman"/>
          <w:color w:val="000000" w:themeColor="text1"/>
          <w:kern w:val="2"/>
          <w:sz w:val="21"/>
          <w:szCs w:val="24"/>
          <w:lang w:val="en-US" w:eastAsia="zh-CN" w:bidi="ar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71120</wp:posOffset>
                </wp:positionH>
                <wp:positionV relativeFrom="paragraph">
                  <wp:posOffset>6350</wp:posOffset>
                </wp:positionV>
                <wp:extent cx="5334000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.6pt;margin-top:0.5pt;height:0.05pt;width:420pt;z-index:251660288;mso-width-relative:page;mso-height-relative:page;" filled="f" stroked="t" coordsize="21600,21600" o:gfxdata="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AI9FLO0gAAAAUBAAAPAAAAAAAAAAEAIAAAADgAAABkcnMvZG93bnJldi54bWxQSwECFAAU&#10;AAAACACHTuJAFe7H7eEBAACpAwAADgAAAAAAAAABACAAAAA3AQAAZHJzL2Uyb0RvYy54bWxQSwUG&#10;AAAAAAYABgBZAQAAi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冠县人民政府办公室  </w:t>
      </w:r>
      <w:r>
        <w:rPr>
          <w:rFonts w:hint="default" w:ascii="仿宋_GB2312" w:hAnsi="仿宋_GB2312" w:eastAsia="仿宋_GB2312" w:cs="仿宋_GB2312"/>
          <w:color w:val="000000" w:themeColor="text1"/>
          <w:kern w:val="2"/>
          <w:sz w:val="32"/>
          <w:szCs w:val="32"/>
          <w:lang w:val="en" w:eastAsia="zh-CN" w:bidi="ar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 xml:space="preserve">         2023年12月</w:t>
      </w:r>
      <w:r>
        <w:rPr>
          <w:rFonts w:hint="eastAsia" w:ascii="仿宋_GB2312" w:hAnsi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13</w:t>
      </w:r>
      <w:r>
        <w:rPr>
          <w:rFonts w:hint="eastAsia" w:ascii="仿宋_GB2312" w:hAnsi="仿宋_GB2312" w:eastAsia="仿宋_GB2312" w:cs="仿宋_GB2312"/>
          <w:color w:val="000000" w:themeColor="text1"/>
          <w:kern w:val="2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日印发</w:t>
      </w:r>
    </w:p>
    <w:p>
      <w:pPr>
        <w:pStyle w:val="5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Lines="0" w:afterLines="0" w:line="600" w:lineRule="exact"/>
        <w:ind w:left="0" w:firstLine="5150" w:firstLineChars="1900"/>
        <w:jc w:val="right"/>
        <w:textAlignment w:val="auto"/>
        <w:rPr>
          <w:rFonts w:ascii="仿宋_GB2312" w:hAnsi="宋体" w:eastAsia="仿宋_GB2312" w:cs="仿宋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lang w:eastAsia="zh-CN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86360</wp:posOffset>
                </wp:positionH>
                <wp:positionV relativeFrom="paragraph">
                  <wp:posOffset>26670</wp:posOffset>
                </wp:positionV>
                <wp:extent cx="5334000" cy="635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true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6.8pt;margin-top:2.1pt;height:0.05pt;width:420pt;z-index:251661312;mso-width-relative:page;mso-height-relative:page;" filled="f" stroked="t" coordsize="21600,21600" o:gfxdata="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LDP2bTRAAAABAEAAA8AAAAAAAAAAQAgAAAAOAAAAGRycy9kb3ducmV2LnhtbFBLAQIUABQA&#10;AAAIAIdO4kCP2NEL4QEAAKkDAAAOAAAAAAAAAAEAIAAAADYBAABkcnMvZTJvRG9jLnhtbFBLBQYA&#10;AAAABgAGAFkBAACJ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b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（共印</w:t>
      </w:r>
      <w:r>
        <w:rPr>
          <w:rFonts w:hint="eastAsia" w:ascii="仿宋_GB2312" w:hAnsi="仿宋_GB2312" w:eastAsia="仿宋_GB2312" w:cs="仿宋_GB2312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仿宋_GB2312" w:hAnsi="仿宋_GB2312" w:eastAsia="仿宋_GB2312" w:cs="仿宋_GB2312"/>
          <w:b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份）</w:t>
      </w:r>
      <w:r>
        <w:rPr>
          <w:rFonts w:hint="eastAsia" w:ascii="仿宋_GB2312" w:hAnsi="仿宋_GB2312" w:eastAsia="仿宋_GB2312" w:cs="仿宋_GB2312"/>
          <w:b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sectPr>
      <w:footerReference r:id="rId3" w:type="default"/>
      <w:pgSz w:w="11906" w:h="16838"/>
      <w:pgMar w:top="1701" w:right="1417" w:bottom="1701" w:left="1417" w:header="851" w:footer="1417" w:gutter="0"/>
      <w:paperSrc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大标宋简体">
    <w:altName w:val="方正书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="宋体" w:cs="宋体"/>
                              <w:sz w:val="24"/>
                            </w:rPr>
                          </w:pPr>
                          <w:r>
                            <w:rPr>
                              <w:rFonts w:ascii="宋体" w:cs="宋体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宋体" w:cs="宋体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cs="宋体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宋体" w:cs="宋体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宋体" w:cs="宋体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enpu/GgIAACc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B6em78aAgAAJw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="宋体" w:cs="宋体"/>
                        <w:sz w:val="24"/>
                      </w:rPr>
                    </w:pPr>
                    <w:r>
                      <w:rPr>
                        <w:rFonts w:ascii="宋体" w:cs="宋体"/>
                        <w:sz w:val="24"/>
                      </w:rPr>
                      <w:fldChar w:fldCharType="begin"/>
                    </w:r>
                    <w:r>
                      <w:rPr>
                        <w:rFonts w:ascii="宋体" w:cs="宋体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ascii="宋体" w:cs="宋体"/>
                        <w:sz w:val="24"/>
                      </w:rPr>
                      <w:fldChar w:fldCharType="separate"/>
                    </w:r>
                    <w:r>
                      <w:rPr>
                        <w:rFonts w:ascii="宋体" w:cs="宋体"/>
                        <w:sz w:val="24"/>
                      </w:rPr>
                      <w:t>1</w:t>
                    </w:r>
                    <w:r>
                      <w:rPr>
                        <w:rFonts w:ascii="宋体" w:cs="宋体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iYzI2MWM0NWFiMWQ2ODljYjk4YzY5MTQxZGNlN2IifQ=="/>
  </w:docVars>
  <w:rsids>
    <w:rsidRoot w:val="20CE577D"/>
    <w:rsid w:val="000F39D8"/>
    <w:rsid w:val="00131AD6"/>
    <w:rsid w:val="001F4E78"/>
    <w:rsid w:val="002D2F8B"/>
    <w:rsid w:val="002E4480"/>
    <w:rsid w:val="003B4AEC"/>
    <w:rsid w:val="003F74F2"/>
    <w:rsid w:val="00460348"/>
    <w:rsid w:val="00545EC5"/>
    <w:rsid w:val="006321B7"/>
    <w:rsid w:val="007018F0"/>
    <w:rsid w:val="00856A41"/>
    <w:rsid w:val="00890BEF"/>
    <w:rsid w:val="0090538F"/>
    <w:rsid w:val="00944AED"/>
    <w:rsid w:val="00A36E64"/>
    <w:rsid w:val="00AF4511"/>
    <w:rsid w:val="00AF79EE"/>
    <w:rsid w:val="00B1244B"/>
    <w:rsid w:val="00B15070"/>
    <w:rsid w:val="00B16938"/>
    <w:rsid w:val="00BF2482"/>
    <w:rsid w:val="00C0637B"/>
    <w:rsid w:val="00C36A74"/>
    <w:rsid w:val="00C90791"/>
    <w:rsid w:val="00D660E2"/>
    <w:rsid w:val="00D802E7"/>
    <w:rsid w:val="00DF5076"/>
    <w:rsid w:val="00E82732"/>
    <w:rsid w:val="00EA7E81"/>
    <w:rsid w:val="00F915B8"/>
    <w:rsid w:val="00F92637"/>
    <w:rsid w:val="018C5D20"/>
    <w:rsid w:val="0B6D2517"/>
    <w:rsid w:val="18D05F9A"/>
    <w:rsid w:val="1AC13138"/>
    <w:rsid w:val="203F4B16"/>
    <w:rsid w:val="20CE577D"/>
    <w:rsid w:val="2DFF2292"/>
    <w:rsid w:val="37A442EA"/>
    <w:rsid w:val="46375641"/>
    <w:rsid w:val="54E878F6"/>
    <w:rsid w:val="5F5A2395"/>
    <w:rsid w:val="5F7C32EF"/>
    <w:rsid w:val="6D13566C"/>
    <w:rsid w:val="72E03B03"/>
    <w:rsid w:val="74187908"/>
    <w:rsid w:val="77AF8211"/>
    <w:rsid w:val="7B7F5B3F"/>
    <w:rsid w:val="97B1882D"/>
    <w:rsid w:val="9EDF8FBC"/>
    <w:rsid w:val="AEFF8B59"/>
    <w:rsid w:val="EFFF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 w:locked="1"/>
    <w:lsdException w:uiPriority="99" w:name="footnote text" w:locked="1"/>
    <w:lsdException w:uiPriority="99" w:name="annotation text" w:locked="1"/>
    <w:lsdException w:qFormat="1" w:uiPriority="99" w:name="header" w:locked="1"/>
    <w:lsdException w:qFormat="1" w:unhideWhenUsed="0" w:uiPriority="99" w:semiHidden="0" w:name="footer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nhideWhenUsed="0" w:uiPriority="99" w:name="Default Paragraph Font"/>
    <w:lsdException w:qFormat="1" w:unhideWhenUsed="0" w:uiPriority="99" w:semiHidden="0" w:name="Body Text"/>
    <w:lsdException w:qFormat="1" w:unhideWhenUsed="0" w:uiPriority="0" w:semiHidden="0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qFormat="1" w:unhideWhenUsed="0" w:uiPriority="0" w:semiHidden="0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qFormat="1" w:uiPriority="0" w:name="Plain Text" w:locked="1"/>
    <w:lsdException w:uiPriority="99" w:name="E-mail Signature" w:locked="1"/>
    <w:lsdException w:uiPriority="99" w:name="Normal (Web)" w:locked="1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iPriority="99" w:name="Balloon Text" w:locked="1"/>
    <w:lsdException w:unhideWhenUsed="0" w:uiPriority="0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3"/>
    <w:basedOn w:val="1"/>
    <w:next w:val="1"/>
    <w:qFormat/>
    <w:uiPriority w:val="0"/>
    <w:pPr>
      <w:jc w:val="left"/>
      <w:outlineLvl w:val="2"/>
    </w:pPr>
    <w:rPr>
      <w:rFonts w:hint="eastAsia" w:ascii="宋体" w:hAnsi="宋体" w:cs="宋体"/>
      <w:b/>
      <w:sz w:val="27"/>
      <w:szCs w:val="27"/>
    </w:rPr>
  </w:style>
  <w:style w:type="character" w:default="1" w:styleId="11">
    <w:name w:val="Default Paragraph Font"/>
    <w:semiHidden/>
    <w:qFormat/>
    <w:uiPriority w:val="99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locked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locked/>
    <w:uiPriority w:val="0"/>
    <w:pPr>
      <w:adjustRightInd w:val="0"/>
      <w:snapToGrid w:val="0"/>
      <w:spacing w:line="300" w:lineRule="auto"/>
      <w:ind w:firstLine="640" w:firstLineChars="200"/>
    </w:pPr>
    <w:rPr>
      <w:rFonts w:ascii="Times New Roman" w:hAnsi="Times New Roman" w:eastAsia="华文仿宋"/>
      <w:sz w:val="32"/>
      <w:szCs w:val="32"/>
    </w:rPr>
  </w:style>
  <w:style w:type="paragraph" w:styleId="4">
    <w:name w:val="Normal Indent"/>
    <w:basedOn w:val="1"/>
    <w:qFormat/>
    <w:locked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Body Text"/>
    <w:basedOn w:val="1"/>
    <w:next w:val="1"/>
    <w:link w:val="12"/>
    <w:qFormat/>
    <w:uiPriority w:val="99"/>
    <w:rPr>
      <w:rFonts w:ascii="仿宋" w:hAnsi="仿宋"/>
    </w:rPr>
  </w:style>
  <w:style w:type="paragraph" w:styleId="7">
    <w:name w:val="Plain Text"/>
    <w:basedOn w:val="1"/>
    <w:semiHidden/>
    <w:unhideWhenUsed/>
    <w:qFormat/>
    <w:locked/>
    <w:uiPriority w:val="0"/>
    <w:rPr>
      <w:rFonts w:ascii="宋体" w:hAnsi="Courier New" w:eastAsia="宋体" w:cs="Courier New"/>
      <w:szCs w:val="21"/>
    </w:rPr>
  </w:style>
  <w:style w:type="paragraph" w:styleId="8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semiHidden/>
    <w:unhideWhenUsed/>
    <w:qFormat/>
    <w:lock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2">
    <w:name w:val="Body Text Char"/>
    <w:basedOn w:val="11"/>
    <w:link w:val="6"/>
    <w:semiHidden/>
    <w:qFormat/>
    <w:locked/>
    <w:uiPriority w:val="99"/>
    <w:rPr>
      <w:rFonts w:cs="Times New Roman"/>
      <w:sz w:val="24"/>
      <w:szCs w:val="24"/>
    </w:rPr>
  </w:style>
  <w:style w:type="character" w:customStyle="1" w:styleId="13">
    <w:name w:val="Footer Char"/>
    <w:basedOn w:val="11"/>
    <w:link w:val="8"/>
    <w:semiHidden/>
    <w:qFormat/>
    <w:locked/>
    <w:uiPriority w:val="99"/>
    <w:rPr>
      <w:rFonts w:cs="Times New Roman"/>
      <w:sz w:val="18"/>
      <w:szCs w:val="18"/>
    </w:rPr>
  </w:style>
  <w:style w:type="paragraph" w:customStyle="1" w:styleId="14">
    <w:name w:val="Default"/>
    <w:basedOn w:val="15"/>
    <w:qFormat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</w:rPr>
  </w:style>
  <w:style w:type="paragraph" w:customStyle="1" w:styleId="15">
    <w:name w:val="正文 New"/>
    <w:next w:val="14"/>
    <w:qFormat/>
    <w:uiPriority w:val="99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customStyle="1" w:styleId="16">
    <w:name w:val="正文文本1"/>
    <w:basedOn w:val="1"/>
    <w:qFormat/>
    <w:uiPriority w:val="99"/>
    <w:pPr>
      <w:spacing w:line="406" w:lineRule="auto"/>
      <w:ind w:firstLine="400"/>
    </w:pPr>
    <w:rPr>
      <w:rFonts w:ascii="楷体" w:hAnsi="楷体" w:eastAsia="楷体" w:cs="楷体"/>
      <w:sz w:val="30"/>
      <w:szCs w:val="30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3896</Words>
  <Characters>4017</Characters>
  <Lines>0</Lines>
  <Paragraphs>0</Paragraphs>
  <TotalTime>3</TotalTime>
  <ScaleCrop>false</ScaleCrop>
  <LinksUpToDate>false</LinksUpToDate>
  <CharactersWithSpaces>4110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2023-12-02T14:48:00Z</dcterms:created>
  <dc:creator>东城</dc:creator>
  <cp:lastModifiedBy>user</cp:lastModifiedBy>
  <cp:lastPrinted>2023-12-14T00:09:00Z</cp:lastPrinted>
  <dcterms:modified xsi:type="dcterms:W3CDTF">2025-05-26T10:55:02Z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E99F54C45EAF4271974EBF9B3208F85E_13</vt:lpwstr>
  </property>
</Properties>
</file>