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57035">
      <w:pPr>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GXDR-2025-0010001</w:t>
      </w:r>
    </w:p>
    <w:p w14:paraId="57207696">
      <w:pPr>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kern w:val="0"/>
          <w:sz w:val="52"/>
          <w:szCs w:val="52"/>
          <w:lang w:val="en-US" w:eastAsia="zh-CN"/>
        </w:rPr>
      </w:pPr>
    </w:p>
    <w:p w14:paraId="6F0AE03A">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default" w:ascii="方正小标宋简体" w:hAnsi="方正小标宋简体" w:eastAsia="方正小标宋简体" w:cs="方正小标宋简体"/>
          <w:color w:val="000000"/>
          <w:kern w:val="0"/>
          <w:sz w:val="52"/>
          <w:szCs w:val="52"/>
          <w:lang w:val="en-US" w:eastAsia="zh-CN"/>
        </w:rPr>
      </w:pPr>
      <w:r>
        <w:rPr>
          <w:rFonts w:hint="eastAsia" w:ascii="方正小标宋简体" w:hAnsi="方正小标宋简体" w:eastAsia="方正小标宋简体" w:cs="方正小标宋简体"/>
          <w:color w:val="000000"/>
          <w:kern w:val="0"/>
          <w:sz w:val="52"/>
          <w:szCs w:val="52"/>
          <w:lang w:val="en-US" w:eastAsia="zh-CN"/>
        </w:rPr>
        <w:t>冠县人民政府</w:t>
      </w:r>
    </w:p>
    <w:p w14:paraId="5F2F15DB">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方正小标宋简体" w:hAnsi="方正小标宋简体" w:eastAsia="方正小标宋简体" w:cs="方正小标宋简体"/>
          <w:color w:val="000000"/>
          <w:kern w:val="0"/>
          <w:sz w:val="52"/>
          <w:szCs w:val="52"/>
          <w:lang w:val="en-US" w:eastAsia="zh-CN"/>
        </w:rPr>
      </w:pPr>
      <w:r>
        <w:rPr>
          <w:rFonts w:hint="eastAsia" w:ascii="方正小标宋简体" w:hAnsi="方正小标宋简体" w:eastAsia="方正小标宋简体" w:cs="方正小标宋简体"/>
          <w:color w:val="000000"/>
          <w:kern w:val="0"/>
          <w:sz w:val="52"/>
          <w:szCs w:val="52"/>
          <w:lang w:val="en-US" w:eastAsia="zh-CN"/>
        </w:rPr>
        <w:t>关于划定漳卫南运河冠县段河道管理范围和保护范围的</w:t>
      </w:r>
    </w:p>
    <w:p w14:paraId="38200A32">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方正小标宋简体" w:hAnsi="方正小标宋简体" w:eastAsia="方正小标宋简体" w:cs="方正小标宋简体"/>
          <w:color w:val="000000"/>
          <w:kern w:val="0"/>
          <w:sz w:val="52"/>
          <w:szCs w:val="52"/>
          <w:lang w:val="en-US" w:eastAsia="zh-CN"/>
        </w:rPr>
      </w:pPr>
      <w:r>
        <w:rPr>
          <w:rFonts w:hint="eastAsia" w:ascii="方正小标宋简体" w:hAnsi="方正小标宋简体" w:eastAsia="方正小标宋简体" w:cs="方正小标宋简体"/>
          <w:color w:val="000000"/>
          <w:kern w:val="0"/>
          <w:sz w:val="52"/>
          <w:szCs w:val="52"/>
          <w:lang w:val="en-US" w:eastAsia="zh-CN"/>
        </w:rPr>
        <w:t>公   告</w:t>
      </w:r>
    </w:p>
    <w:p w14:paraId="401B0515">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p>
    <w:p w14:paraId="6B16E5D6">
      <w:pPr>
        <w:pageBreakBefore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color w:val="000000"/>
          <w:kern w:val="21"/>
          <w:sz w:val="36"/>
          <w:szCs w:val="36"/>
          <w:lang w:val="en-US" w:eastAsia="zh-CN"/>
        </w:rPr>
      </w:pPr>
      <w:r>
        <w:rPr>
          <w:rFonts w:hint="eastAsia" w:ascii="仿宋_GB2312" w:hAnsi="仿宋_GB2312" w:eastAsia="仿宋_GB2312" w:cs="仿宋_GB2312"/>
          <w:color w:val="000000"/>
          <w:kern w:val="21"/>
          <w:sz w:val="36"/>
          <w:szCs w:val="36"/>
          <w:lang w:val="en-US" w:eastAsia="zh-CN"/>
        </w:rPr>
        <w:t>为加强河湖管理，提高公民河湖保护意识，维护公共利益安全，保障河湖正常运行和安全行洪，根据《中华人民共和国水法》、《中华人民共和国防洪法》及《中华人民共和国河道管理条例》等法律、法规的规定，我县结合实际，划定漳卫南运河冠县段河道管理范围和保护范围，现将有关事项公告如下：</w:t>
      </w:r>
    </w:p>
    <w:p w14:paraId="5B2C308E">
      <w:pPr>
        <w:pageBreakBefore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color w:val="000000"/>
          <w:kern w:val="21"/>
          <w:sz w:val="36"/>
          <w:szCs w:val="36"/>
          <w:lang w:val="en-US" w:eastAsia="zh-CN"/>
        </w:rPr>
      </w:pPr>
      <w:r>
        <w:rPr>
          <w:rFonts w:hint="eastAsia" w:ascii="仿宋_GB2312" w:hAnsi="仿宋_GB2312" w:eastAsia="仿宋_GB2312" w:cs="仿宋_GB2312"/>
          <w:color w:val="000000"/>
          <w:kern w:val="21"/>
          <w:sz w:val="36"/>
          <w:szCs w:val="36"/>
          <w:lang w:val="en-US" w:eastAsia="zh-CN"/>
        </w:rPr>
        <w:t>一、漳卫南运河冠县段河道管理范围为漳卫南运河冠县段两岸堤防之间的水域、滩地（包括可耕地）、行洪区、两岸堤防及护堤地，即堤防背河堤脚以外5米范围线至河道中心线。</w:t>
      </w:r>
    </w:p>
    <w:p w14:paraId="7BE774E5">
      <w:pPr>
        <w:pageBreakBefore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color w:val="000000"/>
          <w:kern w:val="21"/>
          <w:sz w:val="36"/>
          <w:szCs w:val="36"/>
          <w:lang w:val="en-US" w:eastAsia="zh-CN"/>
        </w:rPr>
      </w:pPr>
      <w:r>
        <w:rPr>
          <w:rFonts w:hint="eastAsia" w:ascii="仿宋_GB2312" w:hAnsi="仿宋_GB2312" w:eastAsia="仿宋_GB2312" w:cs="仿宋_GB2312"/>
          <w:color w:val="000000"/>
          <w:kern w:val="21"/>
          <w:sz w:val="36"/>
          <w:szCs w:val="36"/>
          <w:lang w:val="en-US" w:eastAsia="zh-CN"/>
        </w:rPr>
        <w:t>二、漳卫南运河冠县段堤防保护区范围为临河护堤地以外30米、背河护堤地以外50米之内。</w:t>
      </w:r>
    </w:p>
    <w:p w14:paraId="0142D0B1">
      <w:pPr>
        <w:pageBreakBefore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color w:val="000000"/>
          <w:kern w:val="21"/>
          <w:sz w:val="36"/>
          <w:szCs w:val="36"/>
          <w:lang w:val="en-US" w:eastAsia="zh-CN"/>
        </w:rPr>
      </w:pPr>
      <w:r>
        <w:rPr>
          <w:rFonts w:hint="eastAsia" w:ascii="仿宋_GB2312" w:hAnsi="仿宋_GB2312" w:eastAsia="仿宋_GB2312" w:cs="仿宋_GB2312"/>
          <w:color w:val="000000"/>
          <w:kern w:val="21"/>
          <w:sz w:val="36"/>
          <w:szCs w:val="36"/>
          <w:lang w:val="en-US" w:eastAsia="zh-CN"/>
        </w:rPr>
        <w:t>三、划定的管理范围和保护范围内土地权属不变。</w:t>
      </w:r>
    </w:p>
    <w:p w14:paraId="2534DFF7">
      <w:pPr>
        <w:pageBreakBefore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color w:val="000000"/>
          <w:kern w:val="21"/>
          <w:sz w:val="36"/>
          <w:szCs w:val="36"/>
          <w:lang w:val="en-US" w:eastAsia="zh-CN"/>
        </w:rPr>
      </w:pPr>
      <w:r>
        <w:rPr>
          <w:rFonts w:hint="eastAsia" w:ascii="仿宋_GB2312" w:hAnsi="仿宋_GB2312" w:eastAsia="仿宋_GB2312" w:cs="仿宋_GB2312"/>
          <w:color w:val="000000"/>
          <w:kern w:val="21"/>
          <w:sz w:val="36"/>
          <w:szCs w:val="36"/>
          <w:lang w:val="en-US" w:eastAsia="zh-CN"/>
        </w:rPr>
        <w:t>四、凡在河道管理范围内和保护范围内一切与建设相关事宜，均按照有关法律法规执行。</w:t>
      </w:r>
    </w:p>
    <w:p w14:paraId="119AAD7D">
      <w:pPr>
        <w:pageBreakBefore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color w:val="000000"/>
          <w:kern w:val="21"/>
          <w:sz w:val="36"/>
          <w:szCs w:val="36"/>
          <w:lang w:val="en-US" w:eastAsia="zh-CN"/>
        </w:rPr>
      </w:pPr>
      <w:r>
        <w:rPr>
          <w:rFonts w:hint="eastAsia" w:ascii="仿宋_GB2312" w:hAnsi="仿宋_GB2312" w:eastAsia="仿宋_GB2312" w:cs="仿宋_GB2312"/>
          <w:color w:val="000000"/>
          <w:kern w:val="21"/>
          <w:sz w:val="36"/>
          <w:szCs w:val="36"/>
          <w:lang w:val="en-US" w:eastAsia="zh-CN"/>
        </w:rPr>
        <w:t>五、本公告自公布之日起施行。</w:t>
      </w:r>
    </w:p>
    <w:p w14:paraId="362AA760">
      <w:pPr>
        <w:pageBreakBefore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color w:val="000000"/>
          <w:kern w:val="21"/>
          <w:sz w:val="36"/>
          <w:szCs w:val="36"/>
          <w:lang w:val="en-US" w:eastAsia="zh-CN"/>
        </w:rPr>
      </w:pPr>
      <w:r>
        <w:rPr>
          <w:rFonts w:hint="eastAsia" w:ascii="仿宋_GB2312" w:hAnsi="仿宋_GB2312" w:eastAsia="仿宋_GB2312" w:cs="仿宋_GB2312"/>
          <w:color w:val="000000"/>
          <w:kern w:val="21"/>
          <w:sz w:val="36"/>
          <w:szCs w:val="36"/>
          <w:lang w:val="en-US" w:eastAsia="zh-CN"/>
        </w:rPr>
        <w:t>特此公告！</w:t>
      </w:r>
    </w:p>
    <w:p w14:paraId="38AD3BC6">
      <w:pPr>
        <w:pStyle w:val="11"/>
        <w:keepNext w:val="0"/>
        <w:keepLines w:val="0"/>
        <w:pageBreakBefore w:val="0"/>
        <w:widowControl w:val="0"/>
        <w:kinsoku/>
        <w:wordWrap/>
        <w:overflowPunct/>
        <w:topLinePunct w:val="0"/>
        <w:autoSpaceDE/>
        <w:autoSpaceDN/>
        <w:bidi w:val="0"/>
        <w:adjustRightInd w:val="0"/>
        <w:snapToGrid w:val="0"/>
        <w:spacing w:line="341" w:lineRule="auto"/>
        <w:ind w:left="0" w:leftChars="0" w:firstLine="0" w:firstLineChars="0"/>
        <w:textAlignment w:val="auto"/>
        <w:rPr>
          <w:rFonts w:hint="eastAsia" w:ascii="仿宋_GB2312" w:hAnsi="仿宋_GB2312" w:eastAsia="仿宋_GB2312" w:cs="仿宋_GB2312"/>
          <w:snapToGrid w:val="0"/>
          <w:kern w:val="0"/>
          <w:sz w:val="36"/>
          <w:szCs w:val="36"/>
          <w:lang w:eastAsia="zh-CN"/>
        </w:rPr>
      </w:pPr>
    </w:p>
    <w:p w14:paraId="416A88F5">
      <w:pPr>
        <w:pStyle w:val="11"/>
        <w:keepNext w:val="0"/>
        <w:keepLines w:val="0"/>
        <w:pageBreakBefore w:val="0"/>
        <w:widowControl w:val="0"/>
        <w:kinsoku/>
        <w:wordWrap/>
        <w:overflowPunct/>
        <w:topLinePunct w:val="0"/>
        <w:autoSpaceDE/>
        <w:autoSpaceDN/>
        <w:bidi w:val="0"/>
        <w:adjustRightInd w:val="0"/>
        <w:snapToGrid w:val="0"/>
        <w:spacing w:line="341" w:lineRule="auto"/>
        <w:textAlignment w:val="auto"/>
        <w:rPr>
          <w:rFonts w:hint="eastAsia" w:ascii="宋体" w:hAnsi="宋体" w:eastAsia="宋体" w:cs="宋体"/>
          <w:snapToGrid w:val="0"/>
          <w:kern w:val="0"/>
          <w:sz w:val="36"/>
          <w:szCs w:val="36"/>
          <w:lang w:val="en" w:eastAsia="zh-CN"/>
        </w:rPr>
      </w:pPr>
      <w:r>
        <w:rPr>
          <w:rFonts w:hint="eastAsia" w:ascii="仿宋_GB2312" w:hAnsi="仿宋_GB2312" w:eastAsia="仿宋_GB2312" w:cs="仿宋_GB2312"/>
          <w:snapToGrid w:val="0"/>
          <w:kern w:val="0"/>
          <w:sz w:val="36"/>
          <w:szCs w:val="36"/>
          <w:lang w:eastAsia="zh-CN"/>
        </w:rPr>
        <w:t>附件：</w:t>
      </w:r>
      <w:r>
        <w:rPr>
          <w:rFonts w:hint="eastAsia" w:ascii="仿宋_GB2312" w:hAnsi="仿宋_GB2312" w:eastAsia="仿宋_GB2312" w:cs="仿宋_GB2312"/>
          <w:snapToGrid w:val="0"/>
          <w:kern w:val="0"/>
          <w:sz w:val="36"/>
          <w:szCs w:val="36"/>
          <w:lang w:val="en" w:eastAsia="zh-CN"/>
        </w:rPr>
        <w:t>漳卫南运河冠县段堤防管理范围定位数据</w:t>
      </w:r>
      <w:bookmarkStart w:id="0" w:name="_GoBack"/>
      <w:bookmarkEnd w:id="0"/>
    </w:p>
    <w:p w14:paraId="7FE409E4">
      <w:pPr>
        <w:pStyle w:val="2"/>
        <w:rPr>
          <w:rFonts w:hint="eastAsia"/>
          <w:sz w:val="36"/>
          <w:szCs w:val="36"/>
          <w:lang w:val="en-US" w:eastAsia="zh-CN"/>
        </w:rPr>
      </w:pPr>
    </w:p>
    <w:p w14:paraId="390420DD">
      <w:pPr>
        <w:pStyle w:val="2"/>
        <w:rPr>
          <w:rFonts w:hint="eastAsia"/>
          <w:sz w:val="36"/>
          <w:szCs w:val="36"/>
          <w:lang w:val="en-US" w:eastAsia="zh-CN"/>
        </w:rPr>
      </w:pPr>
    </w:p>
    <w:p w14:paraId="0CA2E4D7">
      <w:pPr>
        <w:pStyle w:val="2"/>
        <w:rPr>
          <w:rFonts w:hint="eastAsia"/>
          <w:sz w:val="36"/>
          <w:szCs w:val="36"/>
          <w:lang w:val="en-US" w:eastAsia="zh-CN"/>
        </w:rPr>
      </w:pPr>
    </w:p>
    <w:p w14:paraId="27F5B712">
      <w:pPr>
        <w:pStyle w:val="2"/>
        <w:ind w:firstLine="9720" w:firstLineChars="2700"/>
        <w:jc w:val="left"/>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冠县人民政府</w:t>
      </w:r>
    </w:p>
    <w:p w14:paraId="7B8CB83C">
      <w:pPr>
        <w:pStyle w:val="2"/>
        <w:ind w:firstLine="9360" w:firstLineChars="260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2025年7月29日</w:t>
      </w:r>
    </w:p>
    <w:p w14:paraId="1098E093">
      <w:pPr>
        <w:pStyle w:val="2"/>
        <w:rPr>
          <w:rFonts w:hint="eastAsia"/>
          <w:sz w:val="36"/>
          <w:szCs w:val="36"/>
          <w:lang w:val="en-US" w:eastAsia="zh-CN"/>
        </w:rPr>
      </w:pPr>
    </w:p>
    <w:p w14:paraId="5C7781A4">
      <w:pPr>
        <w:pStyle w:val="2"/>
        <w:rPr>
          <w:rFonts w:hint="eastAsia"/>
          <w:sz w:val="36"/>
          <w:szCs w:val="36"/>
          <w:lang w:val="en-US" w:eastAsia="zh-CN"/>
        </w:rPr>
      </w:pPr>
    </w:p>
    <w:p w14:paraId="50E08394">
      <w:pPr>
        <w:pStyle w:val="2"/>
        <w:rPr>
          <w:rFonts w:hint="eastAsia"/>
          <w:sz w:val="36"/>
          <w:szCs w:val="36"/>
          <w:lang w:val="en-US" w:eastAsia="zh-CN"/>
        </w:rPr>
      </w:pPr>
    </w:p>
    <w:p w14:paraId="7EADF9D6">
      <w:pPr>
        <w:pStyle w:val="2"/>
        <w:rPr>
          <w:rFonts w:hint="eastAsia"/>
          <w:sz w:val="36"/>
          <w:szCs w:val="36"/>
          <w:lang w:val="en-US" w:eastAsia="zh-CN"/>
        </w:rPr>
      </w:pPr>
    </w:p>
    <w:p w14:paraId="1B0354C0">
      <w:pPr>
        <w:pStyle w:val="2"/>
        <w:rPr>
          <w:rFonts w:hint="eastAsia"/>
          <w:sz w:val="36"/>
          <w:szCs w:val="36"/>
          <w:lang w:val="en-US" w:eastAsia="zh-CN"/>
        </w:rPr>
      </w:pPr>
    </w:p>
    <w:p w14:paraId="6F721EFC">
      <w:pPr>
        <w:keepNext w:val="0"/>
        <w:keepLines w:val="0"/>
        <w:pageBreakBefore w:val="0"/>
        <w:widowControl w:val="0"/>
        <w:kinsoku/>
        <w:wordWrap/>
        <w:overflowPunct/>
        <w:topLinePunct w:val="0"/>
        <w:autoSpaceDE/>
        <w:autoSpaceDN/>
        <w:bidi w:val="0"/>
        <w:adjustRightInd/>
        <w:snapToGrid/>
        <w:spacing w:line="580" w:lineRule="exact"/>
        <w:jc w:val="left"/>
        <w:textAlignment w:val="auto"/>
      </w:pPr>
      <w:r>
        <w:rPr>
          <w:rFonts w:hint="eastAsia" w:ascii="黑体" w:hAnsi="黑体" w:eastAsia="黑体" w:cs="黑体"/>
          <w:snapToGrid w:val="0"/>
          <w:kern w:val="0"/>
          <w:sz w:val="32"/>
          <w:szCs w:val="32"/>
          <w:lang w:eastAsia="zh-CN"/>
        </w:rPr>
        <w:t>附件</w:t>
      </w:r>
      <w:r>
        <w:rPr>
          <w:rFonts w:hint="eastAsia" w:ascii="黑体" w:hAnsi="黑体" w:eastAsia="黑体" w:cs="黑体"/>
          <w:snapToGrid w:val="0"/>
          <w:kern w:val="0"/>
          <w:sz w:val="32"/>
          <w:szCs w:val="32"/>
          <w:lang w:val="en" w:eastAsia="zh-CN"/>
        </w:rPr>
        <w:t xml:space="preserve"> </w:t>
      </w:r>
    </w:p>
    <w:p w14:paraId="6E927604">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方正小标宋简体" w:hAnsi="方正小标宋简体" w:eastAsia="方正小标宋简体" w:cs="方正小标宋简体"/>
          <w:color w:val="000000"/>
          <w:kern w:val="0"/>
          <w:sz w:val="52"/>
          <w:szCs w:val="52"/>
          <w:lang w:val="en-US" w:eastAsia="zh-CN"/>
        </w:rPr>
      </w:pPr>
      <w:r>
        <w:rPr>
          <w:rFonts w:hint="eastAsia" w:ascii="方正小标宋简体" w:hAnsi="方正小标宋简体" w:eastAsia="方正小标宋简体" w:cs="方正小标宋简体"/>
          <w:color w:val="000000"/>
          <w:kern w:val="0"/>
          <w:sz w:val="52"/>
          <w:szCs w:val="52"/>
          <w:lang w:val="en-US" w:eastAsia="zh-CN"/>
        </w:rPr>
        <w:t>漳卫南运河冠县段堤防管理范围定位数据</w:t>
      </w:r>
    </w:p>
    <w:tbl>
      <w:tblPr>
        <w:tblStyle w:val="6"/>
        <w:tblW w:w="134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5"/>
        <w:gridCol w:w="2253"/>
        <w:gridCol w:w="2497"/>
        <w:gridCol w:w="2570"/>
        <w:gridCol w:w="2722"/>
        <w:gridCol w:w="2639"/>
      </w:tblGrid>
      <w:tr w14:paraId="53125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auto" w:sz="4" w:space="0"/>
              <w:left w:val="single" w:color="auto" w:sz="4" w:space="0"/>
              <w:bottom w:val="single" w:color="auto" w:sz="4" w:space="0"/>
              <w:right w:val="single" w:color="000000" w:sz="4" w:space="0"/>
            </w:tcBorders>
            <w:noWrap w:val="0"/>
            <w:textDirection w:val="tbRlV"/>
            <w:vAlign w:val="center"/>
          </w:tcPr>
          <w:p w14:paraId="21BA06BC">
            <w:pPr>
              <w:keepNext w:val="0"/>
              <w:keepLines w:val="0"/>
              <w:pageBreakBefore w:val="0"/>
              <w:kinsoku/>
              <w:wordWrap/>
              <w:overflowPunct/>
              <w:topLinePunct w:val="0"/>
              <w:autoSpaceDE/>
              <w:autoSpaceDN/>
              <w:bidi w:val="0"/>
              <w:adjustRightInd/>
              <w:snapToGrid/>
              <w:spacing w:line="300" w:lineRule="exact"/>
              <w:jc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号序</w:t>
            </w:r>
          </w:p>
        </w:tc>
        <w:tc>
          <w:tcPr>
            <w:tcW w:w="2253" w:type="dxa"/>
            <w:tcBorders>
              <w:top w:val="single" w:color="auto" w:sz="4" w:space="0"/>
              <w:left w:val="single" w:color="000000" w:sz="4" w:space="0"/>
              <w:bottom w:val="single" w:color="auto" w:sz="4" w:space="0"/>
              <w:right w:val="single" w:color="000000" w:sz="4" w:space="0"/>
            </w:tcBorders>
            <w:noWrap w:val="0"/>
            <w:vAlign w:val="center"/>
          </w:tcPr>
          <w:p w14:paraId="52F114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临河纬度</w:t>
            </w:r>
          </w:p>
        </w:tc>
        <w:tc>
          <w:tcPr>
            <w:tcW w:w="2497" w:type="dxa"/>
            <w:tcBorders>
              <w:top w:val="single" w:color="auto" w:sz="4" w:space="0"/>
              <w:left w:val="single" w:color="000000" w:sz="4" w:space="0"/>
              <w:bottom w:val="single" w:color="auto" w:sz="4" w:space="0"/>
              <w:right w:val="single" w:color="000000" w:sz="4" w:space="0"/>
            </w:tcBorders>
            <w:noWrap w:val="0"/>
            <w:vAlign w:val="center"/>
          </w:tcPr>
          <w:p w14:paraId="72328E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临河经度</w:t>
            </w:r>
          </w:p>
        </w:tc>
        <w:tc>
          <w:tcPr>
            <w:tcW w:w="2570" w:type="dxa"/>
            <w:tcBorders>
              <w:top w:val="single" w:color="auto" w:sz="4" w:space="0"/>
              <w:left w:val="single" w:color="000000" w:sz="4" w:space="0"/>
              <w:bottom w:val="single" w:color="auto" w:sz="4" w:space="0"/>
              <w:right w:val="single" w:color="000000" w:sz="4" w:space="0"/>
            </w:tcBorders>
            <w:noWrap w:val="0"/>
            <w:vAlign w:val="center"/>
          </w:tcPr>
          <w:p w14:paraId="4D97EA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背河纬度</w:t>
            </w:r>
          </w:p>
        </w:tc>
        <w:tc>
          <w:tcPr>
            <w:tcW w:w="2722" w:type="dxa"/>
            <w:tcBorders>
              <w:top w:val="single" w:color="auto" w:sz="4" w:space="0"/>
              <w:left w:val="single" w:color="000000" w:sz="4" w:space="0"/>
              <w:bottom w:val="single" w:color="auto" w:sz="4" w:space="0"/>
              <w:right w:val="single" w:color="000000" w:sz="4" w:space="0"/>
            </w:tcBorders>
            <w:noWrap w:val="0"/>
            <w:vAlign w:val="center"/>
          </w:tcPr>
          <w:p w14:paraId="07D1C7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背河经度</w:t>
            </w:r>
          </w:p>
        </w:tc>
        <w:tc>
          <w:tcPr>
            <w:tcW w:w="2639" w:type="dxa"/>
            <w:tcBorders>
              <w:top w:val="single" w:color="auto" w:sz="4" w:space="0"/>
              <w:left w:val="single" w:color="000000" w:sz="4" w:space="0"/>
              <w:bottom w:val="single" w:color="auto" w:sz="4" w:space="0"/>
              <w:right w:val="single" w:color="auto" w:sz="4" w:space="0"/>
            </w:tcBorders>
            <w:noWrap w:val="0"/>
            <w:vAlign w:val="center"/>
          </w:tcPr>
          <w:p w14:paraId="62FEB9A9">
            <w:pPr>
              <w:keepNext w:val="0"/>
              <w:keepLines w:val="0"/>
              <w:pageBreakBefore w:val="0"/>
              <w:kinsoku/>
              <w:wordWrap/>
              <w:overflowPunct/>
              <w:topLinePunct w:val="0"/>
              <w:autoSpaceDE/>
              <w:autoSpaceDN/>
              <w:bidi w:val="0"/>
              <w:adjustRightInd/>
              <w:snapToGrid/>
              <w:spacing w:line="300" w:lineRule="exact"/>
              <w:jc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位置描述</w:t>
            </w:r>
          </w:p>
        </w:tc>
      </w:tr>
      <w:tr w14:paraId="32D4B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auto" w:sz="4" w:space="0"/>
              <w:left w:val="single" w:color="000000" w:sz="4" w:space="0"/>
              <w:bottom w:val="single" w:color="000000" w:sz="4" w:space="0"/>
              <w:right w:val="single" w:color="000000" w:sz="4" w:space="0"/>
            </w:tcBorders>
            <w:noWrap w:val="0"/>
            <w:vAlign w:val="center"/>
          </w:tcPr>
          <w:p w14:paraId="64F198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w:t>
            </w:r>
          </w:p>
        </w:tc>
        <w:tc>
          <w:tcPr>
            <w:tcW w:w="2253" w:type="dxa"/>
            <w:tcBorders>
              <w:top w:val="single" w:color="auto" w:sz="4" w:space="0"/>
              <w:left w:val="single" w:color="000000" w:sz="4" w:space="0"/>
              <w:bottom w:val="single" w:color="000000" w:sz="4" w:space="0"/>
              <w:right w:val="single" w:color="000000" w:sz="4" w:space="0"/>
            </w:tcBorders>
            <w:noWrap w:val="0"/>
            <w:vAlign w:val="center"/>
          </w:tcPr>
          <w:p w14:paraId="64A0F1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36°24'53”</w:t>
            </w:r>
          </w:p>
        </w:tc>
        <w:tc>
          <w:tcPr>
            <w:tcW w:w="2497" w:type="dxa"/>
            <w:tcBorders>
              <w:top w:val="single" w:color="auto" w:sz="4" w:space="0"/>
              <w:left w:val="single" w:color="000000" w:sz="4" w:space="0"/>
              <w:bottom w:val="single" w:color="000000" w:sz="4" w:space="0"/>
              <w:right w:val="single" w:color="000000" w:sz="4" w:space="0"/>
            </w:tcBorders>
            <w:noWrap w:val="0"/>
            <w:vAlign w:val="center"/>
          </w:tcPr>
          <w:p w14:paraId="212A31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115°17'34”</w:t>
            </w:r>
          </w:p>
        </w:tc>
        <w:tc>
          <w:tcPr>
            <w:tcW w:w="2570" w:type="dxa"/>
            <w:tcBorders>
              <w:top w:val="single" w:color="auto" w:sz="4" w:space="0"/>
              <w:left w:val="single" w:color="000000" w:sz="4" w:space="0"/>
              <w:bottom w:val="single" w:color="000000" w:sz="4" w:space="0"/>
              <w:right w:val="single" w:color="000000" w:sz="4" w:space="0"/>
            </w:tcBorders>
            <w:noWrap w:val="0"/>
            <w:vAlign w:val="center"/>
          </w:tcPr>
          <w:p w14:paraId="01FA3E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36°24'52.55”</w:t>
            </w:r>
          </w:p>
        </w:tc>
        <w:tc>
          <w:tcPr>
            <w:tcW w:w="2722" w:type="dxa"/>
            <w:tcBorders>
              <w:top w:val="single" w:color="auto" w:sz="4" w:space="0"/>
              <w:left w:val="single" w:color="000000" w:sz="4" w:space="0"/>
              <w:bottom w:val="single" w:color="000000" w:sz="4" w:space="0"/>
              <w:right w:val="single" w:color="000000" w:sz="4" w:space="0"/>
            </w:tcBorders>
            <w:noWrap w:val="0"/>
            <w:vAlign w:val="center"/>
          </w:tcPr>
          <w:p w14:paraId="58D613F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115°17'36.77”</w:t>
            </w:r>
          </w:p>
        </w:tc>
        <w:tc>
          <w:tcPr>
            <w:tcW w:w="2639" w:type="dxa"/>
            <w:tcBorders>
              <w:top w:val="single" w:color="auto" w:sz="4" w:space="0"/>
              <w:left w:val="single" w:color="000000" w:sz="4" w:space="0"/>
              <w:bottom w:val="single" w:color="000000" w:sz="4" w:space="0"/>
              <w:right w:val="single" w:color="000000" w:sz="4" w:space="0"/>
            </w:tcBorders>
            <w:noWrap w:val="0"/>
            <w:vAlign w:val="center"/>
          </w:tcPr>
          <w:p w14:paraId="385F1B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班庄扬水站</w:t>
            </w:r>
          </w:p>
        </w:tc>
      </w:tr>
      <w:tr w14:paraId="42B74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50EBF3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350E7B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36°25'14”</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7E6756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115°18'0”</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184CE8AD">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i w:val="0"/>
                <w:iCs w:val="0"/>
                <w:color w:val="000000"/>
                <w:sz w:val="28"/>
                <w:szCs w:val="28"/>
                <w:u w:val="none"/>
              </w:rPr>
            </w:pP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5285479B">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i w:val="0"/>
                <w:iCs w:val="0"/>
                <w:color w:val="000000"/>
                <w:sz w:val="28"/>
                <w:szCs w:val="28"/>
                <w:u w:val="none"/>
              </w:rPr>
            </w:pP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59C1469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卫河Y182+900</w:t>
            </w:r>
          </w:p>
        </w:tc>
      </w:tr>
      <w:tr w14:paraId="7DD01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749BD46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527B9B5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36°25'30”</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619BA5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115°18'10”</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3258F3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36°25'29.06”</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768C944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115°18'12.29”</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715D35F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班庄上堤口</w:t>
            </w:r>
          </w:p>
        </w:tc>
      </w:tr>
      <w:tr w14:paraId="5DAB8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A76DDB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4</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6F21BC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36°26'4.6”</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4D7CCD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115°18'26.8”</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033163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36°26'7.1”</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377116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115°18'28.85”</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6C7A097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营镇险工</w:t>
            </w:r>
          </w:p>
        </w:tc>
      </w:tr>
      <w:tr w14:paraId="63001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2418F4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2923EE9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36°27'4”</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395DC3A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115°18'15”</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7E11A3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36°27'04.75”</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0E53BB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115°18'17.56”</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6FD70B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营镇墩</w:t>
            </w:r>
          </w:p>
        </w:tc>
      </w:tr>
      <w:tr w14:paraId="7CC03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7AF582E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6</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6F8CDD4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36°27'45”</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0E4F10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115°18'14”</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2683C28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36°27'45.32”</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0EF1005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115°18'15.91”</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50D9BA0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乜村路口上游</w:t>
            </w:r>
          </w:p>
        </w:tc>
      </w:tr>
      <w:tr w14:paraId="1A12A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BE56A3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7</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02536D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36°27'54”</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49E5FE5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115°18'0”</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0284D7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36°27'56.06”</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488733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115°18'00.78”</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66343FA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乜村闸口</w:t>
            </w:r>
          </w:p>
        </w:tc>
      </w:tr>
      <w:tr w14:paraId="0E796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15B73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8</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597AD3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36°28'13”</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0F5F7E7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115°17'32”</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7DFCAF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36°28'14.19”</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70B31A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115°17'34.61”</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733224D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董安堤变压器</w:t>
            </w:r>
          </w:p>
        </w:tc>
      </w:tr>
      <w:tr w14:paraId="482AD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A90BE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9</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315AE58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36°28'26”</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587617C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115°17'30”</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02B280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36°28'26.44”</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49B23C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115°17'32.46”</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1BFF62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郭安堤小庙</w:t>
            </w:r>
          </w:p>
        </w:tc>
      </w:tr>
      <w:tr w14:paraId="3F78C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2E412C8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10</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4B5BA3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36°28'53”</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00C881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115°17'25”</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4A32165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36°28'35.83”</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69AFDDE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115°17'27.24”</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76367E4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_GB2312" w:hAnsi="仿宋_GB2312" w:eastAsia="仿宋_GB2312" w:cs="仿宋_GB2312"/>
                <w:i w:val="0"/>
                <w:iCs w:val="0"/>
                <w:color w:val="000000"/>
                <w:sz w:val="28"/>
                <w:szCs w:val="28"/>
                <w:u w:val="none"/>
                <w:lang w:val="en-US"/>
              </w:rPr>
            </w:pPr>
            <w:r>
              <w:rPr>
                <w:rFonts w:hint="eastAsia" w:ascii="仿宋_GB2312" w:hAnsi="仿宋_GB2312" w:eastAsia="仿宋_GB2312" w:cs="仿宋_GB2312"/>
                <w:i w:val="0"/>
                <w:iCs w:val="0"/>
                <w:color w:val="000000"/>
                <w:kern w:val="0"/>
                <w:sz w:val="28"/>
                <w:szCs w:val="28"/>
                <w:u w:val="none"/>
                <w:lang w:val="en-US" w:eastAsia="zh-CN" w:bidi="ar"/>
              </w:rPr>
              <w:t>郭安堤路口</w:t>
            </w:r>
          </w:p>
        </w:tc>
      </w:tr>
      <w:tr w14:paraId="218BF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850FF5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50E205E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36°28'51”</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1C6ACE7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115°16'59”</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281763D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36°28'51.18”</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34DC562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115°17'2.66”</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4AE740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卫运河Y 0+030</w:t>
            </w:r>
          </w:p>
        </w:tc>
      </w:tr>
      <w:tr w14:paraId="3C977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5BF3C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12</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6581EB1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36°29'6”</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6CA69A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115°17'6”</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3DF71D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36°29'05.78”</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17EFE1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115°17'9.12”</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05016D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卫运河Y 0+750</w:t>
            </w:r>
          </w:p>
        </w:tc>
      </w:tr>
      <w:tr w14:paraId="27C7B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156318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13</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14A4E80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36°29'19”</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735DCB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115°17'13”</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18A9D2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36°29'19.01”</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11F6A7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115°17'15.74”</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5C2978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圈堤口</w:t>
            </w:r>
          </w:p>
        </w:tc>
      </w:tr>
      <w:tr w14:paraId="05D2D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781324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14</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48A5020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36°29'29”</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10E9600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115°17'35”</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76225A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36°29'27.10”</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79B13E5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115°17'37.38”</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4257D9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廖安堤路口</w:t>
            </w:r>
          </w:p>
        </w:tc>
      </w:tr>
      <w:tr w14:paraId="089DA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54C654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15</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009803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36°29'52”</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5ACF38C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115°17'43”</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479268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36°29'54.66”</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064969A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115°17'46.36”</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7238E3E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卫运河Y3+250</w:t>
            </w:r>
          </w:p>
        </w:tc>
      </w:tr>
      <w:tr w14:paraId="37B23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20BBE8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16</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578BC5A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36°29'59”</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1E9B08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115°17'41”</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0ECE013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36°30'00.92”</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2C2E46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115°17'43.67”</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1BCDCE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卫运河Y3+000</w:t>
            </w:r>
          </w:p>
        </w:tc>
      </w:tr>
      <w:tr w14:paraId="26703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66B75D6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17</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54BBAA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36°30'15”</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3CBDEAB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115°17'38”</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2426D9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36°30'15.50”</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291F85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115°17'41.20”</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10DCB2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铁路桥</w:t>
            </w:r>
          </w:p>
        </w:tc>
      </w:tr>
      <w:tr w14:paraId="74873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76BAFCA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18</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38BD2F81">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i w:val="0"/>
                <w:iCs w:val="0"/>
                <w:color w:val="000000"/>
                <w:sz w:val="28"/>
                <w:szCs w:val="28"/>
                <w:u w:val="none"/>
              </w:rPr>
            </w:pP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32380719">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i w:val="0"/>
                <w:iCs w:val="0"/>
                <w:color w:val="000000"/>
                <w:sz w:val="28"/>
                <w:szCs w:val="28"/>
                <w:u w:val="none"/>
              </w:rPr>
            </w:pP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1EB1FE5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36°30'52.03”</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1A5288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115°17'54.44”</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1D1C32E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卫运河Y 4+750</w:t>
            </w:r>
          </w:p>
        </w:tc>
      </w:tr>
      <w:tr w14:paraId="2FDA7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718DC39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19</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68CC778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36°31'26”</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4DC8DD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115°18'22”</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1114A2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36°31'25.12”</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5B5A1D5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115°18'24.62”</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160995C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卫运河Y 5+980</w:t>
            </w:r>
          </w:p>
        </w:tc>
      </w:tr>
      <w:tr w14:paraId="45D0D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60726D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20</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433AE8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36°31'39”</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4BF66DA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115°18'43”</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1483FF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36°31'37.04”</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584C0C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115°18'43.93”</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264D00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七一桥超市</w:t>
            </w:r>
          </w:p>
        </w:tc>
      </w:tr>
      <w:tr w14:paraId="3FD0E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F5141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21</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123D0F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36°31'49”</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5450A5B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115°19'5”</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6250CF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36°31'46.06”</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25143C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115°19'06.56”</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0D2F39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七一桥北口</w:t>
            </w:r>
          </w:p>
        </w:tc>
      </w:tr>
      <w:tr w14:paraId="485B5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614F2E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22</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1F70214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36°32'10”</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47101EB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115°19'14”</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4BD42F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36°32'10.24”</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6E0F35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115°19'16.26”</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3EF51B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卫运河Y 8+050</w:t>
            </w:r>
          </w:p>
        </w:tc>
      </w:tr>
      <w:tr w14:paraId="68DC8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1C18833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23</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1A95D75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36°32'29”</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51AF8E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115°19'23”</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132CF3C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36°32'26.89”</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6BAE43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115°19'24.96”</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3D6364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高速桥北</w:t>
            </w:r>
          </w:p>
        </w:tc>
      </w:tr>
      <w:tr w14:paraId="36073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514CEB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24</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3C4C080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36°32'37”</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64E158A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115°19'29”</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5E834D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36°32'37.30”</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5576BE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115°19'33.64”</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2CBF556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卫运河Y 9+000</w:t>
            </w:r>
          </w:p>
        </w:tc>
      </w:tr>
      <w:tr w14:paraId="12B84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C570BD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25</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198B9D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36°33'29”</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4394A1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115°19'43”</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201EB8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36°33'29.48”</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7091E5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115°19'45.73”</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11CF56B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卫运河Y 10+750</w:t>
            </w:r>
          </w:p>
        </w:tc>
      </w:tr>
      <w:tr w14:paraId="1C487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27A9769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26</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02107A2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36°34'6”</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77580C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115°19'42”</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7F8A16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36°34'04.53”</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4CB7AE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115°19'44.88”</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3DBF6E6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郭庄险工</w:t>
            </w:r>
          </w:p>
        </w:tc>
      </w:tr>
      <w:tr w14:paraId="6F03A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D3D05C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27</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096B3F8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36°34'35”</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16BF22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115°20'1”</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2D2AC4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36°34'35.94”</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045BF0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115°20'05.09”</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5A561F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13+000</w:t>
            </w:r>
          </w:p>
        </w:tc>
      </w:tr>
      <w:tr w14:paraId="3C0AE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53AE4E6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28</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397093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36°34'54”</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2CBB374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115°20'32”</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7243D9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36°34'54.19”</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2C4D5A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115°20'35.06”</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5E1D52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卫运河Y 13+980</w:t>
            </w:r>
          </w:p>
        </w:tc>
      </w:tr>
      <w:tr w14:paraId="17D25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02C72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29</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07C914F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36°35'53”</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668057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115°20'43”</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3CB94A6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36°35'2.76”</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134D95C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115°20'45.96”</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0CA1AB9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卫运河Y 16+000</w:t>
            </w:r>
          </w:p>
        </w:tc>
      </w:tr>
      <w:tr w14:paraId="7F332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4690FD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30</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4F795FC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36°36'49”</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62CB67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115°21'14”</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6EE434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36°36'48.62”</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393CCFE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115°21'18.89”</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71F0589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卫运河Y17+950</w:t>
            </w:r>
          </w:p>
        </w:tc>
      </w:tr>
      <w:tr w14:paraId="1A4D0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62DE1C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31</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03AE917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36°37'42”</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39E195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115°22'28”</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20550B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36°37'39.32”</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517BCA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115°22'30.11”</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044C434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许庄路口</w:t>
            </w:r>
          </w:p>
        </w:tc>
      </w:tr>
      <w:tr w14:paraId="0C49D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2AD1D5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32</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44F6F8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36°38'9”</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04C71D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115°23'6”</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4F6882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36°38'14.36”</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2FBE43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115°23'09.72”</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3012E0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纸房汛屋北路口</w:t>
            </w:r>
          </w:p>
        </w:tc>
      </w:tr>
      <w:tr w14:paraId="17685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7F693F2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33</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5529E0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36°39'6”</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5E50FF1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115°23'12”</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01CCD6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36°39'05.70”</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2E312F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115°23'15.57”</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2989D38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卫运河Y 24+50</w:t>
            </w:r>
          </w:p>
        </w:tc>
      </w:tr>
      <w:tr w14:paraId="51CA4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25DD0C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34</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532939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36°39'41”</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6BFF5F1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115°24'2”</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030293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36°39'39.79”</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3ED464F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115°24'06.24”</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0BB3054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北陶桥北400米</w:t>
            </w:r>
          </w:p>
        </w:tc>
      </w:tr>
      <w:tr w14:paraId="5D52B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2AE31E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35</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2D0EAB5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36°39'49”</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0346982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115°24'12”</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306B597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36°39'49.06”</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75182B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115°24'14.78”</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16CF83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乔马庄村口</w:t>
            </w:r>
          </w:p>
        </w:tc>
      </w:tr>
      <w:tr w14:paraId="18ECA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37280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36</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3EAC883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36°40'28”</w:t>
            </w: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0B06558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115°24'46”</w:t>
            </w: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6F44556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36°40'26.47”</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295799E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115°24'47.78”</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1DDFF52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崔庄路口</w:t>
            </w:r>
          </w:p>
        </w:tc>
      </w:tr>
      <w:tr w14:paraId="3C56D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AE77F8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37</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2C47C1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kern w:val="0"/>
                <w:sz w:val="28"/>
                <w:szCs w:val="28"/>
                <w:u w:val="none"/>
                <w:lang w:val="en-US" w:eastAsia="zh-CN" w:bidi="ar"/>
              </w:rPr>
            </w:pP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27F1033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kern w:val="0"/>
                <w:sz w:val="28"/>
                <w:szCs w:val="28"/>
                <w:u w:val="none"/>
                <w:lang w:val="en-US" w:eastAsia="zh-CN" w:bidi="ar"/>
              </w:rPr>
            </w:pP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4CA4F9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36°41'00.76”</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4F4D148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115°25'37.70”</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40887B1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大刘庄汛屋</w:t>
            </w:r>
          </w:p>
        </w:tc>
      </w:tr>
      <w:tr w14:paraId="56822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7322D0A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38</w:t>
            </w:r>
          </w:p>
        </w:tc>
        <w:tc>
          <w:tcPr>
            <w:tcW w:w="2253" w:type="dxa"/>
            <w:tcBorders>
              <w:top w:val="single" w:color="000000" w:sz="4" w:space="0"/>
              <w:left w:val="single" w:color="000000" w:sz="4" w:space="0"/>
              <w:bottom w:val="single" w:color="000000" w:sz="4" w:space="0"/>
              <w:right w:val="single" w:color="000000" w:sz="4" w:space="0"/>
            </w:tcBorders>
            <w:noWrap w:val="0"/>
            <w:vAlign w:val="center"/>
          </w:tcPr>
          <w:p w14:paraId="631E2C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kern w:val="0"/>
                <w:sz w:val="28"/>
                <w:szCs w:val="28"/>
                <w:u w:val="none"/>
                <w:lang w:val="en-US" w:eastAsia="zh-CN" w:bidi="ar"/>
              </w:rPr>
            </w:pPr>
          </w:p>
        </w:tc>
        <w:tc>
          <w:tcPr>
            <w:tcW w:w="2497" w:type="dxa"/>
            <w:tcBorders>
              <w:top w:val="single" w:color="000000" w:sz="4" w:space="0"/>
              <w:left w:val="single" w:color="000000" w:sz="4" w:space="0"/>
              <w:bottom w:val="single" w:color="000000" w:sz="4" w:space="0"/>
              <w:right w:val="single" w:color="000000" w:sz="4" w:space="0"/>
            </w:tcBorders>
            <w:noWrap w:val="0"/>
            <w:vAlign w:val="center"/>
          </w:tcPr>
          <w:p w14:paraId="6AC71F4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kern w:val="0"/>
                <w:sz w:val="28"/>
                <w:szCs w:val="28"/>
                <w:u w:val="none"/>
                <w:lang w:val="en-US" w:eastAsia="zh-CN" w:bidi="ar"/>
              </w:rPr>
            </w:pPr>
          </w:p>
        </w:tc>
        <w:tc>
          <w:tcPr>
            <w:tcW w:w="2570" w:type="dxa"/>
            <w:tcBorders>
              <w:top w:val="single" w:color="000000" w:sz="4" w:space="0"/>
              <w:left w:val="single" w:color="000000" w:sz="4" w:space="0"/>
              <w:bottom w:val="single" w:color="000000" w:sz="4" w:space="0"/>
              <w:right w:val="single" w:color="000000" w:sz="4" w:space="0"/>
            </w:tcBorders>
            <w:noWrap w:val="0"/>
            <w:vAlign w:val="center"/>
          </w:tcPr>
          <w:p w14:paraId="3AC2ED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36°41'04.76”</w:t>
            </w:r>
          </w:p>
        </w:tc>
        <w:tc>
          <w:tcPr>
            <w:tcW w:w="2722" w:type="dxa"/>
            <w:tcBorders>
              <w:top w:val="single" w:color="000000" w:sz="4" w:space="0"/>
              <w:left w:val="single" w:color="000000" w:sz="4" w:space="0"/>
              <w:bottom w:val="single" w:color="000000" w:sz="4" w:space="0"/>
              <w:right w:val="single" w:color="000000" w:sz="4" w:space="0"/>
            </w:tcBorders>
            <w:noWrap w:val="0"/>
            <w:vAlign w:val="center"/>
          </w:tcPr>
          <w:p w14:paraId="56CD60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115°26'12.09”</w:t>
            </w:r>
          </w:p>
        </w:tc>
        <w:tc>
          <w:tcPr>
            <w:tcW w:w="2639" w:type="dxa"/>
            <w:tcBorders>
              <w:top w:val="single" w:color="000000" w:sz="4" w:space="0"/>
              <w:left w:val="single" w:color="000000" w:sz="4" w:space="0"/>
              <w:bottom w:val="single" w:color="000000" w:sz="4" w:space="0"/>
              <w:right w:val="single" w:color="000000" w:sz="4" w:space="0"/>
            </w:tcBorders>
            <w:noWrap w:val="0"/>
            <w:vAlign w:val="center"/>
          </w:tcPr>
          <w:p w14:paraId="4F52C9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临清接头</w:t>
            </w:r>
          </w:p>
        </w:tc>
      </w:tr>
    </w:tbl>
    <w:p w14:paraId="674790D3">
      <w:pPr>
        <w:pStyle w:val="2"/>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lang w:val="en-US" w:eastAsia="zh-CN"/>
        </w:rPr>
      </w:pPr>
    </w:p>
    <w:sectPr>
      <w:footerReference r:id="rId3" w:type="default"/>
      <w:pgSz w:w="16838" w:h="23811"/>
      <w:pgMar w:top="1701" w:right="1587" w:bottom="1587" w:left="1587" w:header="851" w:footer="1417" w:gutter="0"/>
      <w:paperSrc/>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swiss"/>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汉仪字酷堂邓氏小楷W">
    <w:altName w:val="宋体"/>
    <w:panose1 w:val="00000000000000000000"/>
    <w:charset w:val="86"/>
    <w:family w:val="roman"/>
    <w:pitch w:val="default"/>
    <w:sig w:usb0="00000000" w:usb1="00000000" w:usb2="00000016" w:usb3="00000000" w:csb0="0004009F" w:csb1="00000000"/>
  </w:font>
  <w:font w:name="汉仪典雅体简">
    <w:panose1 w:val="00020600040101010101"/>
    <w:charset w:val="86"/>
    <w:family w:val="auto"/>
    <w:pitch w:val="default"/>
    <w:sig w:usb0="A00002BF" w:usb1="18EF7CFA" w:usb2="00000016" w:usb3="00000000" w:csb0="00040000"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1626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4A88ED5">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34A88ED5">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0EE"/>
    <w:rsid w:val="000035C1"/>
    <w:rsid w:val="00041B91"/>
    <w:rsid w:val="0006311F"/>
    <w:rsid w:val="000D389A"/>
    <w:rsid w:val="000E67D5"/>
    <w:rsid w:val="000F4EED"/>
    <w:rsid w:val="000F791E"/>
    <w:rsid w:val="0011275D"/>
    <w:rsid w:val="00121336"/>
    <w:rsid w:val="0012728A"/>
    <w:rsid w:val="001B3BF0"/>
    <w:rsid w:val="001F6B5E"/>
    <w:rsid w:val="00264862"/>
    <w:rsid w:val="002811B4"/>
    <w:rsid w:val="00296A89"/>
    <w:rsid w:val="002E289F"/>
    <w:rsid w:val="00316A8B"/>
    <w:rsid w:val="003B2592"/>
    <w:rsid w:val="003C75E8"/>
    <w:rsid w:val="00401D00"/>
    <w:rsid w:val="004053F9"/>
    <w:rsid w:val="004374C9"/>
    <w:rsid w:val="004903F4"/>
    <w:rsid w:val="004D1EB6"/>
    <w:rsid w:val="004F7007"/>
    <w:rsid w:val="0050658B"/>
    <w:rsid w:val="00541197"/>
    <w:rsid w:val="0056256A"/>
    <w:rsid w:val="005A282E"/>
    <w:rsid w:val="006945C1"/>
    <w:rsid w:val="00750458"/>
    <w:rsid w:val="007512C1"/>
    <w:rsid w:val="007D7EA5"/>
    <w:rsid w:val="00824E8B"/>
    <w:rsid w:val="00866B96"/>
    <w:rsid w:val="008673FE"/>
    <w:rsid w:val="008D429C"/>
    <w:rsid w:val="00907856"/>
    <w:rsid w:val="0091280E"/>
    <w:rsid w:val="009F70EE"/>
    <w:rsid w:val="00A17900"/>
    <w:rsid w:val="00AA3E1B"/>
    <w:rsid w:val="00AC5179"/>
    <w:rsid w:val="00B362CB"/>
    <w:rsid w:val="00B75332"/>
    <w:rsid w:val="00C22F75"/>
    <w:rsid w:val="00C27130"/>
    <w:rsid w:val="00C5153A"/>
    <w:rsid w:val="00C57AB2"/>
    <w:rsid w:val="00C9510B"/>
    <w:rsid w:val="00CC36C9"/>
    <w:rsid w:val="00CE2D5F"/>
    <w:rsid w:val="00D3613B"/>
    <w:rsid w:val="00D6068C"/>
    <w:rsid w:val="00D922F5"/>
    <w:rsid w:val="00DB0D3C"/>
    <w:rsid w:val="00E0117A"/>
    <w:rsid w:val="00E2207E"/>
    <w:rsid w:val="00F27517"/>
    <w:rsid w:val="00FA7C03"/>
    <w:rsid w:val="00FC65EF"/>
    <w:rsid w:val="09EF4613"/>
    <w:rsid w:val="277C4613"/>
    <w:rsid w:val="2F6F0FF9"/>
    <w:rsid w:val="35BA5B31"/>
    <w:rsid w:val="41E06CA1"/>
    <w:rsid w:val="4289048B"/>
    <w:rsid w:val="4AFFEAF8"/>
    <w:rsid w:val="4FFE4EE3"/>
    <w:rsid w:val="58776FB0"/>
    <w:rsid w:val="6A4D0376"/>
    <w:rsid w:val="6F7F24B4"/>
    <w:rsid w:val="6F98BF9D"/>
    <w:rsid w:val="6FBF5FC9"/>
    <w:rsid w:val="7B9F8834"/>
    <w:rsid w:val="7DFD53BF"/>
    <w:rsid w:val="7E582255"/>
    <w:rsid w:val="7EF77DF3"/>
    <w:rsid w:val="7EFDA0B2"/>
    <w:rsid w:val="7FEA0339"/>
    <w:rsid w:val="AEFD36F2"/>
    <w:rsid w:val="B7DF2519"/>
    <w:rsid w:val="BD5F83A9"/>
    <w:rsid w:val="C49F5A16"/>
    <w:rsid w:val="DB79B2A3"/>
    <w:rsid w:val="EFFE29F3"/>
    <w:rsid w:val="FE6D3770"/>
    <w:rsid w:val="FFAFF21C"/>
    <w:rsid w:val="FFFE12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Document Map"/>
    <w:basedOn w:val="1"/>
    <w:qFormat/>
    <w:uiPriority w:val="0"/>
    <w:rPr>
      <w:rFonts w:ascii="宋体"/>
      <w:sz w:val="18"/>
      <w:szCs w:val="18"/>
    </w:rPr>
  </w:style>
  <w:style w:type="paragraph" w:styleId="3">
    <w:name w:val="Date"/>
    <w:basedOn w:val="1"/>
    <w:next w:val="1"/>
    <w:link w:val="10"/>
    <w:unhideWhenUsed/>
    <w:qFormat/>
    <w:uiPriority w:val="99"/>
    <w:pPr>
      <w:ind w:left="100" w:leftChars="2500"/>
    </w:p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character" w:customStyle="1" w:styleId="10">
    <w:name w:val="日期 Char"/>
    <w:basedOn w:val="7"/>
    <w:link w:val="3"/>
    <w:semiHidden/>
    <w:qFormat/>
    <w:uiPriority w:val="99"/>
  </w:style>
  <w:style w:type="paragraph" w:customStyle="1" w:styleId="11">
    <w:name w:val="正文01"/>
    <w:basedOn w:val="1"/>
    <w:qFormat/>
    <w:uiPriority w:val="0"/>
    <w:pPr>
      <w:adjustRightInd w:val="0"/>
      <w:snapToGrid w:val="0"/>
      <w:spacing w:line="360" w:lineRule="auto"/>
      <w:ind w:firstLine="560" w:firstLineChars="200"/>
    </w:pPr>
    <w:rPr>
      <w:rFonts w:ascii="仿宋" w:hAnsi="仿宋" w:eastAsia="宋体" w:cs="Times New Roman"/>
      <w:color w:val="000000"/>
      <w:sz w:val="28"/>
      <w:szCs w:val="28"/>
      <w:shd w:val="clear" w:color="auto"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1209</Words>
  <Characters>2313</Characters>
  <Lines>29</Lines>
  <Paragraphs>8</Paragraphs>
  <TotalTime>33</TotalTime>
  <ScaleCrop>false</ScaleCrop>
  <LinksUpToDate>false</LinksUpToDate>
  <CharactersWithSpaces>2362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2020-07-12T09:12:00Z</dcterms:created>
  <dc:creator>Administrator</dc:creator>
  <cp:lastModifiedBy>皓雪</cp:lastModifiedBy>
  <cp:lastPrinted>2025-07-29T07:23:36Z</cp:lastPrinted>
  <dcterms:modified xsi:type="dcterms:W3CDTF">2025-07-29T07:57:07Z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6A2521AE0FD64A53A42927E4DCE88EED_13</vt:lpwstr>
  </property>
  <property fmtid="{D5CDD505-2E9C-101B-9397-08002B2CF9AE}" pid="4" name="KSOTemplateDocerSaveRecord">
    <vt:lpwstr>eyJoZGlkIjoiZThlMDIxODUxZjAzNTk4Yjc2NzUzOWEzMjM4YWIzMGUiLCJ1c2VySWQiOiI0MTQ2NjAyOTkifQ==</vt:lpwstr>
  </property>
</Properties>
</file>