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A550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小标宋-GB2312" w:hAnsi="CESI小标宋-GB2312" w:eastAsia="CESI小标宋-GB2312" w:cs="CESI小标宋-GB2312"/>
          <w:sz w:val="44"/>
          <w:szCs w:val="44"/>
        </w:rPr>
      </w:pPr>
      <w:r>
        <w:rPr>
          <w:rFonts w:hint="eastAsia" w:ascii="CESI小标宋-GB2312" w:hAnsi="CESI小标宋-GB2312" w:eastAsia="CESI小标宋-GB2312" w:cs="CESI小标宋-GB2312"/>
          <w:sz w:val="44"/>
          <w:szCs w:val="44"/>
          <w:lang w:eastAsia="zh-CN"/>
        </w:rPr>
        <w:t>冠县</w:t>
      </w:r>
      <w:r>
        <w:rPr>
          <w:rFonts w:hint="eastAsia" w:ascii="CESI小标宋-GB2312" w:hAnsi="CESI小标宋-GB2312" w:eastAsia="CESI小标宋-GB2312" w:cs="CESI小标宋-GB2312"/>
          <w:sz w:val="44"/>
          <w:szCs w:val="44"/>
          <w:lang w:val="en-US" w:eastAsia="zh-CN"/>
        </w:rPr>
        <w:t>崇文街道办事处2025年</w:t>
      </w:r>
      <w:r>
        <w:rPr>
          <w:rFonts w:hint="eastAsia" w:ascii="CESI小标宋-GB2312" w:hAnsi="CESI小标宋-GB2312" w:eastAsia="CESI小标宋-GB2312" w:cs="CESI小标宋-GB2312"/>
          <w:sz w:val="44"/>
          <w:szCs w:val="44"/>
        </w:rPr>
        <w:t>政府信息公开工作年度报告</w:t>
      </w:r>
      <w:bookmarkStart w:id="11" w:name="_GoBack"/>
      <w:bookmarkEnd w:id="11"/>
    </w:p>
    <w:p w14:paraId="1B8DBD1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报告根据《中华人民共和国政府信息公开条例》（以下简称《条例》）</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《国务院办公厅政府信息与政务公开办公室关于印发&lt;中华人民共和国政府信息公开工作年度报告格式&gt;的通知》（国办公开办函〔2021〕30号）相关</w:t>
      </w:r>
      <w:r>
        <w:rPr>
          <w:rFonts w:hint="eastAsia" w:ascii="仿宋_GB2312" w:hAnsi="仿宋_GB2312" w:eastAsia="仿宋_GB2312" w:cs="仿宋_GB2312"/>
          <w:color w:val="auto"/>
          <w:sz w:val="32"/>
          <w:szCs w:val="32"/>
        </w:rPr>
        <w:t>要求编制</w:t>
      </w:r>
      <w:r>
        <w:rPr>
          <w:rFonts w:hint="eastAsia" w:ascii="仿宋_GB2312" w:hAnsi="仿宋_GB2312" w:eastAsia="仿宋_GB2312" w:cs="仿宋_GB2312"/>
          <w:color w:val="auto"/>
          <w:sz w:val="32"/>
          <w:szCs w:val="32"/>
          <w:lang w:eastAsia="zh-CN"/>
        </w:rPr>
        <w:t>，全文</w:t>
      </w:r>
      <w:r>
        <w:rPr>
          <w:rFonts w:hint="eastAsia" w:ascii="仿宋_GB2312" w:hAnsi="仿宋_GB2312" w:eastAsia="仿宋_GB2312" w:cs="仿宋_GB2312"/>
          <w:color w:val="auto"/>
          <w:sz w:val="32"/>
          <w:szCs w:val="32"/>
        </w:rPr>
        <w:t>包括总体情况、主动公开政府信息情况、收到和处理政府信息公开申请情况、</w:t>
      </w:r>
      <w:r>
        <w:rPr>
          <w:rFonts w:hint="eastAsia" w:ascii="仿宋_GB2312" w:hAnsi="仿宋_GB2312" w:eastAsia="仿宋_GB2312" w:cs="仿宋_GB2312"/>
          <w:i w:val="0"/>
          <w:caps w:val="0"/>
          <w:color w:val="auto"/>
          <w:spacing w:val="0"/>
          <w:kern w:val="0"/>
          <w:sz w:val="32"/>
          <w:szCs w:val="32"/>
          <w:lang w:val="en-US" w:eastAsia="zh-CN" w:bidi="ar"/>
        </w:rPr>
        <w:t>因政府信息公开工作被申请行政复议和提起行政诉讼情况、政府信息公开工作</w:t>
      </w:r>
      <w:r>
        <w:rPr>
          <w:rFonts w:hint="eastAsia" w:ascii="仿宋_GB2312" w:hAnsi="仿宋_GB2312" w:eastAsia="仿宋_GB2312" w:cs="仿宋_GB2312"/>
          <w:color w:val="auto"/>
          <w:sz w:val="32"/>
          <w:szCs w:val="32"/>
        </w:rPr>
        <w:t>存在的主要问题及改进情况、其他需要报告的事项</w:t>
      </w:r>
      <w:r>
        <w:rPr>
          <w:rFonts w:hint="eastAsia" w:ascii="仿宋_GB2312" w:hAnsi="仿宋_GB2312" w:eastAsia="仿宋_GB2312" w:cs="仿宋_GB2312"/>
          <w:color w:val="auto"/>
          <w:sz w:val="32"/>
          <w:szCs w:val="32"/>
          <w:lang w:eastAsia="zh-CN"/>
        </w:rPr>
        <w:t>等六个部分</w:t>
      </w:r>
      <w:r>
        <w:rPr>
          <w:rFonts w:hint="eastAsia" w:ascii="仿宋_GB2312" w:hAnsi="仿宋_GB2312" w:eastAsia="仿宋_GB2312" w:cs="仿宋_GB2312"/>
          <w:color w:val="auto"/>
          <w:sz w:val="32"/>
          <w:szCs w:val="32"/>
        </w:rPr>
        <w:t>。</w:t>
      </w:r>
      <w:bookmarkStart w:id="0" w:name="_Hlk67405801"/>
      <w:r>
        <w:rPr>
          <w:rFonts w:hint="eastAsia" w:ascii="仿宋_GB2312" w:hAnsi="仿宋_GB2312" w:eastAsia="仿宋_GB2312" w:cs="仿宋_GB2312"/>
          <w:color w:val="auto"/>
          <w:sz w:val="32"/>
          <w:szCs w:val="32"/>
        </w:rPr>
        <w:t>本年度报告中所列数据统计期限从202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年1月1日</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12月31日</w:t>
      </w:r>
      <w:bookmarkEnd w:id="0"/>
      <w:r>
        <w:rPr>
          <w:rFonts w:hint="eastAsia" w:ascii="仿宋_GB2312" w:hAnsi="仿宋_GB2312" w:eastAsia="仿宋_GB2312" w:cs="仿宋_GB2312"/>
          <w:color w:val="auto"/>
          <w:sz w:val="32"/>
          <w:szCs w:val="32"/>
        </w:rPr>
        <w:t>。本年度报告电子版可从</w:t>
      </w:r>
      <w:r>
        <w:rPr>
          <w:rFonts w:hint="eastAsia" w:ascii="仿宋_GB2312" w:hAnsi="仿宋_GB2312" w:eastAsia="仿宋_GB2312" w:cs="仿宋_GB2312"/>
          <w:color w:val="auto"/>
          <w:sz w:val="32"/>
          <w:szCs w:val="32"/>
          <w:lang w:eastAsia="zh-CN"/>
        </w:rPr>
        <w:t>冠县人民政府网站</w:t>
      </w:r>
      <w:r>
        <w:rPr>
          <w:rFonts w:hint="eastAsia" w:ascii="仿宋_GB2312" w:hAnsi="仿宋_GB2312" w:eastAsia="仿宋_GB2312" w:cs="仿宋_GB2312"/>
          <w:color w:val="auto"/>
          <w:sz w:val="32"/>
          <w:szCs w:val="32"/>
        </w:rPr>
        <w:t>（http://www.guanxian.gov.cn/）下载。</w:t>
      </w:r>
      <w:r>
        <w:rPr>
          <w:rFonts w:hint="eastAsia" w:ascii="仿宋_GB2312" w:hAnsi="仿宋_GB2312" w:eastAsia="仿宋_GB2312" w:cs="仿宋_GB2312"/>
          <w:color w:val="auto"/>
          <w:sz w:val="32"/>
          <w:szCs w:val="32"/>
          <w:lang w:eastAsia="zh-CN"/>
        </w:rPr>
        <w:t>公众</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需进一步咨询了解相关信息</w:t>
      </w:r>
      <w:r>
        <w:rPr>
          <w:rFonts w:hint="eastAsia" w:ascii="仿宋_GB2312" w:hAnsi="仿宋_GB2312" w:eastAsia="仿宋_GB2312" w:cs="仿宋_GB2312"/>
          <w:color w:val="auto"/>
          <w:sz w:val="32"/>
          <w:szCs w:val="32"/>
        </w:rPr>
        <w:t>，请与冠县</w:t>
      </w:r>
      <w:r>
        <w:rPr>
          <w:rFonts w:hint="eastAsia" w:ascii="仿宋_GB2312" w:hAnsi="仿宋_GB2312" w:eastAsia="仿宋_GB2312" w:cs="仿宋_GB2312"/>
          <w:color w:val="auto"/>
          <w:sz w:val="32"/>
          <w:szCs w:val="32"/>
          <w:lang w:eastAsia="zh-CN"/>
        </w:rPr>
        <w:t>崇文街道办事处</w:t>
      </w:r>
      <w:r>
        <w:rPr>
          <w:rFonts w:hint="eastAsia" w:ascii="仿宋_GB2312" w:hAnsi="仿宋_GB2312" w:eastAsia="仿宋_GB2312" w:cs="仿宋_GB2312"/>
          <w:color w:val="auto"/>
          <w:sz w:val="32"/>
          <w:szCs w:val="32"/>
        </w:rPr>
        <w:t>联系（</w:t>
      </w:r>
      <w:r>
        <w:rPr>
          <w:rFonts w:hint="eastAsia" w:ascii="仿宋_GB2312" w:hAnsi="仿宋_GB2312" w:eastAsia="仿宋_GB2312" w:cs="仿宋_GB2312"/>
          <w:color w:val="auto"/>
          <w:sz w:val="32"/>
          <w:szCs w:val="32"/>
          <w:lang w:eastAsia="zh-CN"/>
        </w:rPr>
        <w:t>地址：山东省聊城市冠县</w:t>
      </w:r>
      <w:r>
        <w:rPr>
          <w:rFonts w:hint="eastAsia" w:ascii="仿宋_GB2312" w:hAnsi="仿宋_GB2312" w:eastAsia="仿宋_GB2312" w:cs="仿宋_GB2312"/>
          <w:color w:val="auto"/>
          <w:sz w:val="32"/>
          <w:szCs w:val="32"/>
          <w:lang w:val="en-US" w:eastAsia="zh-CN"/>
        </w:rPr>
        <w:t>西环路396号；邮编：252500；</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0635-6025600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邮箱:</w:t>
      </w:r>
      <w:r>
        <w:rPr>
          <w:rFonts w:hint="eastAsia" w:ascii="仿宋_GB2312" w:hAnsi="仿宋_GB2312" w:eastAsia="仿宋_GB2312" w:cs="仿宋_GB2312"/>
          <w:color w:val="auto"/>
          <w:sz w:val="32"/>
          <w:szCs w:val="32"/>
          <w:lang w:val="en-US" w:eastAsia="zh-CN"/>
        </w:rPr>
        <w:t>gxcwjdzwgk</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lc.</w:t>
      </w:r>
      <w:r>
        <w:rPr>
          <w:rFonts w:hint="eastAsia" w:ascii="仿宋_GB2312" w:hAnsi="仿宋_GB2312" w:eastAsia="仿宋_GB2312" w:cs="仿宋_GB2312"/>
          <w:color w:val="auto"/>
          <w:sz w:val="32"/>
          <w:szCs w:val="32"/>
        </w:rPr>
        <w:t>shandong.cn）</w:t>
      </w:r>
      <w:r>
        <w:rPr>
          <w:rFonts w:hint="eastAsia" w:ascii="仿宋_GB2312" w:hAnsi="仿宋_GB2312" w:eastAsia="仿宋_GB2312" w:cs="仿宋_GB2312"/>
          <w:color w:val="auto"/>
          <w:sz w:val="32"/>
          <w:szCs w:val="32"/>
          <w:lang w:eastAsia="zh-CN"/>
        </w:rPr>
        <w:t>。</w:t>
      </w:r>
    </w:p>
    <w:p w14:paraId="69B1DC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CESI黑体-GB2312" w:hAnsi="CESI黑体-GB2312" w:eastAsia="CESI黑体-GB2312" w:cs="CESI黑体-GB2312"/>
          <w:b w:val="0"/>
          <w:bCs w:val="0"/>
          <w:sz w:val="32"/>
          <w:szCs w:val="32"/>
          <w:lang w:eastAsia="zh-CN"/>
        </w:rPr>
        <w:t>一、</w:t>
      </w:r>
      <w:r>
        <w:rPr>
          <w:rFonts w:hint="eastAsia" w:ascii="CESI黑体-GB2312" w:hAnsi="CESI黑体-GB2312" w:eastAsia="CESI黑体-GB2312" w:cs="CESI黑体-GB2312"/>
          <w:b w:val="0"/>
          <w:bCs w:val="0"/>
          <w:sz w:val="32"/>
          <w:szCs w:val="32"/>
        </w:rPr>
        <w:t>总体情况</w:t>
      </w:r>
    </w:p>
    <w:p w14:paraId="56BA31C1">
      <w:pPr>
        <w:keepNext w:val="0"/>
        <w:keepLines w:val="0"/>
        <w:widowControl/>
        <w:suppressLineNumbers w:val="0"/>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i w:val="0"/>
          <w:iCs w:val="0"/>
          <w:caps w:val="0"/>
          <w:color w:val="000000"/>
          <w:spacing w:val="0"/>
          <w:sz w:val="32"/>
          <w:szCs w:val="32"/>
        </w:rPr>
        <w:t>202</w:t>
      </w:r>
      <w:r>
        <w:rPr>
          <w:rFonts w:hint="eastAsia" w:ascii="仿宋_GB2312" w:hAnsi="仿宋_GB2312" w:eastAsia="仿宋_GB2312" w:cs="仿宋_GB2312"/>
          <w:b w:val="0"/>
          <w:bCs w:val="0"/>
          <w:i w:val="0"/>
          <w:iCs w:val="0"/>
          <w:caps w:val="0"/>
          <w:color w:val="000000"/>
          <w:spacing w:val="0"/>
          <w:sz w:val="32"/>
          <w:szCs w:val="32"/>
          <w:lang w:val="en-US" w:eastAsia="zh-CN"/>
        </w:rPr>
        <w:t>5</w:t>
      </w:r>
      <w:r>
        <w:rPr>
          <w:rFonts w:hint="eastAsia" w:ascii="仿宋_GB2312" w:hAnsi="仿宋_GB2312" w:eastAsia="仿宋_GB2312" w:cs="仿宋_GB2312"/>
          <w:b w:val="0"/>
          <w:bCs w:val="0"/>
          <w:i w:val="0"/>
          <w:iCs w:val="0"/>
          <w:caps w:val="0"/>
          <w:color w:val="000000"/>
          <w:spacing w:val="0"/>
          <w:sz w:val="32"/>
          <w:szCs w:val="32"/>
        </w:rPr>
        <w:t>年，</w:t>
      </w:r>
      <w:r>
        <w:rPr>
          <w:rFonts w:hint="eastAsia" w:ascii="仿宋_GB2312" w:hAnsi="仿宋_GB2312" w:eastAsia="仿宋_GB2312" w:cs="仿宋_GB2312"/>
          <w:b w:val="0"/>
          <w:bCs w:val="0"/>
          <w:color w:val="auto"/>
          <w:sz w:val="32"/>
          <w:szCs w:val="32"/>
        </w:rPr>
        <w:t>冠县</w:t>
      </w:r>
      <w:r>
        <w:rPr>
          <w:rFonts w:hint="eastAsia" w:ascii="仿宋_GB2312" w:hAnsi="仿宋_GB2312" w:eastAsia="仿宋_GB2312" w:cs="仿宋_GB2312"/>
          <w:b w:val="0"/>
          <w:bCs w:val="0"/>
          <w:color w:val="auto"/>
          <w:sz w:val="32"/>
          <w:szCs w:val="32"/>
          <w:lang w:eastAsia="zh-CN"/>
        </w:rPr>
        <w:t>崇文街道办事处</w:t>
      </w:r>
      <w:r>
        <w:rPr>
          <w:rFonts w:hint="eastAsia" w:ascii="仿宋_GB2312" w:hAnsi="仿宋_GB2312" w:eastAsia="仿宋_GB2312" w:cs="仿宋_GB2312"/>
          <w:b w:val="0"/>
          <w:bCs w:val="0"/>
          <w:i w:val="0"/>
          <w:iCs w:val="0"/>
          <w:caps w:val="0"/>
          <w:color w:val="000000"/>
          <w:spacing w:val="0"/>
          <w:sz w:val="32"/>
          <w:szCs w:val="32"/>
          <w:lang w:val="en-US" w:eastAsia="zh-CN"/>
        </w:rPr>
        <w:t>深入贯彻落实《中华人民共和国政府信息公开条例》及省、市、县关于政府信息公开的工作部署要求，</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秉持“公开为常态、不公开为例外”原则，聚焦群众关切，优化公开路径、完善工作机制，推动政务公开与基层治理协同发力，</w:t>
      </w:r>
      <w:r>
        <w:rPr>
          <w:rFonts w:hint="eastAsia" w:ascii="仿宋_GB2312" w:hAnsi="仿宋_GB2312" w:eastAsia="仿宋_GB2312" w:cs="仿宋_GB2312"/>
          <w:b w:val="0"/>
          <w:bCs w:val="0"/>
          <w:i w:val="0"/>
          <w:iCs w:val="0"/>
          <w:caps w:val="0"/>
          <w:color w:val="000000"/>
          <w:spacing w:val="0"/>
          <w:sz w:val="32"/>
          <w:szCs w:val="32"/>
          <w:lang w:val="en-US" w:eastAsia="zh-CN"/>
        </w:rPr>
        <w:t>扎实推进政府信息公开各项工作，有效保障了人民群众的知情权、参与权、表达权、监督权。</w:t>
      </w:r>
    </w:p>
    <w:p w14:paraId="156388E1">
      <w:pPr>
        <w:keepNext w:val="0"/>
        <w:keepLines w:val="0"/>
        <w:pageBreakBefore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主动公开</w:t>
      </w:r>
    </w:p>
    <w:p w14:paraId="1DB4D3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lang w:val="en-US" w:eastAsia="zh-CN"/>
        </w:rPr>
        <w:t>2025年，</w:t>
      </w:r>
      <w:r>
        <w:rPr>
          <w:rFonts w:hint="eastAsia" w:ascii="仿宋_GB2312" w:hAnsi="仿宋_GB2312" w:eastAsia="仿宋_GB2312" w:cs="仿宋_GB2312"/>
          <w:b w:val="0"/>
          <w:bCs w:val="0"/>
          <w:i w:val="0"/>
          <w:iCs w:val="0"/>
          <w:caps w:val="0"/>
          <w:color w:val="000000"/>
          <w:spacing w:val="0"/>
          <w:sz w:val="32"/>
          <w:szCs w:val="32"/>
          <w:lang w:eastAsia="zh-CN"/>
        </w:rPr>
        <w:t>通过冠县人民政府网站主动公开发布政府信息</w:t>
      </w:r>
      <w:r>
        <w:rPr>
          <w:rFonts w:hint="eastAsia" w:ascii="仿宋_GB2312" w:hAnsi="仿宋_GB2312" w:eastAsia="仿宋_GB2312" w:cs="仿宋_GB2312"/>
          <w:b w:val="0"/>
          <w:bCs w:val="0"/>
          <w:i w:val="0"/>
          <w:iCs w:val="0"/>
          <w:caps w:val="0"/>
          <w:color w:val="000000"/>
          <w:spacing w:val="0"/>
          <w:sz w:val="32"/>
          <w:szCs w:val="32"/>
          <w:lang w:val="en-US" w:eastAsia="zh-CN"/>
        </w:rPr>
        <w:t>59条，主要包括</w:t>
      </w:r>
      <w:r>
        <w:rPr>
          <w:rFonts w:hint="eastAsia" w:ascii="仿宋_GB2312" w:hAnsi="仿宋_GB2312" w:eastAsia="仿宋_GB2312" w:cs="仿宋_GB2312"/>
          <w:b w:val="0"/>
          <w:bCs w:val="0"/>
          <w:i w:val="0"/>
          <w:iCs w:val="0"/>
          <w:caps w:val="0"/>
          <w:color w:val="auto"/>
          <w:spacing w:val="0"/>
          <w:sz w:val="32"/>
          <w:szCs w:val="32"/>
          <w:lang w:val="en-US" w:eastAsia="zh-CN"/>
        </w:rPr>
        <w:t>基础建设</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2条、法治政府年报1条、公开指南1条、建议提案</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16条、行政执法</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8条、工作动态</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24条、组织管理</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2条、财政信息2条、通知公告2条、涉农补贴</w:t>
      </w:r>
      <w:r>
        <w:rPr>
          <w:rFonts w:ascii="仿宋_GB2312" w:hAnsi="宋体" w:eastAsia="仿宋_GB2312" w:cs="仿宋_GB2312"/>
          <w:i w:val="0"/>
          <w:iCs w:val="0"/>
          <w:caps w:val="0"/>
          <w:color w:val="000000"/>
          <w:spacing w:val="0"/>
          <w:sz w:val="32"/>
          <w:szCs w:val="32"/>
        </w:rPr>
        <w:t>信息</w:t>
      </w:r>
      <w:r>
        <w:rPr>
          <w:rFonts w:hint="eastAsia" w:ascii="仿宋_GB2312" w:hAnsi="仿宋_GB2312" w:eastAsia="仿宋_GB2312" w:cs="仿宋_GB2312"/>
          <w:b w:val="0"/>
          <w:bCs w:val="0"/>
          <w:i w:val="0"/>
          <w:iCs w:val="0"/>
          <w:caps w:val="0"/>
          <w:color w:val="auto"/>
          <w:spacing w:val="0"/>
          <w:sz w:val="32"/>
          <w:szCs w:val="32"/>
          <w:lang w:val="en-US" w:eastAsia="zh-CN"/>
        </w:rPr>
        <w:t>1条</w:t>
      </w:r>
      <w:r>
        <w:rPr>
          <w:rFonts w:hint="eastAsia" w:ascii="仿宋_GB2312" w:hAnsi="仿宋_GB2312" w:eastAsia="仿宋_GB2312" w:cs="仿宋_GB2312"/>
          <w:b w:val="0"/>
          <w:bCs w:val="0"/>
          <w:i w:val="0"/>
          <w:iCs w:val="0"/>
          <w:caps w:val="0"/>
          <w:color w:val="000000"/>
          <w:spacing w:val="0"/>
          <w:sz w:val="32"/>
          <w:szCs w:val="32"/>
          <w:lang w:val="en-US" w:eastAsia="zh-CN"/>
        </w:rPr>
        <w:t>。</w:t>
      </w:r>
    </w:p>
    <w:p w14:paraId="0AFC685A">
      <w:pPr>
        <w:pStyle w:val="2"/>
        <w:rPr>
          <w:rFonts w:hint="eastAsia"/>
          <w:lang w:val="en-US" w:eastAsia="zh-CN"/>
        </w:rPr>
      </w:pPr>
    </w:p>
    <w:p w14:paraId="74482BBB">
      <w:pPr>
        <w:keepNext w:val="0"/>
        <w:keepLines w:val="0"/>
        <w:pageBreakBefore w:val="0"/>
        <w:numPr>
          <w:ilvl w:val="0"/>
          <w:numId w:val="0"/>
        </w:numPr>
        <w:kinsoku/>
        <w:wordWrap/>
        <w:overflowPunct/>
        <w:topLinePunct w:val="0"/>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bCs/>
          <w:i w:val="0"/>
          <w:iCs w:val="0"/>
          <w:caps w:val="0"/>
          <w:color w:val="000000"/>
          <w:spacing w:val="0"/>
          <w:sz w:val="32"/>
          <w:szCs w:val="32"/>
          <w:lang w:val="en-US" w:eastAsia="zh-CN"/>
        </w:rPr>
        <w:drawing>
          <wp:inline distT="0" distB="0" distL="114300" distR="114300">
            <wp:extent cx="4591050" cy="2762250"/>
            <wp:effectExtent l="0" t="0" r="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4"/>
                    <a:stretch>
                      <a:fillRect/>
                    </a:stretch>
                  </pic:blipFill>
                  <pic:spPr>
                    <a:xfrm>
                      <a:off x="0" y="0"/>
                      <a:ext cx="4591050" cy="2762250"/>
                    </a:xfrm>
                    <a:prstGeom prst="rect">
                      <a:avLst/>
                    </a:prstGeom>
                  </pic:spPr>
                </pic:pic>
              </a:graphicData>
            </a:graphic>
          </wp:inline>
        </w:drawing>
      </w:r>
    </w:p>
    <w:p w14:paraId="5CF4A6A0">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w:t>
      </w:r>
      <w:r>
        <w:rPr>
          <w:rFonts w:hint="eastAsia" w:ascii="CESI楷体-GB2312" w:hAnsi="CESI楷体-GB2312" w:eastAsia="CESI楷体-GB2312" w:cs="CESI楷体-GB2312"/>
          <w:b/>
          <w:bCs/>
          <w:sz w:val="32"/>
          <w:szCs w:val="32"/>
        </w:rPr>
        <w:t>依申请公开</w:t>
      </w:r>
    </w:p>
    <w:p w14:paraId="7D98E4D2">
      <w:pPr>
        <w:ind w:firstLine="640" w:firstLineChars="200"/>
        <w:rPr>
          <w:rFonts w:hint="eastAsia" w:ascii="仿宋_GB2312" w:eastAsia="仿宋_GB2312" w:cs="汉仪中等线简"/>
          <w:sz w:val="32"/>
          <w:szCs w:val="32"/>
          <w:lang w:eastAsia="zh-CN"/>
        </w:rPr>
      </w:pPr>
      <w:r>
        <w:rPr>
          <w:rFonts w:hint="eastAsia" w:ascii="仿宋_GB2312" w:eastAsia="仿宋_GB2312"/>
          <w:color w:val="auto"/>
          <w:sz w:val="32"/>
          <w:szCs w:val="32"/>
          <w:lang w:val="en-US" w:eastAsia="zh-CN"/>
        </w:rPr>
        <w:t>2025年，共受理政府信息公开申请0件。</w:t>
      </w:r>
      <w:r>
        <w:rPr>
          <w:rFonts w:hint="eastAsia" w:ascii="仿宋_GB2312" w:eastAsia="仿宋_GB2312" w:cs="汉仪中等线简"/>
          <w:sz w:val="32"/>
          <w:szCs w:val="32"/>
          <w:lang w:eastAsia="zh-CN"/>
        </w:rPr>
        <w:t>全年未发生因政府信息公开被行政复议、提起行政诉讼情况。</w:t>
      </w:r>
    </w:p>
    <w:p w14:paraId="622397C1">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lang w:eastAsia="zh-CN"/>
        </w:rPr>
        <w:t>（三）</w:t>
      </w:r>
      <w:r>
        <w:rPr>
          <w:rFonts w:hint="eastAsia" w:ascii="CESI楷体-GB2312" w:hAnsi="CESI楷体-GB2312" w:eastAsia="CESI楷体-GB2312" w:cs="CESI楷体-GB2312"/>
          <w:b/>
          <w:bCs/>
          <w:sz w:val="32"/>
          <w:szCs w:val="32"/>
        </w:rPr>
        <w:t>政府信息管理</w:t>
      </w:r>
    </w:p>
    <w:p w14:paraId="3E4F65A5">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崇文</w:t>
      </w:r>
      <w:r>
        <w:rPr>
          <w:rFonts w:hint="eastAsia" w:ascii="仿宋_GB2312" w:eastAsia="仿宋_GB2312"/>
          <w:sz w:val="32"/>
          <w:szCs w:val="32"/>
        </w:rPr>
        <w:t>街道继续按照“应公开尽公开”原则，调整更新了信息公开指南，高度重视信息管理和网上信息发布工作，严格审核把关网上信息公开内容，确保上网信息的安全性、真实性、准确性。严格执行信息发布、保密审查等审核制度，有效确保无泄密事件发生。</w:t>
      </w:r>
    </w:p>
    <w:p w14:paraId="031FC73D">
      <w:pPr>
        <w:keepNext w:val="0"/>
        <w:keepLines w:val="0"/>
        <w:pageBreakBefore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政府信息公开平台建设</w:t>
      </w:r>
    </w:p>
    <w:p w14:paraId="3BF974A3">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街道</w:t>
      </w:r>
      <w:r>
        <w:rPr>
          <w:rFonts w:hint="eastAsia" w:ascii="仿宋_GB2312" w:eastAsia="仿宋_GB2312"/>
          <w:sz w:val="32"/>
          <w:szCs w:val="32"/>
        </w:rPr>
        <w:t>以</w:t>
      </w:r>
      <w:r>
        <w:rPr>
          <w:rFonts w:hint="eastAsia" w:ascii="仿宋_GB2312" w:eastAsia="仿宋_GB2312"/>
          <w:sz w:val="32"/>
          <w:szCs w:val="32"/>
          <w:lang w:eastAsia="zh-CN"/>
        </w:rPr>
        <w:t>县</w:t>
      </w:r>
      <w:r>
        <w:rPr>
          <w:rFonts w:hint="eastAsia" w:ascii="仿宋_GB2312" w:eastAsia="仿宋_GB2312"/>
          <w:sz w:val="32"/>
          <w:szCs w:val="32"/>
        </w:rPr>
        <w:t>政府门户网站为主要公开平台，同时依托</w:t>
      </w:r>
      <w:r>
        <w:rPr>
          <w:rFonts w:ascii="仿宋_GB2312" w:hAnsi="宋体" w:eastAsia="仿宋_GB2312" w:cs="仿宋_GB2312"/>
          <w:i w:val="0"/>
          <w:iCs w:val="0"/>
          <w:caps w:val="0"/>
          <w:color w:val="000000"/>
          <w:spacing w:val="0"/>
          <w:sz w:val="32"/>
          <w:szCs w:val="32"/>
        </w:rPr>
        <w:t>政务公开专区</w:t>
      </w:r>
      <w:r>
        <w:rPr>
          <w:rFonts w:hint="eastAsia" w:ascii="仿宋_GB2312" w:eastAsia="仿宋_GB2312"/>
          <w:sz w:val="32"/>
          <w:szCs w:val="32"/>
        </w:rPr>
        <w:t>等线下渠道，通过线上线下平台的协同联动，建立常态化信息更新机制，推动政务公开全流程实现标准化、规范化运行，有效提升</w:t>
      </w:r>
      <w:r>
        <w:rPr>
          <w:rFonts w:hint="eastAsia" w:ascii="仿宋_GB2312" w:eastAsia="仿宋_GB2312"/>
          <w:sz w:val="32"/>
          <w:szCs w:val="32"/>
          <w:lang w:eastAsia="zh-CN"/>
        </w:rPr>
        <w:t>阳光</w:t>
      </w:r>
      <w:r>
        <w:rPr>
          <w:rFonts w:hint="eastAsia" w:ascii="仿宋_GB2312" w:eastAsia="仿宋_GB2312"/>
          <w:sz w:val="32"/>
          <w:szCs w:val="32"/>
        </w:rPr>
        <w:t>政务的透明度与社会公众的参与积极性</w:t>
      </w:r>
      <w:r>
        <w:rPr>
          <w:rFonts w:hint="eastAsia" w:ascii="仿宋_GB2312" w:eastAsia="仿宋_GB2312"/>
          <w:sz w:val="32"/>
          <w:szCs w:val="32"/>
          <w:lang w:eastAsia="zh-CN"/>
        </w:rPr>
        <w:t>，</w:t>
      </w:r>
      <w:r>
        <w:rPr>
          <w:rFonts w:hint="eastAsia" w:ascii="仿宋_GB2312" w:eastAsia="仿宋_GB2312"/>
          <w:sz w:val="32"/>
          <w:szCs w:val="32"/>
        </w:rPr>
        <w:t>全方位保障人民群众的知情权、参与权和监督权。</w:t>
      </w:r>
      <w:r>
        <w:rPr>
          <w:rFonts w:hint="eastAsia" w:ascii="仿宋_GB2312" w:eastAsia="仿宋_GB2312"/>
          <w:sz w:val="32"/>
          <w:szCs w:val="32"/>
          <w:lang w:val="en-US" w:eastAsia="zh-CN"/>
        </w:rPr>
        <w:drawing>
          <wp:inline distT="0" distB="0" distL="114300" distR="114300">
            <wp:extent cx="5263515" cy="2960370"/>
            <wp:effectExtent l="0" t="0" r="13335" b="11430"/>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5"/>
                    <a:stretch>
                      <a:fillRect/>
                    </a:stretch>
                  </pic:blipFill>
                  <pic:spPr>
                    <a:xfrm>
                      <a:off x="0" y="0"/>
                      <a:ext cx="5263515" cy="2960370"/>
                    </a:xfrm>
                    <a:prstGeom prst="rect">
                      <a:avLst/>
                    </a:prstGeom>
                  </pic:spPr>
                </pic:pic>
              </a:graphicData>
            </a:graphic>
          </wp:inline>
        </w:drawing>
      </w:r>
    </w:p>
    <w:p w14:paraId="168ED705">
      <w:pPr>
        <w:keepNext w:val="0"/>
        <w:keepLines w:val="0"/>
        <w:pageBreakBefore w:val="0"/>
        <w:numPr>
          <w:ilvl w:val="0"/>
          <w:numId w:val="2"/>
        </w:numPr>
        <w:kinsoku/>
        <w:wordWrap/>
        <w:overflowPunct/>
        <w:topLinePunct w:val="0"/>
        <w:autoSpaceDE/>
        <w:autoSpaceDN/>
        <w:bidi w:val="0"/>
        <w:adjustRightInd/>
        <w:snapToGrid/>
        <w:spacing w:line="600" w:lineRule="exact"/>
        <w:ind w:left="0" w:leftChars="0" w:firstLine="643" w:firstLineChars="200"/>
        <w:textAlignment w:val="auto"/>
        <w:rPr>
          <w:rFonts w:hint="eastAsia" w:ascii="CESI楷体-GB2312" w:hAnsi="CESI楷体-GB2312" w:eastAsia="CESI楷体-GB2312" w:cs="CESI楷体-GB2312"/>
          <w:b/>
          <w:bCs/>
          <w:sz w:val="32"/>
          <w:szCs w:val="32"/>
        </w:rPr>
      </w:pPr>
      <w:r>
        <w:rPr>
          <w:rFonts w:hint="eastAsia" w:ascii="CESI楷体-GB2312" w:hAnsi="CESI楷体-GB2312" w:eastAsia="CESI楷体-GB2312" w:cs="CESI楷体-GB2312"/>
          <w:b/>
          <w:bCs/>
          <w:sz w:val="32"/>
          <w:szCs w:val="32"/>
        </w:rPr>
        <w:t>监督保障</w:t>
      </w:r>
    </w:p>
    <w:p w14:paraId="7E25E8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为进一步加强领导，完善政府信息公开机制，我街把政府信息公开纳入年度工作的重要议事日程，明确目标，落实责任。严格落实信息按期发布、动态更新的工作要求，主动接受社会各界监督，切实为广大群众提供更加便捷高效的政务服务。</w:t>
      </w:r>
    </w:p>
    <w:p w14:paraId="4FD0D892">
      <w:pPr>
        <w:pStyle w:val="2"/>
        <w:rPr>
          <w:rFonts w:hint="eastAsia"/>
        </w:rPr>
      </w:pPr>
    </w:p>
    <w:p w14:paraId="64D9AEA5">
      <w:pPr>
        <w:rPr>
          <w:rFonts w:hint="eastAsia"/>
        </w:rPr>
      </w:pPr>
    </w:p>
    <w:p w14:paraId="7661A446">
      <w:pPr>
        <w:pStyle w:val="2"/>
        <w:rPr>
          <w:rFonts w:hint="eastAsia"/>
        </w:rPr>
      </w:pPr>
    </w:p>
    <w:p w14:paraId="4454E0E6">
      <w:pPr>
        <w:pStyle w:val="3"/>
        <w:numPr>
          <w:ilvl w:val="0"/>
          <w:numId w:val="0"/>
        </w:numPr>
        <w:spacing w:before="0" w:after="0" w:line="240" w:lineRule="auto"/>
        <w:ind w:firstLine="640" w:firstLineChars="200"/>
        <w:rPr>
          <w:rFonts w:hint="eastAsia"/>
        </w:rPr>
      </w:pPr>
      <w:r>
        <w:rPr>
          <w:rFonts w:hint="eastAsia" w:ascii="CESI黑体-GB2312" w:hAnsi="CESI黑体-GB2312" w:eastAsia="CESI黑体-GB2312" w:cs="CESI黑体-GB2312"/>
          <w:b w:val="0"/>
          <w:bCs w:val="0"/>
          <w:lang w:eastAsia="zh-CN"/>
        </w:rPr>
        <w:t>二、</w:t>
      </w:r>
      <w:r>
        <w:rPr>
          <w:rFonts w:hint="eastAsia" w:ascii="CESI黑体-GB2312" w:hAnsi="CESI黑体-GB2312" w:eastAsia="CESI黑体-GB2312" w:cs="CESI黑体-GB2312"/>
          <w:b w:val="0"/>
          <w:bCs w:val="0"/>
        </w:rPr>
        <w:t>主动公开政府信息情况</w:t>
      </w:r>
    </w:p>
    <w:tbl>
      <w:tblPr>
        <w:tblStyle w:val="6"/>
        <w:tblpPr w:leftFromText="180" w:rightFromText="180" w:vertAnchor="text" w:horzAnchor="page" w:tblpXSpec="center" w:tblpY="596"/>
        <w:tblOverlap w:val="never"/>
        <w:tblW w:w="5000" w:type="pct"/>
        <w:jc w:val="center"/>
        <w:tblLayout w:type="autofit"/>
        <w:tblCellMar>
          <w:top w:w="0" w:type="dxa"/>
          <w:left w:w="108" w:type="dxa"/>
          <w:bottom w:w="0" w:type="dxa"/>
          <w:right w:w="108" w:type="dxa"/>
        </w:tblCellMar>
      </w:tblPr>
      <w:tblGrid>
        <w:gridCol w:w="2130"/>
        <w:gridCol w:w="2130"/>
        <w:gridCol w:w="2131"/>
        <w:gridCol w:w="2131"/>
      </w:tblGrid>
      <w:tr w14:paraId="34BF4721">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1B5E0E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E912EA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38D813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5A3F339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4F9AE65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1E55B9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5FB36CB">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4860CB1">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5691763C">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EF2531C">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D3C990A">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4171DD05">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748B290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41E7272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1CA60F9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03A69C0">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3E7FFA1A">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A024EC3">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0036FBC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0402381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06DE00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57F498D">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394FA7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1998312F">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14:paraId="38520168">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8D88C0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77B2EF7">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4704F8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235BD3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31DE3DAA">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1D84EFFB">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C49DDED">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331515A2">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4F5E24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46C79466">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135B9BBF">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ACFADFA">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04E3A3D8">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25D07D1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38C9555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81C8297">
        <w:tblPrEx>
          <w:tblCellMar>
            <w:top w:w="0" w:type="dxa"/>
            <w:left w:w="108" w:type="dxa"/>
            <w:bottom w:w="0" w:type="dxa"/>
            <w:right w:w="108" w:type="dxa"/>
          </w:tblCellMar>
        </w:tblPrEx>
        <w:trPr>
          <w:trHeight w:val="567" w:hRule="atLeast"/>
          <w:jc w:val="center"/>
        </w:trPr>
        <w:tc>
          <w:tcPr>
            <w:tcW w:w="1250" w:type="pct"/>
            <w:tcBorders>
              <w:top w:val="nil"/>
              <w:left w:val="single" w:color="auto" w:sz="8" w:space="0"/>
              <w:bottom w:val="single" w:color="auto" w:sz="8" w:space="0"/>
              <w:right w:val="single" w:color="auto" w:sz="8" w:space="0"/>
            </w:tcBorders>
            <w:noWrap w:val="0"/>
            <w:vAlign w:val="center"/>
          </w:tcPr>
          <w:p w14:paraId="42140D9E">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2390B14F">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14:paraId="4DE13833">
      <w:pPr>
        <w:numPr>
          <w:ilvl w:val="0"/>
          <w:numId w:val="0"/>
        </w:numPr>
        <w:rPr>
          <w:rFonts w:hint="eastAsia"/>
        </w:rPr>
      </w:pPr>
    </w:p>
    <w:p w14:paraId="353430A8">
      <w:pPr>
        <w:ind w:firstLine="640" w:firstLineChars="200"/>
        <w:jc w:val="left"/>
        <w:rPr>
          <w:rFonts w:hint="eastAsia" w:ascii="CESI黑体-GB2312" w:hAnsi="CESI黑体-GB2312" w:eastAsia="CESI黑体-GB2312" w:cs="CESI黑体-GB2312"/>
          <w:sz w:val="32"/>
          <w:szCs w:val="32"/>
          <w:lang w:eastAsia="zh-CN"/>
        </w:rPr>
      </w:pPr>
    </w:p>
    <w:p w14:paraId="5250D449">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三、</w:t>
      </w:r>
      <w:r>
        <w:rPr>
          <w:rFonts w:hint="eastAsia" w:ascii="CESI黑体-GB2312" w:hAnsi="CESI黑体-GB2312" w:eastAsia="CESI黑体-GB2312" w:cs="CESI黑体-GB2312"/>
          <w:sz w:val="32"/>
          <w:szCs w:val="32"/>
        </w:rPr>
        <w:t>收到和处理政府信息公开申请情况</w:t>
      </w:r>
    </w:p>
    <w:tbl>
      <w:tblPr>
        <w:tblStyle w:val="6"/>
        <w:tblW w:w="91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84"/>
        <w:gridCol w:w="1606"/>
        <w:gridCol w:w="2966"/>
        <w:gridCol w:w="515"/>
        <w:gridCol w:w="523"/>
        <w:gridCol w:w="523"/>
        <w:gridCol w:w="674"/>
        <w:gridCol w:w="653"/>
        <w:gridCol w:w="527"/>
        <w:gridCol w:w="788"/>
      </w:tblGrid>
      <w:tr w14:paraId="6965C3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4956" w:type="dxa"/>
            <w:gridSpan w:val="3"/>
            <w:vMerge w:val="restart"/>
            <w:noWrap w:val="0"/>
            <w:tcMar>
              <w:left w:w="108" w:type="dxa"/>
              <w:right w:w="108" w:type="dxa"/>
            </w:tcMar>
            <w:vAlign w:val="center"/>
          </w:tcPr>
          <w:p w14:paraId="6CD07B41">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550072FB">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203" w:type="dxa"/>
            <w:gridSpan w:val="7"/>
            <w:noWrap w:val="0"/>
            <w:tcMar>
              <w:left w:w="108" w:type="dxa"/>
              <w:right w:w="108" w:type="dxa"/>
            </w:tcMar>
            <w:vAlign w:val="center"/>
          </w:tcPr>
          <w:p w14:paraId="1602C2E1">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2C23CD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4956" w:type="dxa"/>
            <w:gridSpan w:val="3"/>
            <w:vMerge w:val="continue"/>
            <w:noWrap w:val="0"/>
            <w:tcMar>
              <w:left w:w="108" w:type="dxa"/>
              <w:right w:w="108" w:type="dxa"/>
            </w:tcMar>
            <w:vAlign w:val="center"/>
          </w:tcPr>
          <w:p w14:paraId="613C4E4B">
            <w:pPr>
              <w:jc w:val="center"/>
              <w:rPr>
                <w:rFonts w:ascii="仿宋_GB2312" w:hAnsi="Times New Roman" w:eastAsia="仿宋_GB2312"/>
                <w:szCs w:val="21"/>
              </w:rPr>
            </w:pPr>
          </w:p>
        </w:tc>
        <w:tc>
          <w:tcPr>
            <w:tcW w:w="515" w:type="dxa"/>
            <w:vMerge w:val="restart"/>
            <w:noWrap w:val="0"/>
            <w:tcMar>
              <w:left w:w="108" w:type="dxa"/>
              <w:right w:w="108" w:type="dxa"/>
            </w:tcMar>
            <w:vAlign w:val="center"/>
          </w:tcPr>
          <w:p w14:paraId="3FB81BCB">
            <w:pPr>
              <w:widowControl/>
              <w:jc w:val="center"/>
              <w:rPr>
                <w:rFonts w:ascii="黑体" w:hAnsi="黑体" w:eastAsia="黑体"/>
                <w:szCs w:val="21"/>
              </w:rPr>
            </w:pPr>
            <w:r>
              <w:rPr>
                <w:rFonts w:hint="eastAsia" w:ascii="黑体" w:hAnsi="黑体" w:eastAsia="黑体"/>
                <w:kern w:val="0"/>
                <w:szCs w:val="21"/>
              </w:rPr>
              <w:t>自然人</w:t>
            </w:r>
          </w:p>
        </w:tc>
        <w:tc>
          <w:tcPr>
            <w:tcW w:w="2900" w:type="dxa"/>
            <w:gridSpan w:val="5"/>
            <w:noWrap w:val="0"/>
            <w:tcMar>
              <w:left w:w="108" w:type="dxa"/>
              <w:right w:w="108" w:type="dxa"/>
            </w:tcMar>
            <w:vAlign w:val="center"/>
          </w:tcPr>
          <w:p w14:paraId="63CFB16F">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88" w:type="dxa"/>
            <w:vMerge w:val="restart"/>
            <w:noWrap w:val="0"/>
            <w:tcMar>
              <w:left w:w="108" w:type="dxa"/>
              <w:right w:w="108" w:type="dxa"/>
            </w:tcMar>
            <w:vAlign w:val="center"/>
          </w:tcPr>
          <w:p w14:paraId="0676348D">
            <w:pPr>
              <w:widowControl/>
              <w:jc w:val="center"/>
              <w:rPr>
                <w:rFonts w:ascii="黑体" w:hAnsi="黑体" w:eastAsia="黑体"/>
                <w:szCs w:val="21"/>
              </w:rPr>
            </w:pPr>
            <w:r>
              <w:rPr>
                <w:rFonts w:hint="eastAsia" w:ascii="黑体" w:hAnsi="黑体" w:eastAsia="黑体"/>
                <w:kern w:val="0"/>
                <w:szCs w:val="21"/>
              </w:rPr>
              <w:t>总计</w:t>
            </w:r>
          </w:p>
        </w:tc>
      </w:tr>
      <w:tr w14:paraId="735BA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4" w:hRule="atLeast"/>
          <w:jc w:val="center"/>
        </w:trPr>
        <w:tc>
          <w:tcPr>
            <w:tcW w:w="4956" w:type="dxa"/>
            <w:gridSpan w:val="3"/>
            <w:vMerge w:val="continue"/>
            <w:noWrap w:val="0"/>
            <w:tcMar>
              <w:left w:w="108" w:type="dxa"/>
              <w:right w:w="108" w:type="dxa"/>
            </w:tcMar>
            <w:vAlign w:val="center"/>
          </w:tcPr>
          <w:p w14:paraId="1E6C9C8E">
            <w:pPr>
              <w:jc w:val="center"/>
              <w:rPr>
                <w:rFonts w:ascii="仿宋_GB2312" w:hAnsi="Times New Roman" w:eastAsia="仿宋_GB2312"/>
                <w:szCs w:val="21"/>
              </w:rPr>
            </w:pPr>
          </w:p>
        </w:tc>
        <w:tc>
          <w:tcPr>
            <w:tcW w:w="515" w:type="dxa"/>
            <w:vMerge w:val="continue"/>
            <w:noWrap w:val="0"/>
            <w:tcMar>
              <w:left w:w="108" w:type="dxa"/>
              <w:right w:w="108" w:type="dxa"/>
            </w:tcMar>
            <w:vAlign w:val="center"/>
          </w:tcPr>
          <w:p w14:paraId="4EA74432">
            <w:pPr>
              <w:jc w:val="center"/>
              <w:rPr>
                <w:rFonts w:ascii="黑体" w:hAnsi="黑体" w:eastAsia="黑体"/>
                <w:szCs w:val="21"/>
              </w:rPr>
            </w:pPr>
          </w:p>
        </w:tc>
        <w:tc>
          <w:tcPr>
            <w:tcW w:w="523" w:type="dxa"/>
            <w:noWrap w:val="0"/>
            <w:tcMar>
              <w:left w:w="108" w:type="dxa"/>
              <w:right w:w="108" w:type="dxa"/>
            </w:tcMar>
            <w:vAlign w:val="center"/>
          </w:tcPr>
          <w:p w14:paraId="720AAE1F">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23" w:type="dxa"/>
            <w:noWrap w:val="0"/>
            <w:tcMar>
              <w:left w:w="108" w:type="dxa"/>
              <w:right w:w="108" w:type="dxa"/>
            </w:tcMar>
            <w:vAlign w:val="center"/>
          </w:tcPr>
          <w:p w14:paraId="5E89D29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674" w:type="dxa"/>
            <w:noWrap w:val="0"/>
            <w:tcMar>
              <w:left w:w="108" w:type="dxa"/>
              <w:right w:w="108" w:type="dxa"/>
            </w:tcMar>
            <w:vAlign w:val="center"/>
          </w:tcPr>
          <w:p w14:paraId="715D552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53" w:type="dxa"/>
            <w:noWrap w:val="0"/>
            <w:tcMar>
              <w:left w:w="108" w:type="dxa"/>
              <w:right w:w="108" w:type="dxa"/>
            </w:tcMar>
            <w:vAlign w:val="center"/>
          </w:tcPr>
          <w:p w14:paraId="72854733">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7" w:type="dxa"/>
            <w:noWrap w:val="0"/>
            <w:tcMar>
              <w:left w:w="108" w:type="dxa"/>
              <w:right w:w="108" w:type="dxa"/>
            </w:tcMar>
            <w:vAlign w:val="center"/>
          </w:tcPr>
          <w:p w14:paraId="14341E58">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88" w:type="dxa"/>
            <w:vMerge w:val="continue"/>
            <w:noWrap w:val="0"/>
            <w:tcMar>
              <w:left w:w="108" w:type="dxa"/>
              <w:right w:w="108" w:type="dxa"/>
            </w:tcMar>
            <w:vAlign w:val="center"/>
          </w:tcPr>
          <w:p w14:paraId="7C3D971D">
            <w:pPr>
              <w:jc w:val="center"/>
              <w:rPr>
                <w:rFonts w:ascii="仿宋_GB2312" w:hAnsi="Times New Roman" w:eastAsia="仿宋_GB2312"/>
                <w:szCs w:val="21"/>
              </w:rPr>
            </w:pPr>
          </w:p>
        </w:tc>
      </w:tr>
      <w:tr w14:paraId="7D115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4956" w:type="dxa"/>
            <w:gridSpan w:val="3"/>
            <w:noWrap w:val="0"/>
            <w:tcMar>
              <w:left w:w="108" w:type="dxa"/>
              <w:right w:w="108" w:type="dxa"/>
            </w:tcMar>
            <w:vAlign w:val="center"/>
          </w:tcPr>
          <w:p w14:paraId="5E56DC5F">
            <w:pPr>
              <w:widowControl/>
              <w:rPr>
                <w:rFonts w:ascii="黑体" w:hAnsi="黑体" w:eastAsia="黑体"/>
                <w:szCs w:val="21"/>
              </w:rPr>
            </w:pPr>
            <w:r>
              <w:rPr>
                <w:rFonts w:hint="eastAsia" w:ascii="黑体" w:hAnsi="黑体" w:eastAsia="黑体"/>
                <w:kern w:val="0"/>
                <w:szCs w:val="21"/>
              </w:rPr>
              <w:t>一、</w:t>
            </w:r>
            <w:bookmarkStart w:id="1" w:name="_Hlk66973412"/>
            <w:r>
              <w:rPr>
                <w:rFonts w:hint="eastAsia" w:ascii="黑体" w:hAnsi="黑体" w:eastAsia="黑体"/>
                <w:kern w:val="0"/>
                <w:szCs w:val="21"/>
              </w:rPr>
              <w:t>本年新收政府信息公开申请数量</w:t>
            </w:r>
            <w:bookmarkEnd w:id="1"/>
          </w:p>
        </w:tc>
        <w:tc>
          <w:tcPr>
            <w:tcW w:w="515" w:type="dxa"/>
            <w:noWrap w:val="0"/>
            <w:tcMar>
              <w:left w:w="108" w:type="dxa"/>
              <w:right w:w="108" w:type="dxa"/>
            </w:tcMar>
            <w:vAlign w:val="center"/>
          </w:tcPr>
          <w:p w14:paraId="5CB47EA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757A6F3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713AD2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5875DAE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7EAF20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76D4098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6AFB186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71C2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4956" w:type="dxa"/>
            <w:gridSpan w:val="3"/>
            <w:noWrap w:val="0"/>
            <w:tcMar>
              <w:left w:w="108" w:type="dxa"/>
              <w:right w:w="108" w:type="dxa"/>
            </w:tcMar>
            <w:vAlign w:val="center"/>
          </w:tcPr>
          <w:p w14:paraId="62DDF745">
            <w:pPr>
              <w:widowControl/>
              <w:rPr>
                <w:rFonts w:ascii="黑体" w:hAnsi="黑体" w:eastAsia="黑体"/>
                <w:szCs w:val="21"/>
              </w:rPr>
            </w:pPr>
            <w:r>
              <w:rPr>
                <w:rFonts w:hint="eastAsia" w:ascii="黑体" w:hAnsi="黑体" w:eastAsia="黑体"/>
                <w:kern w:val="0"/>
                <w:szCs w:val="21"/>
              </w:rPr>
              <w:t>二、上年结转政府信息公开申请数量</w:t>
            </w:r>
          </w:p>
        </w:tc>
        <w:tc>
          <w:tcPr>
            <w:tcW w:w="515" w:type="dxa"/>
            <w:noWrap w:val="0"/>
            <w:tcMar>
              <w:left w:w="108" w:type="dxa"/>
              <w:right w:w="108" w:type="dxa"/>
            </w:tcMar>
            <w:vAlign w:val="center"/>
          </w:tcPr>
          <w:p w14:paraId="163C3C64">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E8C4D85">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6C10511">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483FF718">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4DF43B04">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402D318F">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3DD477F">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30D8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atLeast"/>
          <w:jc w:val="center"/>
        </w:trPr>
        <w:tc>
          <w:tcPr>
            <w:tcW w:w="384" w:type="dxa"/>
            <w:vMerge w:val="restart"/>
            <w:noWrap w:val="0"/>
            <w:tcMar>
              <w:left w:w="108" w:type="dxa"/>
              <w:right w:w="108" w:type="dxa"/>
            </w:tcMar>
            <w:vAlign w:val="center"/>
          </w:tcPr>
          <w:p w14:paraId="668C06E5">
            <w:pPr>
              <w:widowControl/>
              <w:spacing w:after="180"/>
              <w:rPr>
                <w:rFonts w:ascii="黑体" w:hAnsi="黑体" w:eastAsia="黑体"/>
                <w:szCs w:val="21"/>
              </w:rPr>
            </w:pPr>
            <w:r>
              <w:rPr>
                <w:rFonts w:hint="eastAsia" w:ascii="黑体" w:hAnsi="黑体" w:eastAsia="黑体"/>
                <w:kern w:val="0"/>
                <w:szCs w:val="21"/>
              </w:rPr>
              <w:t>三、本年度办理结果</w:t>
            </w:r>
          </w:p>
        </w:tc>
        <w:tc>
          <w:tcPr>
            <w:tcW w:w="4572" w:type="dxa"/>
            <w:gridSpan w:val="2"/>
            <w:noWrap w:val="0"/>
            <w:tcMar>
              <w:left w:w="108" w:type="dxa"/>
              <w:right w:w="108" w:type="dxa"/>
            </w:tcMar>
            <w:vAlign w:val="center"/>
          </w:tcPr>
          <w:p w14:paraId="1B98D5AE">
            <w:pPr>
              <w:widowControl/>
              <w:rPr>
                <w:rFonts w:ascii="黑体" w:hAnsi="黑体" w:eastAsia="黑体"/>
                <w:szCs w:val="21"/>
              </w:rPr>
            </w:pPr>
            <w:r>
              <w:rPr>
                <w:rFonts w:hint="eastAsia" w:ascii="黑体" w:hAnsi="黑体" w:eastAsia="黑体"/>
                <w:kern w:val="0"/>
                <w:szCs w:val="21"/>
              </w:rPr>
              <w:t>（一）予以公开</w:t>
            </w:r>
          </w:p>
        </w:tc>
        <w:tc>
          <w:tcPr>
            <w:tcW w:w="515" w:type="dxa"/>
            <w:noWrap w:val="0"/>
            <w:tcMar>
              <w:left w:w="108" w:type="dxa"/>
              <w:right w:w="108" w:type="dxa"/>
            </w:tcMar>
            <w:vAlign w:val="center"/>
          </w:tcPr>
          <w:p w14:paraId="51F385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88FC66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28697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35FDD73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96F26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47F74030">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1A036E0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3154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84" w:type="dxa"/>
            <w:vMerge w:val="continue"/>
            <w:noWrap w:val="0"/>
            <w:tcMar>
              <w:left w:w="108" w:type="dxa"/>
              <w:right w:w="108" w:type="dxa"/>
            </w:tcMar>
            <w:vAlign w:val="center"/>
          </w:tcPr>
          <w:p w14:paraId="016B85F0">
            <w:pPr>
              <w:rPr>
                <w:rFonts w:ascii="黑体" w:hAnsi="黑体" w:eastAsia="黑体"/>
                <w:szCs w:val="21"/>
              </w:rPr>
            </w:pPr>
          </w:p>
        </w:tc>
        <w:tc>
          <w:tcPr>
            <w:tcW w:w="4572" w:type="dxa"/>
            <w:gridSpan w:val="2"/>
            <w:noWrap w:val="0"/>
            <w:tcMar>
              <w:left w:w="108" w:type="dxa"/>
              <w:right w:w="108" w:type="dxa"/>
            </w:tcMar>
            <w:vAlign w:val="center"/>
          </w:tcPr>
          <w:p w14:paraId="6F458508">
            <w:pPr>
              <w:widowControl/>
              <w:rPr>
                <w:rFonts w:ascii="黑体" w:hAnsi="黑体" w:eastAsia="黑体"/>
                <w:szCs w:val="21"/>
              </w:rPr>
            </w:pPr>
            <w:r>
              <w:rPr>
                <w:rFonts w:hint="eastAsia" w:ascii="黑体" w:hAnsi="黑体" w:eastAsia="黑体"/>
                <w:kern w:val="0"/>
                <w:szCs w:val="21"/>
              </w:rPr>
              <w:t>（二）部分公开（</w:t>
            </w:r>
            <w:bookmarkStart w:id="2" w:name="_Hlk66973981"/>
            <w:r>
              <w:rPr>
                <w:rFonts w:hint="eastAsia" w:ascii="黑体" w:hAnsi="黑体" w:eastAsia="黑体"/>
                <w:kern w:val="0"/>
                <w:szCs w:val="21"/>
              </w:rPr>
              <w:t>区分处理的，只计这一情形，不计其他情形</w:t>
            </w:r>
            <w:bookmarkEnd w:id="2"/>
            <w:r>
              <w:rPr>
                <w:rFonts w:hint="eastAsia" w:ascii="黑体" w:hAnsi="黑体" w:eastAsia="黑体"/>
                <w:kern w:val="0"/>
                <w:szCs w:val="21"/>
              </w:rPr>
              <w:t>）</w:t>
            </w:r>
          </w:p>
        </w:tc>
        <w:tc>
          <w:tcPr>
            <w:tcW w:w="515" w:type="dxa"/>
            <w:noWrap w:val="0"/>
            <w:tcMar>
              <w:left w:w="108" w:type="dxa"/>
              <w:right w:w="108" w:type="dxa"/>
            </w:tcMar>
            <w:vAlign w:val="center"/>
          </w:tcPr>
          <w:p w14:paraId="2A853CE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D820C9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217C3C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E11AF0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DD5DEC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1E1507A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D8204B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9A6D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5" w:hRule="exact"/>
          <w:jc w:val="center"/>
        </w:trPr>
        <w:tc>
          <w:tcPr>
            <w:tcW w:w="384" w:type="dxa"/>
            <w:vMerge w:val="continue"/>
            <w:noWrap w:val="0"/>
            <w:tcMar>
              <w:left w:w="108" w:type="dxa"/>
              <w:right w:w="108" w:type="dxa"/>
            </w:tcMar>
            <w:vAlign w:val="center"/>
          </w:tcPr>
          <w:p w14:paraId="072384AB">
            <w:pPr>
              <w:rPr>
                <w:rFonts w:ascii="黑体" w:hAnsi="黑体" w:eastAsia="黑体"/>
                <w:szCs w:val="21"/>
              </w:rPr>
            </w:pPr>
          </w:p>
        </w:tc>
        <w:tc>
          <w:tcPr>
            <w:tcW w:w="1606" w:type="dxa"/>
            <w:vMerge w:val="restart"/>
            <w:noWrap w:val="0"/>
            <w:tcMar>
              <w:left w:w="108" w:type="dxa"/>
              <w:right w:w="108" w:type="dxa"/>
            </w:tcMar>
            <w:vAlign w:val="center"/>
          </w:tcPr>
          <w:p w14:paraId="55A7B7BA">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66" w:type="dxa"/>
            <w:noWrap w:val="0"/>
            <w:tcMar>
              <w:left w:w="108" w:type="dxa"/>
              <w:right w:w="108" w:type="dxa"/>
            </w:tcMar>
            <w:vAlign w:val="center"/>
          </w:tcPr>
          <w:p w14:paraId="293838D4">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515" w:type="dxa"/>
            <w:noWrap w:val="0"/>
            <w:tcMar>
              <w:left w:w="108" w:type="dxa"/>
              <w:right w:w="108" w:type="dxa"/>
            </w:tcMar>
            <w:vAlign w:val="center"/>
          </w:tcPr>
          <w:p w14:paraId="57DD7DE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1B582D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B64A8D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5E4FC1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40FD752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1788B74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22E260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B3DF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2" w:hRule="exact"/>
          <w:jc w:val="center"/>
        </w:trPr>
        <w:tc>
          <w:tcPr>
            <w:tcW w:w="384" w:type="dxa"/>
            <w:vMerge w:val="continue"/>
            <w:noWrap w:val="0"/>
            <w:tcMar>
              <w:left w:w="108" w:type="dxa"/>
              <w:right w:w="108" w:type="dxa"/>
            </w:tcMar>
            <w:vAlign w:val="center"/>
          </w:tcPr>
          <w:p w14:paraId="7AAB2B0C">
            <w:pPr>
              <w:rPr>
                <w:rFonts w:ascii="黑体" w:hAnsi="黑体" w:eastAsia="黑体"/>
                <w:szCs w:val="21"/>
              </w:rPr>
            </w:pPr>
          </w:p>
        </w:tc>
        <w:tc>
          <w:tcPr>
            <w:tcW w:w="1606" w:type="dxa"/>
            <w:vMerge w:val="continue"/>
            <w:noWrap w:val="0"/>
            <w:tcMar>
              <w:left w:w="108" w:type="dxa"/>
              <w:right w:w="108" w:type="dxa"/>
            </w:tcMar>
            <w:vAlign w:val="center"/>
          </w:tcPr>
          <w:p w14:paraId="2EB31EA8">
            <w:pPr>
              <w:spacing w:line="200" w:lineRule="exact"/>
              <w:rPr>
                <w:rFonts w:ascii="黑体" w:hAnsi="黑体" w:eastAsia="黑体"/>
                <w:szCs w:val="21"/>
              </w:rPr>
            </w:pPr>
          </w:p>
        </w:tc>
        <w:tc>
          <w:tcPr>
            <w:tcW w:w="2966" w:type="dxa"/>
            <w:noWrap w:val="0"/>
            <w:tcMar>
              <w:left w:w="108" w:type="dxa"/>
              <w:right w:w="108" w:type="dxa"/>
            </w:tcMar>
            <w:vAlign w:val="center"/>
          </w:tcPr>
          <w:p w14:paraId="74CF74F8">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3" w:name="_Hlk66974104"/>
            <w:r>
              <w:rPr>
                <w:rFonts w:hint="eastAsia" w:ascii="仿宋_GB2312" w:hAnsi="黑体" w:eastAsia="仿宋_GB2312"/>
                <w:kern w:val="0"/>
                <w:szCs w:val="21"/>
              </w:rPr>
              <w:t>其他法律行政法规禁止公开</w:t>
            </w:r>
            <w:bookmarkEnd w:id="3"/>
          </w:p>
        </w:tc>
        <w:tc>
          <w:tcPr>
            <w:tcW w:w="515" w:type="dxa"/>
            <w:noWrap w:val="0"/>
            <w:tcMar>
              <w:left w:w="108" w:type="dxa"/>
              <w:right w:w="108" w:type="dxa"/>
            </w:tcMar>
            <w:vAlign w:val="center"/>
          </w:tcPr>
          <w:p w14:paraId="2D9399B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32CB36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92DA3C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E9F5E3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8A196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4614949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1820B19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4BD61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1" w:hRule="exact"/>
          <w:jc w:val="center"/>
        </w:trPr>
        <w:tc>
          <w:tcPr>
            <w:tcW w:w="384" w:type="dxa"/>
            <w:vMerge w:val="continue"/>
            <w:noWrap w:val="0"/>
            <w:tcMar>
              <w:left w:w="108" w:type="dxa"/>
              <w:right w:w="108" w:type="dxa"/>
            </w:tcMar>
            <w:vAlign w:val="center"/>
          </w:tcPr>
          <w:p w14:paraId="17E16BAA">
            <w:pPr>
              <w:rPr>
                <w:rFonts w:ascii="黑体" w:hAnsi="黑体" w:eastAsia="黑体"/>
                <w:szCs w:val="21"/>
              </w:rPr>
            </w:pPr>
          </w:p>
        </w:tc>
        <w:tc>
          <w:tcPr>
            <w:tcW w:w="1606" w:type="dxa"/>
            <w:vMerge w:val="continue"/>
            <w:noWrap w:val="0"/>
            <w:tcMar>
              <w:left w:w="108" w:type="dxa"/>
              <w:right w:w="108" w:type="dxa"/>
            </w:tcMar>
            <w:vAlign w:val="center"/>
          </w:tcPr>
          <w:p w14:paraId="7AD8FF6D">
            <w:pPr>
              <w:spacing w:line="200" w:lineRule="exact"/>
              <w:rPr>
                <w:rFonts w:ascii="黑体" w:hAnsi="黑体" w:eastAsia="黑体"/>
                <w:szCs w:val="21"/>
              </w:rPr>
            </w:pPr>
          </w:p>
        </w:tc>
        <w:tc>
          <w:tcPr>
            <w:tcW w:w="2966" w:type="dxa"/>
            <w:noWrap w:val="0"/>
            <w:tcMar>
              <w:left w:w="108" w:type="dxa"/>
              <w:right w:w="108" w:type="dxa"/>
            </w:tcMar>
            <w:vAlign w:val="center"/>
          </w:tcPr>
          <w:p w14:paraId="364B54CB">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515" w:type="dxa"/>
            <w:noWrap w:val="0"/>
            <w:tcMar>
              <w:left w:w="108" w:type="dxa"/>
              <w:right w:w="108" w:type="dxa"/>
            </w:tcMar>
            <w:vAlign w:val="center"/>
          </w:tcPr>
          <w:p w14:paraId="724E720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5987A2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7B52B8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510B7DD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3F03FB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7EDC7D1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AADFED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4A67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384" w:type="dxa"/>
            <w:vMerge w:val="continue"/>
            <w:noWrap w:val="0"/>
            <w:tcMar>
              <w:left w:w="108" w:type="dxa"/>
              <w:right w:w="108" w:type="dxa"/>
            </w:tcMar>
            <w:vAlign w:val="center"/>
          </w:tcPr>
          <w:p w14:paraId="1CF5EF4A">
            <w:pPr>
              <w:rPr>
                <w:rFonts w:ascii="黑体" w:hAnsi="黑体" w:eastAsia="黑体"/>
                <w:szCs w:val="21"/>
              </w:rPr>
            </w:pPr>
          </w:p>
        </w:tc>
        <w:tc>
          <w:tcPr>
            <w:tcW w:w="1606" w:type="dxa"/>
            <w:vMerge w:val="continue"/>
            <w:noWrap w:val="0"/>
            <w:tcMar>
              <w:left w:w="108" w:type="dxa"/>
              <w:right w:w="108" w:type="dxa"/>
            </w:tcMar>
            <w:vAlign w:val="center"/>
          </w:tcPr>
          <w:p w14:paraId="05847359">
            <w:pPr>
              <w:spacing w:line="200" w:lineRule="exact"/>
              <w:rPr>
                <w:rFonts w:ascii="黑体" w:hAnsi="黑体" w:eastAsia="黑体"/>
                <w:szCs w:val="21"/>
              </w:rPr>
            </w:pPr>
          </w:p>
        </w:tc>
        <w:tc>
          <w:tcPr>
            <w:tcW w:w="2966" w:type="dxa"/>
            <w:noWrap w:val="0"/>
            <w:tcMar>
              <w:left w:w="108" w:type="dxa"/>
              <w:right w:w="108" w:type="dxa"/>
            </w:tcMar>
            <w:vAlign w:val="center"/>
          </w:tcPr>
          <w:p w14:paraId="0ADBB85F">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4" w:name="_Hlk66974290"/>
            <w:r>
              <w:rPr>
                <w:rFonts w:hint="eastAsia" w:ascii="仿宋_GB2312" w:hAnsi="黑体" w:eastAsia="仿宋_GB2312"/>
                <w:kern w:val="0"/>
                <w:szCs w:val="21"/>
              </w:rPr>
              <w:t>保护第三方合法权益</w:t>
            </w:r>
            <w:bookmarkEnd w:id="4"/>
          </w:p>
        </w:tc>
        <w:tc>
          <w:tcPr>
            <w:tcW w:w="515" w:type="dxa"/>
            <w:noWrap w:val="0"/>
            <w:tcMar>
              <w:left w:w="108" w:type="dxa"/>
              <w:right w:w="108" w:type="dxa"/>
            </w:tcMar>
            <w:vAlign w:val="center"/>
          </w:tcPr>
          <w:p w14:paraId="2FF23E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E5F8E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5ED51F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5B0999A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44089B0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0132D69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1839430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93C7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7" w:hRule="exact"/>
          <w:jc w:val="center"/>
        </w:trPr>
        <w:tc>
          <w:tcPr>
            <w:tcW w:w="384" w:type="dxa"/>
            <w:vMerge w:val="continue"/>
            <w:noWrap w:val="0"/>
            <w:tcMar>
              <w:left w:w="108" w:type="dxa"/>
              <w:right w:w="108" w:type="dxa"/>
            </w:tcMar>
            <w:vAlign w:val="center"/>
          </w:tcPr>
          <w:p w14:paraId="31EC46F7">
            <w:pPr>
              <w:rPr>
                <w:rFonts w:ascii="黑体" w:hAnsi="黑体" w:eastAsia="黑体"/>
                <w:szCs w:val="21"/>
              </w:rPr>
            </w:pPr>
          </w:p>
        </w:tc>
        <w:tc>
          <w:tcPr>
            <w:tcW w:w="1606" w:type="dxa"/>
            <w:vMerge w:val="continue"/>
            <w:noWrap w:val="0"/>
            <w:tcMar>
              <w:left w:w="108" w:type="dxa"/>
              <w:right w:w="108" w:type="dxa"/>
            </w:tcMar>
            <w:vAlign w:val="center"/>
          </w:tcPr>
          <w:p w14:paraId="3C73D487">
            <w:pPr>
              <w:spacing w:line="200" w:lineRule="exact"/>
              <w:rPr>
                <w:rFonts w:ascii="黑体" w:hAnsi="黑体" w:eastAsia="黑体"/>
                <w:szCs w:val="21"/>
              </w:rPr>
            </w:pPr>
          </w:p>
        </w:tc>
        <w:tc>
          <w:tcPr>
            <w:tcW w:w="2966" w:type="dxa"/>
            <w:noWrap w:val="0"/>
            <w:tcMar>
              <w:left w:w="108" w:type="dxa"/>
              <w:right w:w="108" w:type="dxa"/>
            </w:tcMar>
            <w:vAlign w:val="center"/>
          </w:tcPr>
          <w:p w14:paraId="24A9F58D">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515" w:type="dxa"/>
            <w:noWrap w:val="0"/>
            <w:tcMar>
              <w:left w:w="108" w:type="dxa"/>
              <w:right w:w="108" w:type="dxa"/>
            </w:tcMar>
            <w:vAlign w:val="center"/>
          </w:tcPr>
          <w:p w14:paraId="63EB626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C90DB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A8970A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686BA4A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7D5416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64B8F57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7C7E4BF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13C4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4" w:hRule="exact"/>
          <w:jc w:val="center"/>
        </w:trPr>
        <w:tc>
          <w:tcPr>
            <w:tcW w:w="384" w:type="dxa"/>
            <w:vMerge w:val="continue"/>
            <w:noWrap w:val="0"/>
            <w:tcMar>
              <w:left w:w="108" w:type="dxa"/>
              <w:right w:w="108" w:type="dxa"/>
            </w:tcMar>
            <w:vAlign w:val="center"/>
          </w:tcPr>
          <w:p w14:paraId="10545243">
            <w:pPr>
              <w:rPr>
                <w:rFonts w:ascii="黑体" w:hAnsi="黑体" w:eastAsia="黑体"/>
                <w:szCs w:val="21"/>
              </w:rPr>
            </w:pPr>
          </w:p>
        </w:tc>
        <w:tc>
          <w:tcPr>
            <w:tcW w:w="1606" w:type="dxa"/>
            <w:vMerge w:val="continue"/>
            <w:noWrap w:val="0"/>
            <w:tcMar>
              <w:left w:w="108" w:type="dxa"/>
              <w:right w:w="108" w:type="dxa"/>
            </w:tcMar>
            <w:vAlign w:val="center"/>
          </w:tcPr>
          <w:p w14:paraId="7E49AC35">
            <w:pPr>
              <w:spacing w:line="200" w:lineRule="exact"/>
              <w:rPr>
                <w:rFonts w:ascii="黑体" w:hAnsi="黑体" w:eastAsia="黑体"/>
                <w:szCs w:val="21"/>
              </w:rPr>
            </w:pPr>
          </w:p>
        </w:tc>
        <w:tc>
          <w:tcPr>
            <w:tcW w:w="2966" w:type="dxa"/>
            <w:noWrap w:val="0"/>
            <w:tcMar>
              <w:left w:w="108" w:type="dxa"/>
              <w:right w:w="108" w:type="dxa"/>
            </w:tcMar>
            <w:vAlign w:val="center"/>
          </w:tcPr>
          <w:p w14:paraId="3D227A3F">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5" w:name="_Hlk66974555"/>
            <w:r>
              <w:rPr>
                <w:rFonts w:hint="eastAsia" w:ascii="仿宋_GB2312" w:hAnsi="黑体" w:eastAsia="仿宋_GB2312"/>
                <w:kern w:val="0"/>
                <w:szCs w:val="21"/>
              </w:rPr>
              <w:t>属于四类过程性信息</w:t>
            </w:r>
            <w:bookmarkEnd w:id="5"/>
          </w:p>
        </w:tc>
        <w:tc>
          <w:tcPr>
            <w:tcW w:w="515" w:type="dxa"/>
            <w:noWrap w:val="0"/>
            <w:tcMar>
              <w:left w:w="108" w:type="dxa"/>
              <w:right w:w="108" w:type="dxa"/>
            </w:tcMar>
            <w:vAlign w:val="center"/>
          </w:tcPr>
          <w:p w14:paraId="0F3B955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F4AA2F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41A6041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877A32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71631BF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2E1B602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6A554E8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29725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1" w:hRule="exact"/>
          <w:jc w:val="center"/>
        </w:trPr>
        <w:tc>
          <w:tcPr>
            <w:tcW w:w="384" w:type="dxa"/>
            <w:vMerge w:val="continue"/>
            <w:noWrap w:val="0"/>
            <w:tcMar>
              <w:left w:w="108" w:type="dxa"/>
              <w:right w:w="108" w:type="dxa"/>
            </w:tcMar>
            <w:vAlign w:val="center"/>
          </w:tcPr>
          <w:p w14:paraId="68529D3F">
            <w:pPr>
              <w:rPr>
                <w:rFonts w:ascii="黑体" w:hAnsi="黑体" w:eastAsia="黑体"/>
                <w:szCs w:val="21"/>
              </w:rPr>
            </w:pPr>
          </w:p>
        </w:tc>
        <w:tc>
          <w:tcPr>
            <w:tcW w:w="1606" w:type="dxa"/>
            <w:vMerge w:val="continue"/>
            <w:noWrap w:val="0"/>
            <w:tcMar>
              <w:left w:w="108" w:type="dxa"/>
              <w:right w:w="108" w:type="dxa"/>
            </w:tcMar>
            <w:vAlign w:val="center"/>
          </w:tcPr>
          <w:p w14:paraId="17BD6C83">
            <w:pPr>
              <w:spacing w:line="200" w:lineRule="exact"/>
              <w:rPr>
                <w:rFonts w:ascii="黑体" w:hAnsi="黑体" w:eastAsia="黑体"/>
                <w:szCs w:val="21"/>
              </w:rPr>
            </w:pPr>
          </w:p>
        </w:tc>
        <w:tc>
          <w:tcPr>
            <w:tcW w:w="2966" w:type="dxa"/>
            <w:noWrap w:val="0"/>
            <w:tcMar>
              <w:left w:w="108" w:type="dxa"/>
              <w:right w:w="108" w:type="dxa"/>
            </w:tcMar>
            <w:vAlign w:val="center"/>
          </w:tcPr>
          <w:p w14:paraId="7F634C69">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515" w:type="dxa"/>
            <w:noWrap w:val="0"/>
            <w:tcMar>
              <w:left w:w="108" w:type="dxa"/>
              <w:right w:w="108" w:type="dxa"/>
            </w:tcMar>
            <w:vAlign w:val="center"/>
          </w:tcPr>
          <w:p w14:paraId="753B91D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710133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501F6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69E8D1A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4CD5B24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5CEFC99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7AD685A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920E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384" w:type="dxa"/>
            <w:vMerge w:val="continue"/>
            <w:noWrap w:val="0"/>
            <w:tcMar>
              <w:left w:w="108" w:type="dxa"/>
              <w:right w:w="108" w:type="dxa"/>
            </w:tcMar>
            <w:vAlign w:val="center"/>
          </w:tcPr>
          <w:p w14:paraId="02D9929B">
            <w:pPr>
              <w:rPr>
                <w:rFonts w:ascii="黑体" w:hAnsi="黑体" w:eastAsia="黑体"/>
                <w:szCs w:val="21"/>
              </w:rPr>
            </w:pPr>
          </w:p>
        </w:tc>
        <w:tc>
          <w:tcPr>
            <w:tcW w:w="1606" w:type="dxa"/>
            <w:vMerge w:val="continue"/>
            <w:noWrap w:val="0"/>
            <w:tcMar>
              <w:left w:w="108" w:type="dxa"/>
              <w:right w:w="108" w:type="dxa"/>
            </w:tcMar>
            <w:vAlign w:val="center"/>
          </w:tcPr>
          <w:p w14:paraId="1CCD4AAB">
            <w:pPr>
              <w:spacing w:line="200" w:lineRule="exact"/>
              <w:rPr>
                <w:rFonts w:ascii="黑体" w:hAnsi="黑体" w:eastAsia="黑体"/>
                <w:szCs w:val="21"/>
              </w:rPr>
            </w:pPr>
          </w:p>
        </w:tc>
        <w:tc>
          <w:tcPr>
            <w:tcW w:w="2966" w:type="dxa"/>
            <w:noWrap w:val="0"/>
            <w:tcMar>
              <w:left w:w="108" w:type="dxa"/>
              <w:right w:w="108" w:type="dxa"/>
            </w:tcMar>
            <w:vAlign w:val="center"/>
          </w:tcPr>
          <w:p w14:paraId="02DEF6E0">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6" w:name="_Hlk66975211"/>
            <w:r>
              <w:rPr>
                <w:rFonts w:hint="eastAsia" w:ascii="仿宋_GB2312" w:hAnsi="黑体" w:eastAsia="仿宋_GB2312"/>
                <w:kern w:val="0"/>
                <w:szCs w:val="21"/>
              </w:rPr>
              <w:t>属于行政查询事项</w:t>
            </w:r>
            <w:bookmarkEnd w:id="6"/>
          </w:p>
        </w:tc>
        <w:tc>
          <w:tcPr>
            <w:tcW w:w="515" w:type="dxa"/>
            <w:noWrap w:val="0"/>
            <w:tcMar>
              <w:left w:w="108" w:type="dxa"/>
              <w:right w:w="108" w:type="dxa"/>
            </w:tcMar>
            <w:vAlign w:val="center"/>
          </w:tcPr>
          <w:p w14:paraId="70FA59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98FABE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BDFE23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9AC3A0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E2BC2B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47D4DF6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216B104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BF5B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6" w:hRule="exact"/>
          <w:jc w:val="center"/>
        </w:trPr>
        <w:tc>
          <w:tcPr>
            <w:tcW w:w="384" w:type="dxa"/>
            <w:vMerge w:val="continue"/>
            <w:noWrap w:val="0"/>
            <w:tcMar>
              <w:left w:w="108" w:type="dxa"/>
              <w:right w:w="108" w:type="dxa"/>
            </w:tcMar>
            <w:vAlign w:val="center"/>
          </w:tcPr>
          <w:p w14:paraId="5CEA8A05">
            <w:pPr>
              <w:rPr>
                <w:rFonts w:ascii="黑体" w:hAnsi="黑体" w:eastAsia="黑体"/>
                <w:szCs w:val="21"/>
              </w:rPr>
            </w:pPr>
          </w:p>
        </w:tc>
        <w:tc>
          <w:tcPr>
            <w:tcW w:w="1606" w:type="dxa"/>
            <w:vMerge w:val="restart"/>
            <w:noWrap w:val="0"/>
            <w:tcMar>
              <w:left w:w="108" w:type="dxa"/>
              <w:right w:w="108" w:type="dxa"/>
            </w:tcMar>
            <w:vAlign w:val="center"/>
          </w:tcPr>
          <w:p w14:paraId="35AC0144">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66" w:type="dxa"/>
            <w:noWrap w:val="0"/>
            <w:tcMar>
              <w:left w:w="108" w:type="dxa"/>
              <w:right w:w="108" w:type="dxa"/>
            </w:tcMar>
            <w:vAlign w:val="center"/>
          </w:tcPr>
          <w:p w14:paraId="590C035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515" w:type="dxa"/>
            <w:noWrap w:val="0"/>
            <w:tcMar>
              <w:left w:w="108" w:type="dxa"/>
              <w:right w:w="108" w:type="dxa"/>
            </w:tcMar>
            <w:vAlign w:val="center"/>
          </w:tcPr>
          <w:p w14:paraId="035BD02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0EEF55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080F63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3137857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1D110CB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0940764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031F877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4952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4" w:hRule="exact"/>
          <w:jc w:val="center"/>
        </w:trPr>
        <w:tc>
          <w:tcPr>
            <w:tcW w:w="384" w:type="dxa"/>
            <w:vMerge w:val="continue"/>
            <w:noWrap w:val="0"/>
            <w:tcMar>
              <w:left w:w="108" w:type="dxa"/>
              <w:right w:w="108" w:type="dxa"/>
            </w:tcMar>
            <w:vAlign w:val="center"/>
          </w:tcPr>
          <w:p w14:paraId="3EB3FA00">
            <w:pPr>
              <w:rPr>
                <w:rFonts w:ascii="黑体" w:hAnsi="黑体" w:eastAsia="黑体"/>
                <w:szCs w:val="21"/>
              </w:rPr>
            </w:pPr>
          </w:p>
        </w:tc>
        <w:tc>
          <w:tcPr>
            <w:tcW w:w="1606" w:type="dxa"/>
            <w:vMerge w:val="continue"/>
            <w:noWrap w:val="0"/>
            <w:tcMar>
              <w:left w:w="108" w:type="dxa"/>
              <w:right w:w="108" w:type="dxa"/>
            </w:tcMar>
            <w:vAlign w:val="center"/>
          </w:tcPr>
          <w:p w14:paraId="4BB2522F">
            <w:pPr>
              <w:spacing w:line="200" w:lineRule="exact"/>
              <w:ind w:left="-107" w:leftChars="-51"/>
              <w:rPr>
                <w:rFonts w:ascii="黑体" w:hAnsi="黑体" w:eastAsia="黑体"/>
                <w:szCs w:val="21"/>
              </w:rPr>
            </w:pPr>
          </w:p>
        </w:tc>
        <w:tc>
          <w:tcPr>
            <w:tcW w:w="2966" w:type="dxa"/>
            <w:noWrap w:val="0"/>
            <w:tcMar>
              <w:left w:w="108" w:type="dxa"/>
              <w:right w:w="108" w:type="dxa"/>
            </w:tcMar>
            <w:vAlign w:val="center"/>
          </w:tcPr>
          <w:p w14:paraId="3E3582C1">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7" w:name="_Hlk66975392"/>
            <w:r>
              <w:rPr>
                <w:rFonts w:hint="eastAsia" w:ascii="仿宋_GB2312" w:hAnsi="黑体" w:eastAsia="仿宋_GB2312"/>
                <w:kern w:val="0"/>
                <w:szCs w:val="21"/>
              </w:rPr>
              <w:t>没有现成信息需要另行制作</w:t>
            </w:r>
            <w:bookmarkEnd w:id="7"/>
          </w:p>
        </w:tc>
        <w:tc>
          <w:tcPr>
            <w:tcW w:w="515" w:type="dxa"/>
            <w:noWrap w:val="0"/>
            <w:tcMar>
              <w:left w:w="108" w:type="dxa"/>
              <w:right w:w="108" w:type="dxa"/>
            </w:tcMar>
            <w:vAlign w:val="center"/>
          </w:tcPr>
          <w:p w14:paraId="7561D9D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E5D25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C1E533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36AC7B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A86705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2EE1953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6E2370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387E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5" w:hRule="exact"/>
          <w:jc w:val="center"/>
        </w:trPr>
        <w:tc>
          <w:tcPr>
            <w:tcW w:w="384" w:type="dxa"/>
            <w:vMerge w:val="continue"/>
            <w:noWrap w:val="0"/>
            <w:tcMar>
              <w:left w:w="108" w:type="dxa"/>
              <w:right w:w="108" w:type="dxa"/>
            </w:tcMar>
            <w:vAlign w:val="center"/>
          </w:tcPr>
          <w:p w14:paraId="1F7B84B2">
            <w:pPr>
              <w:rPr>
                <w:rFonts w:ascii="黑体" w:hAnsi="黑体" w:eastAsia="黑体"/>
                <w:szCs w:val="21"/>
              </w:rPr>
            </w:pPr>
          </w:p>
        </w:tc>
        <w:tc>
          <w:tcPr>
            <w:tcW w:w="1606" w:type="dxa"/>
            <w:vMerge w:val="continue"/>
            <w:noWrap w:val="0"/>
            <w:tcMar>
              <w:left w:w="108" w:type="dxa"/>
              <w:right w:w="108" w:type="dxa"/>
            </w:tcMar>
            <w:vAlign w:val="center"/>
          </w:tcPr>
          <w:p w14:paraId="211AC230">
            <w:pPr>
              <w:spacing w:line="200" w:lineRule="exact"/>
              <w:ind w:left="-107" w:leftChars="-51"/>
              <w:rPr>
                <w:rFonts w:ascii="黑体" w:hAnsi="黑体" w:eastAsia="黑体"/>
                <w:szCs w:val="21"/>
              </w:rPr>
            </w:pPr>
          </w:p>
        </w:tc>
        <w:tc>
          <w:tcPr>
            <w:tcW w:w="2966" w:type="dxa"/>
            <w:noWrap w:val="0"/>
            <w:tcMar>
              <w:left w:w="108" w:type="dxa"/>
              <w:right w:w="108" w:type="dxa"/>
            </w:tcMar>
            <w:vAlign w:val="center"/>
          </w:tcPr>
          <w:p w14:paraId="6B7A9CE8">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8" w:name="_Hlk66975466"/>
            <w:r>
              <w:rPr>
                <w:rFonts w:hint="eastAsia" w:ascii="仿宋_GB2312" w:hAnsi="黑体" w:eastAsia="仿宋_GB2312"/>
                <w:kern w:val="0"/>
                <w:szCs w:val="21"/>
              </w:rPr>
              <w:t>补正后申请内容仍不明确</w:t>
            </w:r>
            <w:bookmarkEnd w:id="8"/>
          </w:p>
        </w:tc>
        <w:tc>
          <w:tcPr>
            <w:tcW w:w="515" w:type="dxa"/>
            <w:noWrap w:val="0"/>
            <w:tcMar>
              <w:left w:w="108" w:type="dxa"/>
              <w:right w:w="108" w:type="dxa"/>
            </w:tcMar>
            <w:vAlign w:val="center"/>
          </w:tcPr>
          <w:p w14:paraId="78266E2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653A74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ED5132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2ABE6CD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F99205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31FDF6E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58D9CA8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3A097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8" w:hRule="exact"/>
          <w:jc w:val="center"/>
        </w:trPr>
        <w:tc>
          <w:tcPr>
            <w:tcW w:w="384" w:type="dxa"/>
            <w:vMerge w:val="continue"/>
            <w:noWrap w:val="0"/>
            <w:tcMar>
              <w:left w:w="108" w:type="dxa"/>
              <w:right w:w="108" w:type="dxa"/>
            </w:tcMar>
            <w:vAlign w:val="center"/>
          </w:tcPr>
          <w:p w14:paraId="05EBAEBB">
            <w:pPr>
              <w:rPr>
                <w:rFonts w:ascii="黑体" w:hAnsi="黑体" w:eastAsia="黑体"/>
                <w:szCs w:val="21"/>
              </w:rPr>
            </w:pPr>
          </w:p>
        </w:tc>
        <w:tc>
          <w:tcPr>
            <w:tcW w:w="1606" w:type="dxa"/>
            <w:vMerge w:val="restart"/>
            <w:noWrap w:val="0"/>
            <w:tcMar>
              <w:left w:w="108" w:type="dxa"/>
              <w:right w:w="108" w:type="dxa"/>
            </w:tcMar>
            <w:vAlign w:val="center"/>
          </w:tcPr>
          <w:p w14:paraId="09255021">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66" w:type="dxa"/>
            <w:noWrap w:val="0"/>
            <w:tcMar>
              <w:left w:w="108" w:type="dxa"/>
              <w:right w:w="108" w:type="dxa"/>
            </w:tcMar>
            <w:vAlign w:val="center"/>
          </w:tcPr>
          <w:p w14:paraId="64E60CA9">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9" w:name="_Hlk66975537"/>
            <w:r>
              <w:rPr>
                <w:rFonts w:hint="eastAsia" w:ascii="仿宋_GB2312" w:hAnsi="黑体" w:eastAsia="仿宋_GB2312"/>
                <w:kern w:val="0"/>
                <w:szCs w:val="21"/>
              </w:rPr>
              <w:t>信访举报投诉类申请</w:t>
            </w:r>
            <w:bookmarkEnd w:id="9"/>
          </w:p>
        </w:tc>
        <w:tc>
          <w:tcPr>
            <w:tcW w:w="515" w:type="dxa"/>
            <w:noWrap w:val="0"/>
            <w:tcMar>
              <w:left w:w="108" w:type="dxa"/>
              <w:right w:w="108" w:type="dxa"/>
            </w:tcMar>
            <w:vAlign w:val="center"/>
          </w:tcPr>
          <w:p w14:paraId="5E8C8DD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ACB511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214871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05F5779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3F882C8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38C1D91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6200D14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5CE6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60" w:hRule="exact"/>
          <w:jc w:val="center"/>
        </w:trPr>
        <w:tc>
          <w:tcPr>
            <w:tcW w:w="384" w:type="dxa"/>
            <w:vMerge w:val="continue"/>
            <w:noWrap w:val="0"/>
            <w:tcMar>
              <w:left w:w="108" w:type="dxa"/>
              <w:right w:w="108" w:type="dxa"/>
            </w:tcMar>
            <w:vAlign w:val="center"/>
          </w:tcPr>
          <w:p w14:paraId="1A3724A8">
            <w:pPr>
              <w:rPr>
                <w:rFonts w:ascii="黑体" w:hAnsi="黑体" w:eastAsia="黑体"/>
                <w:szCs w:val="21"/>
              </w:rPr>
            </w:pPr>
          </w:p>
        </w:tc>
        <w:tc>
          <w:tcPr>
            <w:tcW w:w="1606" w:type="dxa"/>
            <w:vMerge w:val="continue"/>
            <w:noWrap w:val="0"/>
            <w:tcMar>
              <w:left w:w="108" w:type="dxa"/>
              <w:right w:w="108" w:type="dxa"/>
            </w:tcMar>
            <w:vAlign w:val="center"/>
          </w:tcPr>
          <w:p w14:paraId="17BDB3FC">
            <w:pPr>
              <w:spacing w:line="200" w:lineRule="exact"/>
              <w:rPr>
                <w:rFonts w:ascii="黑体" w:hAnsi="黑体" w:eastAsia="黑体"/>
                <w:szCs w:val="21"/>
              </w:rPr>
            </w:pPr>
          </w:p>
        </w:tc>
        <w:tc>
          <w:tcPr>
            <w:tcW w:w="2966" w:type="dxa"/>
            <w:noWrap w:val="0"/>
            <w:tcMar>
              <w:left w:w="108" w:type="dxa"/>
              <w:right w:w="108" w:type="dxa"/>
            </w:tcMar>
            <w:vAlign w:val="center"/>
          </w:tcPr>
          <w:p w14:paraId="649D7B15">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515" w:type="dxa"/>
            <w:noWrap w:val="0"/>
            <w:tcMar>
              <w:left w:w="108" w:type="dxa"/>
              <w:right w:w="108" w:type="dxa"/>
            </w:tcMar>
            <w:vAlign w:val="center"/>
          </w:tcPr>
          <w:p w14:paraId="3289434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79B0E2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D7D67D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50E0E91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7ABBFE4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2BCBF99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4F5F9DE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776BC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0" w:hRule="exact"/>
          <w:jc w:val="center"/>
        </w:trPr>
        <w:tc>
          <w:tcPr>
            <w:tcW w:w="384" w:type="dxa"/>
            <w:vMerge w:val="continue"/>
            <w:noWrap w:val="0"/>
            <w:tcMar>
              <w:left w:w="108" w:type="dxa"/>
              <w:right w:w="108" w:type="dxa"/>
            </w:tcMar>
            <w:vAlign w:val="center"/>
          </w:tcPr>
          <w:p w14:paraId="46B4A936">
            <w:pPr>
              <w:rPr>
                <w:rFonts w:ascii="黑体" w:hAnsi="黑体" w:eastAsia="黑体"/>
                <w:szCs w:val="21"/>
              </w:rPr>
            </w:pPr>
          </w:p>
        </w:tc>
        <w:tc>
          <w:tcPr>
            <w:tcW w:w="1606" w:type="dxa"/>
            <w:vMerge w:val="continue"/>
            <w:noWrap w:val="0"/>
            <w:tcMar>
              <w:left w:w="108" w:type="dxa"/>
              <w:right w:w="108" w:type="dxa"/>
            </w:tcMar>
            <w:vAlign w:val="center"/>
          </w:tcPr>
          <w:p w14:paraId="4DF2B29E">
            <w:pPr>
              <w:spacing w:line="200" w:lineRule="exact"/>
              <w:rPr>
                <w:rFonts w:ascii="黑体" w:hAnsi="黑体" w:eastAsia="黑体"/>
                <w:szCs w:val="21"/>
              </w:rPr>
            </w:pPr>
          </w:p>
        </w:tc>
        <w:tc>
          <w:tcPr>
            <w:tcW w:w="2966" w:type="dxa"/>
            <w:noWrap w:val="0"/>
            <w:tcMar>
              <w:left w:w="108" w:type="dxa"/>
              <w:right w:w="108" w:type="dxa"/>
            </w:tcMar>
            <w:vAlign w:val="center"/>
          </w:tcPr>
          <w:p w14:paraId="017384C5">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515" w:type="dxa"/>
            <w:noWrap w:val="0"/>
            <w:tcMar>
              <w:left w:w="108" w:type="dxa"/>
              <w:right w:w="108" w:type="dxa"/>
            </w:tcMar>
            <w:vAlign w:val="center"/>
          </w:tcPr>
          <w:p w14:paraId="7719799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7483FC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EEB9AF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37EB572E">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41FC516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43A677B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7EE3570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9214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384" w:type="dxa"/>
            <w:vMerge w:val="continue"/>
            <w:noWrap w:val="0"/>
            <w:tcMar>
              <w:left w:w="108" w:type="dxa"/>
              <w:right w:w="108" w:type="dxa"/>
            </w:tcMar>
            <w:vAlign w:val="center"/>
          </w:tcPr>
          <w:p w14:paraId="2CA14C03">
            <w:pPr>
              <w:rPr>
                <w:rFonts w:ascii="黑体" w:hAnsi="黑体" w:eastAsia="黑体"/>
                <w:szCs w:val="21"/>
              </w:rPr>
            </w:pPr>
          </w:p>
        </w:tc>
        <w:tc>
          <w:tcPr>
            <w:tcW w:w="1606" w:type="dxa"/>
            <w:vMerge w:val="continue"/>
            <w:noWrap w:val="0"/>
            <w:tcMar>
              <w:left w:w="108" w:type="dxa"/>
              <w:right w:w="108" w:type="dxa"/>
            </w:tcMar>
            <w:vAlign w:val="center"/>
          </w:tcPr>
          <w:p w14:paraId="774D6BAB">
            <w:pPr>
              <w:spacing w:line="200" w:lineRule="exact"/>
              <w:rPr>
                <w:rFonts w:ascii="黑体" w:hAnsi="黑体" w:eastAsia="黑体"/>
                <w:szCs w:val="21"/>
              </w:rPr>
            </w:pPr>
          </w:p>
        </w:tc>
        <w:tc>
          <w:tcPr>
            <w:tcW w:w="2966" w:type="dxa"/>
            <w:noWrap w:val="0"/>
            <w:tcMar>
              <w:left w:w="108" w:type="dxa"/>
              <w:right w:w="108" w:type="dxa"/>
            </w:tcMar>
            <w:vAlign w:val="center"/>
          </w:tcPr>
          <w:p w14:paraId="718209D0">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515" w:type="dxa"/>
            <w:noWrap w:val="0"/>
            <w:tcMar>
              <w:left w:w="108" w:type="dxa"/>
              <w:right w:w="108" w:type="dxa"/>
            </w:tcMar>
            <w:vAlign w:val="center"/>
          </w:tcPr>
          <w:p w14:paraId="10414A1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F013E2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E52BDC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794E7BD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094AE1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062F35B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76095D3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7446F2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384" w:type="dxa"/>
            <w:vMerge w:val="continue"/>
            <w:noWrap w:val="0"/>
            <w:tcMar>
              <w:left w:w="108" w:type="dxa"/>
              <w:right w:w="108" w:type="dxa"/>
            </w:tcMar>
            <w:vAlign w:val="center"/>
          </w:tcPr>
          <w:p w14:paraId="0CCF3714">
            <w:pPr>
              <w:rPr>
                <w:rFonts w:ascii="黑体" w:hAnsi="黑体" w:eastAsia="黑体"/>
                <w:szCs w:val="21"/>
              </w:rPr>
            </w:pPr>
          </w:p>
        </w:tc>
        <w:tc>
          <w:tcPr>
            <w:tcW w:w="1606" w:type="dxa"/>
            <w:vMerge w:val="continue"/>
            <w:noWrap w:val="0"/>
            <w:tcMar>
              <w:left w:w="108" w:type="dxa"/>
              <w:right w:w="108" w:type="dxa"/>
            </w:tcMar>
            <w:vAlign w:val="center"/>
          </w:tcPr>
          <w:p w14:paraId="39B85C64">
            <w:pPr>
              <w:spacing w:line="200" w:lineRule="exact"/>
              <w:rPr>
                <w:rFonts w:ascii="黑体" w:hAnsi="黑体" w:eastAsia="黑体"/>
                <w:szCs w:val="21"/>
              </w:rPr>
            </w:pPr>
          </w:p>
        </w:tc>
        <w:tc>
          <w:tcPr>
            <w:tcW w:w="2966" w:type="dxa"/>
            <w:noWrap w:val="0"/>
            <w:tcMar>
              <w:left w:w="108" w:type="dxa"/>
              <w:right w:w="108" w:type="dxa"/>
            </w:tcMar>
            <w:vAlign w:val="center"/>
          </w:tcPr>
          <w:p w14:paraId="08F29F31">
            <w:pPr>
              <w:widowControl/>
              <w:spacing w:line="300" w:lineRule="exact"/>
              <w:rPr>
                <w:rFonts w:ascii="仿宋_GB2312" w:hAnsi="黑体" w:eastAsia="仿宋_GB2312"/>
                <w:szCs w:val="21"/>
              </w:rPr>
            </w:pPr>
            <w:r>
              <w:rPr>
                <w:rFonts w:hint="eastAsia" w:ascii="仿宋_GB2312" w:hAnsi="黑体" w:eastAsia="仿宋_GB2312"/>
                <w:kern w:val="0"/>
                <w:szCs w:val="21"/>
              </w:rPr>
              <w:t>5.要求行政机关确认或重新出具已获取信息</w:t>
            </w:r>
          </w:p>
        </w:tc>
        <w:tc>
          <w:tcPr>
            <w:tcW w:w="515" w:type="dxa"/>
            <w:noWrap w:val="0"/>
            <w:tcMar>
              <w:left w:w="108" w:type="dxa"/>
              <w:right w:w="108" w:type="dxa"/>
            </w:tcMar>
            <w:vAlign w:val="center"/>
          </w:tcPr>
          <w:p w14:paraId="01FE001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BE9142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CEFC4D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409C4A5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3641A0C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28D5A3F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5C9B1D8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53175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7" w:hRule="atLeast"/>
          <w:jc w:val="center"/>
        </w:trPr>
        <w:tc>
          <w:tcPr>
            <w:tcW w:w="384" w:type="dxa"/>
            <w:vMerge w:val="continue"/>
            <w:noWrap w:val="0"/>
            <w:tcMar>
              <w:left w:w="108" w:type="dxa"/>
              <w:right w:w="108" w:type="dxa"/>
            </w:tcMar>
            <w:vAlign w:val="center"/>
          </w:tcPr>
          <w:p w14:paraId="1BE1AA66">
            <w:pPr>
              <w:rPr>
                <w:rFonts w:ascii="黑体" w:hAnsi="黑体" w:eastAsia="黑体"/>
                <w:szCs w:val="21"/>
              </w:rPr>
            </w:pPr>
          </w:p>
        </w:tc>
        <w:tc>
          <w:tcPr>
            <w:tcW w:w="1606" w:type="dxa"/>
            <w:vMerge w:val="restart"/>
            <w:noWrap w:val="0"/>
            <w:tcMar>
              <w:left w:w="108" w:type="dxa"/>
              <w:right w:w="108" w:type="dxa"/>
            </w:tcMar>
            <w:vAlign w:val="center"/>
          </w:tcPr>
          <w:p w14:paraId="1F9E236E">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66" w:type="dxa"/>
            <w:noWrap w:val="0"/>
            <w:vAlign w:val="center"/>
          </w:tcPr>
          <w:p w14:paraId="644CB612">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515" w:type="dxa"/>
            <w:noWrap w:val="0"/>
            <w:tcMar>
              <w:left w:w="108" w:type="dxa"/>
              <w:right w:w="108" w:type="dxa"/>
            </w:tcMar>
            <w:vAlign w:val="center"/>
          </w:tcPr>
          <w:p w14:paraId="47C97AE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48A59BF8">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BB4C23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011A4D9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3D1A75D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7A59A54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6F81B28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94C76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8" w:hRule="atLeast"/>
          <w:jc w:val="center"/>
        </w:trPr>
        <w:tc>
          <w:tcPr>
            <w:tcW w:w="384" w:type="dxa"/>
            <w:vMerge w:val="continue"/>
            <w:noWrap w:val="0"/>
            <w:tcMar>
              <w:left w:w="108" w:type="dxa"/>
              <w:right w:w="108" w:type="dxa"/>
            </w:tcMar>
            <w:vAlign w:val="center"/>
          </w:tcPr>
          <w:p w14:paraId="5F589331">
            <w:pPr>
              <w:rPr>
                <w:rFonts w:ascii="黑体" w:hAnsi="黑体" w:eastAsia="黑体"/>
                <w:szCs w:val="21"/>
              </w:rPr>
            </w:pPr>
          </w:p>
        </w:tc>
        <w:tc>
          <w:tcPr>
            <w:tcW w:w="1606" w:type="dxa"/>
            <w:vMerge w:val="continue"/>
            <w:noWrap w:val="0"/>
            <w:tcMar>
              <w:left w:w="108" w:type="dxa"/>
              <w:right w:w="108" w:type="dxa"/>
            </w:tcMar>
            <w:vAlign w:val="center"/>
          </w:tcPr>
          <w:p w14:paraId="68E52D1E">
            <w:pPr>
              <w:widowControl/>
              <w:spacing w:line="300" w:lineRule="exact"/>
              <w:rPr>
                <w:rFonts w:ascii="黑体" w:hAnsi="黑体" w:eastAsia="黑体"/>
                <w:kern w:val="0"/>
                <w:szCs w:val="21"/>
              </w:rPr>
            </w:pPr>
          </w:p>
        </w:tc>
        <w:tc>
          <w:tcPr>
            <w:tcW w:w="2966" w:type="dxa"/>
            <w:noWrap w:val="0"/>
            <w:vAlign w:val="center"/>
          </w:tcPr>
          <w:p w14:paraId="396CAE63">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515" w:type="dxa"/>
            <w:noWrap w:val="0"/>
            <w:tcMar>
              <w:left w:w="108" w:type="dxa"/>
              <w:right w:w="108" w:type="dxa"/>
            </w:tcMar>
            <w:vAlign w:val="center"/>
          </w:tcPr>
          <w:p w14:paraId="221D73B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3A0B287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FD8850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1B24758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04B04D9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0C9CC75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78A5624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12024C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384" w:type="dxa"/>
            <w:vMerge w:val="continue"/>
            <w:noWrap w:val="0"/>
            <w:tcMar>
              <w:left w:w="108" w:type="dxa"/>
              <w:right w:w="108" w:type="dxa"/>
            </w:tcMar>
            <w:vAlign w:val="center"/>
          </w:tcPr>
          <w:p w14:paraId="14F6E114">
            <w:pPr>
              <w:rPr>
                <w:rFonts w:ascii="黑体" w:hAnsi="黑体" w:eastAsia="黑体"/>
                <w:szCs w:val="21"/>
              </w:rPr>
            </w:pPr>
          </w:p>
        </w:tc>
        <w:tc>
          <w:tcPr>
            <w:tcW w:w="1606" w:type="dxa"/>
            <w:vMerge w:val="continue"/>
            <w:noWrap w:val="0"/>
            <w:tcMar>
              <w:left w:w="108" w:type="dxa"/>
              <w:right w:w="108" w:type="dxa"/>
            </w:tcMar>
            <w:vAlign w:val="center"/>
          </w:tcPr>
          <w:p w14:paraId="35AF235F">
            <w:pPr>
              <w:widowControl/>
              <w:spacing w:line="300" w:lineRule="exact"/>
              <w:rPr>
                <w:rFonts w:ascii="黑体" w:hAnsi="黑体" w:eastAsia="黑体"/>
                <w:kern w:val="0"/>
                <w:szCs w:val="21"/>
              </w:rPr>
            </w:pPr>
          </w:p>
        </w:tc>
        <w:tc>
          <w:tcPr>
            <w:tcW w:w="2966" w:type="dxa"/>
            <w:noWrap w:val="0"/>
            <w:vAlign w:val="center"/>
          </w:tcPr>
          <w:p w14:paraId="7116142A">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515" w:type="dxa"/>
            <w:noWrap w:val="0"/>
            <w:tcMar>
              <w:left w:w="108" w:type="dxa"/>
              <w:right w:w="108" w:type="dxa"/>
            </w:tcMar>
            <w:vAlign w:val="center"/>
          </w:tcPr>
          <w:p w14:paraId="5BDA6E1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16A114D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3EDA0E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5237995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63E933C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7D52BC2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207162E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36705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4" w:hRule="atLeast"/>
          <w:jc w:val="center"/>
        </w:trPr>
        <w:tc>
          <w:tcPr>
            <w:tcW w:w="384" w:type="dxa"/>
            <w:vMerge w:val="continue"/>
            <w:noWrap w:val="0"/>
            <w:tcMar>
              <w:left w:w="108" w:type="dxa"/>
              <w:right w:w="108" w:type="dxa"/>
            </w:tcMar>
            <w:vAlign w:val="center"/>
          </w:tcPr>
          <w:p w14:paraId="44ABB97D">
            <w:pPr>
              <w:rPr>
                <w:rFonts w:ascii="黑体" w:hAnsi="黑体" w:eastAsia="黑体"/>
                <w:szCs w:val="21"/>
              </w:rPr>
            </w:pPr>
          </w:p>
        </w:tc>
        <w:tc>
          <w:tcPr>
            <w:tcW w:w="4572" w:type="dxa"/>
            <w:gridSpan w:val="2"/>
            <w:noWrap w:val="0"/>
            <w:tcMar>
              <w:left w:w="108" w:type="dxa"/>
              <w:right w:w="108" w:type="dxa"/>
            </w:tcMar>
            <w:vAlign w:val="center"/>
          </w:tcPr>
          <w:p w14:paraId="6C97A908">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515" w:type="dxa"/>
            <w:noWrap w:val="0"/>
            <w:tcMar>
              <w:left w:w="108" w:type="dxa"/>
              <w:right w:w="108" w:type="dxa"/>
            </w:tcMar>
            <w:vAlign w:val="center"/>
          </w:tcPr>
          <w:p w14:paraId="579E407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5D51AB1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292A6C4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4042A49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5BD66E0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36F33CB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06CBBB7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62D99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4956" w:type="dxa"/>
            <w:gridSpan w:val="3"/>
            <w:noWrap w:val="0"/>
            <w:tcMar>
              <w:left w:w="108" w:type="dxa"/>
              <w:right w:w="108" w:type="dxa"/>
            </w:tcMar>
            <w:vAlign w:val="center"/>
          </w:tcPr>
          <w:p w14:paraId="0691A353">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515" w:type="dxa"/>
            <w:noWrap w:val="0"/>
            <w:tcMar>
              <w:left w:w="108" w:type="dxa"/>
              <w:right w:w="108" w:type="dxa"/>
            </w:tcMar>
            <w:vAlign w:val="center"/>
          </w:tcPr>
          <w:p w14:paraId="3DE50F1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026B947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3" w:type="dxa"/>
            <w:noWrap w:val="0"/>
            <w:tcMar>
              <w:left w:w="108" w:type="dxa"/>
              <w:right w:w="108" w:type="dxa"/>
            </w:tcMar>
            <w:vAlign w:val="center"/>
          </w:tcPr>
          <w:p w14:paraId="60D79D6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4" w:type="dxa"/>
            <w:noWrap w:val="0"/>
            <w:tcMar>
              <w:left w:w="108" w:type="dxa"/>
              <w:right w:w="108" w:type="dxa"/>
            </w:tcMar>
            <w:vAlign w:val="center"/>
          </w:tcPr>
          <w:p w14:paraId="230C1B92">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53" w:type="dxa"/>
            <w:noWrap w:val="0"/>
            <w:tcMar>
              <w:left w:w="108" w:type="dxa"/>
              <w:right w:w="108" w:type="dxa"/>
            </w:tcMar>
            <w:vAlign w:val="center"/>
          </w:tcPr>
          <w:p w14:paraId="3A5D385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7" w:type="dxa"/>
            <w:noWrap w:val="0"/>
            <w:tcMar>
              <w:left w:w="108" w:type="dxa"/>
              <w:right w:w="108" w:type="dxa"/>
            </w:tcMar>
            <w:vAlign w:val="center"/>
          </w:tcPr>
          <w:p w14:paraId="68ED21D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88" w:type="dxa"/>
            <w:noWrap w:val="0"/>
            <w:tcMar>
              <w:left w:w="108" w:type="dxa"/>
              <w:right w:w="108" w:type="dxa"/>
            </w:tcMar>
            <w:vAlign w:val="center"/>
          </w:tcPr>
          <w:p w14:paraId="12773456">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14:paraId="0B371D4B">
      <w:pPr>
        <w:ind w:firstLine="640" w:firstLineChars="200"/>
        <w:jc w:val="left"/>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CN"/>
        </w:rPr>
        <w:t>四、</w:t>
      </w:r>
      <w:r>
        <w:rPr>
          <w:rFonts w:hint="eastAsia" w:ascii="CESI黑体-GB2312" w:hAnsi="CESI黑体-GB2312" w:eastAsia="CESI黑体-GB2312" w:cs="CESI黑体-GB2312"/>
          <w:sz w:val="32"/>
          <w:szCs w:val="32"/>
        </w:rPr>
        <w:t>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E8EAB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F4F5F3A">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87534CB">
            <w:pPr>
              <w:widowControl/>
              <w:jc w:val="center"/>
              <w:rPr>
                <w:rFonts w:ascii="黑体" w:hAnsi="黑体" w:eastAsia="黑体"/>
              </w:rPr>
            </w:pPr>
            <w:r>
              <w:rPr>
                <w:rFonts w:ascii="黑体" w:hAnsi="黑体" w:eastAsia="黑体"/>
                <w:kern w:val="0"/>
                <w:sz w:val="20"/>
                <w:szCs w:val="20"/>
              </w:rPr>
              <w:t>行政诉讼</w:t>
            </w:r>
          </w:p>
        </w:tc>
      </w:tr>
      <w:tr w14:paraId="2BFB24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CD7F33E">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6653DF65">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EE84C00">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1541144">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3E30105">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6088F15">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BC08F41">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1D686F95">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905E676">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3BB0ECD2">
            <w:pPr>
              <w:widowControl/>
              <w:jc w:val="center"/>
              <w:rPr>
                <w:rFonts w:ascii="黑体" w:hAnsi="黑体" w:eastAsia="黑体"/>
              </w:rPr>
            </w:pPr>
            <w:bookmarkStart w:id="10" w:name="_Hlk67039688"/>
            <w:r>
              <w:rPr>
                <w:rFonts w:ascii="黑体" w:hAnsi="黑体" w:eastAsia="黑体"/>
                <w:kern w:val="0"/>
                <w:sz w:val="20"/>
                <w:szCs w:val="20"/>
              </w:rPr>
              <w:t>复议后起诉</w:t>
            </w:r>
            <w:bookmarkEnd w:id="10"/>
          </w:p>
        </w:tc>
      </w:tr>
      <w:tr w14:paraId="4C35BE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2443269">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0ACCE88B">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D74ACE6">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A184F18">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9514D19">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5EE6F720">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F558A45">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4C3E35">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11F0D83B">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2BCC0E6">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4B54E197">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E13071D">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EC1A38D">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45B3156">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3F4A9283">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4AF3BAD">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542D6309">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FFE8AFE">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9BC691F">
            <w:pPr>
              <w:widowControl/>
              <w:jc w:val="center"/>
              <w:rPr>
                <w:rFonts w:ascii="黑体" w:hAnsi="黑体" w:eastAsia="黑体"/>
              </w:rPr>
            </w:pPr>
            <w:r>
              <w:rPr>
                <w:rFonts w:ascii="黑体" w:hAnsi="黑体" w:eastAsia="黑体"/>
                <w:kern w:val="0"/>
                <w:sz w:val="20"/>
                <w:szCs w:val="20"/>
              </w:rPr>
              <w:t>总计</w:t>
            </w:r>
          </w:p>
        </w:tc>
      </w:tr>
      <w:tr w14:paraId="116461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9CA19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0BFC67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11893B2">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409B17A7">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31A0ABC5">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96B1C95">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163570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8B0D8E4">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C8D6287">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5FC5F0A">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5192D59">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F217CEE">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15C843B">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B426F90">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EA6BAF6">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14:paraId="3F613D30">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五、</w:t>
      </w:r>
      <w:r>
        <w:rPr>
          <w:rFonts w:hint="eastAsia" w:ascii="CESI黑体-GB2312" w:hAnsi="CESI黑体-GB2312" w:eastAsia="CESI黑体-GB2312" w:cs="CESI黑体-GB2312"/>
          <w:b w:val="0"/>
          <w:bCs w:val="0"/>
        </w:rPr>
        <w:t>存在的主要问题及改进情况</w:t>
      </w:r>
    </w:p>
    <w:p w14:paraId="0092AFF2">
      <w:pPr>
        <w:pStyle w:val="2"/>
        <w:ind w:firstLine="643" w:firstLineChars="200"/>
        <w:outlineLvl w:val="9"/>
        <w:rPr>
          <w:rFonts w:hint="eastAsia"/>
          <w:lang w:val="en-US" w:eastAsia="zh-CN"/>
        </w:rPr>
      </w:pPr>
      <w:r>
        <w:rPr>
          <w:rFonts w:hint="eastAsia" w:ascii="CESI楷体-GB2312" w:hAnsi="CESI楷体-GB2312" w:eastAsia="CESI楷体-GB2312" w:cs="CESI楷体-GB2312"/>
          <w:b/>
          <w:bCs/>
          <w:kern w:val="2"/>
          <w:sz w:val="32"/>
          <w:szCs w:val="32"/>
          <w:lang w:val="en-US" w:eastAsia="zh-CN" w:bidi="ar-SA"/>
        </w:rPr>
        <w:t>（一）存在的主要问题</w:t>
      </w:r>
    </w:p>
    <w:p w14:paraId="47BF09EA">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一是政务公开信息时效性有待加强。街道工作信息公开的动态性、时效性都很强，一些群众关心关注的信息公开还存在不及时、不全面、不具体的问题。</w:t>
      </w:r>
    </w:p>
    <w:p w14:paraId="304483AA">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二是公开的形式还有提升空间。政务公开就是要保障人民群众的知情权，我们的公开形式还不能完全满足群众的多样性需要。</w:t>
      </w:r>
    </w:p>
    <w:p w14:paraId="4A8F34D2">
      <w:pPr>
        <w:pStyle w:val="2"/>
        <w:ind w:firstLine="643" w:firstLineChars="200"/>
        <w:rPr>
          <w:rFonts w:hint="eastAsia" w:ascii="CESI楷体-GB2312" w:hAnsi="CESI楷体-GB2312" w:eastAsia="CESI楷体-GB2312" w:cs="CESI楷体-GB2312"/>
          <w:b/>
          <w:bCs/>
          <w:kern w:val="2"/>
          <w:sz w:val="32"/>
          <w:szCs w:val="32"/>
          <w:lang w:val="en-US" w:eastAsia="zh-CN" w:bidi="ar-SA"/>
        </w:rPr>
      </w:pPr>
      <w:r>
        <w:rPr>
          <w:rFonts w:hint="eastAsia" w:ascii="CESI楷体-GB2312" w:hAnsi="CESI楷体-GB2312" w:eastAsia="CESI楷体-GB2312" w:cs="CESI楷体-GB2312"/>
          <w:b/>
          <w:bCs/>
          <w:kern w:val="2"/>
          <w:sz w:val="32"/>
          <w:szCs w:val="32"/>
          <w:lang w:val="en-US" w:eastAsia="zh-CN" w:bidi="ar-SA"/>
        </w:rPr>
        <w:t>（二）改进情况</w:t>
      </w:r>
    </w:p>
    <w:p w14:paraId="285D8ED8">
      <w:pPr>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一是及时收集、整理和分析政府信息公开工作中出现的新问题、新情况，增</w:t>
      </w:r>
      <w:r>
        <w:rPr>
          <w:rFonts w:hint="eastAsia" w:ascii="仿宋_GB2312" w:hAnsi="Calibri" w:eastAsia="仿宋_GB2312" w:cs="Times New Roman"/>
          <w:kern w:val="2"/>
          <w:sz w:val="32"/>
          <w:szCs w:val="32"/>
          <w:lang w:val="en-US" w:eastAsia="zh-CN" w:bidi="ar-SA"/>
        </w:rPr>
        <w:t xml:space="preserve">强政府信息公开工作的主动性和时效性；    </w:t>
      </w:r>
    </w:p>
    <w:p w14:paraId="47DA6E31">
      <w:pPr>
        <w:ind w:firstLine="640" w:firstLineChars="200"/>
        <w:rPr>
          <w:rFonts w:ascii="仿宋_GB2312" w:eastAsia="仿宋_GB2312"/>
          <w:sz w:val="32"/>
          <w:szCs w:val="32"/>
          <w:u w:val="none"/>
        </w:rPr>
      </w:pPr>
      <w:r>
        <w:rPr>
          <w:rFonts w:hint="eastAsia" w:ascii="仿宋_GB2312" w:hAnsi="Calibri" w:eastAsia="仿宋_GB2312" w:cs="Times New Roman"/>
          <w:kern w:val="2"/>
          <w:sz w:val="32"/>
          <w:szCs w:val="32"/>
          <w:lang w:val="en-US" w:eastAsia="zh-CN" w:bidi="ar-SA"/>
        </w:rPr>
        <w:t>二是加强政府信息公开工作的宣传力度，充分利用现代网络信息平台</w:t>
      </w:r>
      <w:r>
        <w:rPr>
          <w:rFonts w:hint="eastAsia" w:ascii="仿宋_GB2312" w:eastAsia="仿宋_GB2312" w:cs="Times New Roman"/>
          <w:kern w:val="2"/>
          <w:sz w:val="32"/>
          <w:szCs w:val="32"/>
          <w:lang w:val="en-US" w:eastAsia="zh-CN" w:bidi="ar-SA"/>
        </w:rPr>
        <w:t>，</w:t>
      </w:r>
      <w:r>
        <w:rPr>
          <w:rFonts w:hint="eastAsia" w:ascii="仿宋_GB2312" w:hAnsi="Calibri" w:eastAsia="仿宋_GB2312" w:cs="Times New Roman"/>
          <w:kern w:val="2"/>
          <w:sz w:val="32"/>
          <w:szCs w:val="32"/>
          <w:lang w:val="en-US" w:eastAsia="zh-CN" w:bidi="ar-SA"/>
        </w:rPr>
        <w:t>加强与居民群众的互动，确保政府信息应公开全公开、可公开全公开。</w:t>
      </w:r>
    </w:p>
    <w:p w14:paraId="1C170FE4">
      <w:pPr>
        <w:pStyle w:val="3"/>
        <w:numPr>
          <w:ilvl w:val="0"/>
          <w:numId w:val="0"/>
        </w:numPr>
        <w:spacing w:before="0" w:after="0" w:line="240" w:lineRule="auto"/>
        <w:ind w:firstLine="640" w:firstLineChars="200"/>
        <w:rPr>
          <w:rFonts w:hint="eastAsia" w:ascii="CESI黑体-GB2312" w:hAnsi="CESI黑体-GB2312" w:eastAsia="CESI黑体-GB2312" w:cs="CESI黑体-GB2312"/>
          <w:b w:val="0"/>
          <w:bCs w:val="0"/>
        </w:rPr>
      </w:pPr>
      <w:r>
        <w:rPr>
          <w:rFonts w:hint="eastAsia" w:ascii="CESI黑体-GB2312" w:hAnsi="CESI黑体-GB2312" w:eastAsia="CESI黑体-GB2312" w:cs="CESI黑体-GB2312"/>
          <w:b w:val="0"/>
          <w:bCs w:val="0"/>
          <w:lang w:eastAsia="zh-CN"/>
        </w:rPr>
        <w:t>六、</w:t>
      </w:r>
      <w:r>
        <w:rPr>
          <w:rFonts w:hint="eastAsia" w:ascii="CESI黑体-GB2312" w:hAnsi="CESI黑体-GB2312" w:eastAsia="CESI黑体-GB2312" w:cs="CESI黑体-GB2312"/>
          <w:b w:val="0"/>
          <w:bCs w:val="0"/>
        </w:rPr>
        <w:t>其他需要报告的事项</w:t>
      </w:r>
    </w:p>
    <w:p w14:paraId="20D58821">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（一）政府信息公开信息处理费收取情况</w:t>
      </w:r>
    </w:p>
    <w:p w14:paraId="45324DC2">
      <w:pPr>
        <w:ind w:firstLine="640" w:firstLineChars="200"/>
        <w:rPr>
          <w:rFonts w:hint="eastAsia" w:ascii="仿宋_GB2312" w:eastAsia="仿宋_GB2312"/>
          <w:sz w:val="32"/>
          <w:szCs w:val="32"/>
          <w:lang w:eastAsia="zh-CN"/>
        </w:rPr>
      </w:pPr>
      <w:r>
        <w:rPr>
          <w:rFonts w:hint="eastAsia" w:ascii="仿宋_GB2312" w:hAnsi="文星仿宋" w:eastAsia="仿宋_GB2312"/>
          <w:sz w:val="32"/>
          <w:szCs w:val="32"/>
          <w:lang w:eastAsia="zh-CN"/>
        </w:rPr>
        <w:t>认真落实</w:t>
      </w:r>
      <w:r>
        <w:rPr>
          <w:rFonts w:hint="eastAsia" w:ascii="仿宋_GB2312" w:hAnsi="文星仿宋" w:eastAsia="仿宋_GB2312"/>
          <w:sz w:val="32"/>
          <w:szCs w:val="32"/>
        </w:rPr>
        <w:t>《国务院办公厅关于印发&lt;政府信息公开信息处理费管理办法&gt;的通知》（国办函〔2020〕109号）和《山东省人民政府办公厅关于做好政府信息公开信息处理费管理工作有关事项的通知》（鲁政办字〔2020〕179号）规定，</w:t>
      </w:r>
      <w:r>
        <w:rPr>
          <w:rFonts w:hint="eastAsia" w:ascii="仿宋_GB2312" w:eastAsia="仿宋_GB2312"/>
          <w:sz w:val="32"/>
          <w:szCs w:val="32"/>
          <w:lang w:eastAsia="zh-CN"/>
        </w:rPr>
        <w:t>本年度政府信息公开未收取信息处理费。</w:t>
      </w:r>
    </w:p>
    <w:p w14:paraId="1116614A">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（二）落实年度政务公开工作要点情况</w:t>
      </w:r>
    </w:p>
    <w:p w14:paraId="58854FA7">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一是健全工作机制，夯实公开基础。建立“主要领导负总责、分管领导抓落实、专人具体办”的组织体系，明确责任分工，完善信息发布审核流程。</w:t>
      </w:r>
    </w:p>
    <w:p w14:paraId="64FEAD37">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二是聚焦重点领域，深化主动公开。围绕群众关切和社会关注的领域，加大信息公开力度。</w:t>
      </w:r>
    </w:p>
    <w:p w14:paraId="184C6D6E">
      <w:pPr>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三是扩大公众参与，增强互动效能。通过多种渠道引导社会公众有序参与，实现政府开放活动常态化，加强互动交流，促进政民互动互信。</w:t>
      </w:r>
    </w:p>
    <w:p w14:paraId="5999622E">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（三）人大代表建议和政协提案办理结果公开情况</w:t>
      </w:r>
    </w:p>
    <w:p w14:paraId="04185215">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2025年共办理人大代表建议9件、政协提案6件，办复率均为100%。严格按照《山东省人民政府办公厅关于做好人大代表建议和政协提案办理结果公开工作的通知》（鲁政办字〔2016〕63号）要求，除涉及国家秘密、工作秘密的，</w:t>
      </w:r>
      <w:r>
        <w:rPr>
          <w:rFonts w:hint="eastAsia" w:ascii="Times New Roman" w:hAnsi="Times New Roman" w:eastAsia="仿宋_GB2312" w:cs="仿宋_GB2312"/>
          <w:sz w:val="32"/>
          <w:szCs w:val="32"/>
        </w:rPr>
        <w:t>所有建议提案办理复文或摘要以及办理总体情况均在</w:t>
      </w:r>
      <w:r>
        <w:rPr>
          <w:rFonts w:hint="eastAsia" w:ascii="仿宋_GB2312" w:eastAsia="仿宋_GB2312"/>
          <w:sz w:val="32"/>
          <w:szCs w:val="32"/>
          <w:lang w:val="en-US" w:eastAsia="zh-CN"/>
        </w:rPr>
        <w:t>冠县人民政府网站“冠县建议提案办理”专栏进行了集中公开。</w:t>
      </w:r>
    </w:p>
    <w:p w14:paraId="13B85C6F">
      <w:pPr>
        <w:numPr>
          <w:ilvl w:val="0"/>
          <w:numId w:val="3"/>
        </w:num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政务公开工作创新情况</w:t>
      </w:r>
    </w:p>
    <w:p w14:paraId="39268C7F">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充分发挥门户网站主渠道作用，紧密结合工作实际和有关要求，主动定期对有关栏目信息进行更新，为群众提供更多便捷、优质、贴心的服务。</w:t>
      </w:r>
      <w:r>
        <w:rPr>
          <w:rFonts w:hint="eastAsia" w:ascii="仿宋_GB2312" w:hAnsi="仿宋_GB2312" w:eastAsia="仿宋_GB2312" w:cs="仿宋_GB2312"/>
          <w:sz w:val="32"/>
          <w:szCs w:val="32"/>
          <w:lang w:val="en-US" w:eastAsia="zh-CN"/>
        </w:rPr>
        <w:t>聚焦民生关切领域，以“高效办成一件事”为核心开展开放日，提升公众参与质效。推行“政务公开+农村业校”融合模式，依托村级党群服务中心开展政策宣讲，深入农村，打通政策落地“最后一公里”。</w:t>
      </w:r>
    </w:p>
    <w:p w14:paraId="31F9772F">
      <w:pPr>
        <w:ind w:firstLine="643" w:firstLineChars="200"/>
        <w:rPr>
          <w:rFonts w:hint="eastAsia" w:ascii="CESI楷体-GB2312" w:hAnsi="CESI楷体-GB2312" w:eastAsia="CESI楷体-GB2312" w:cs="CESI楷体-GB2312"/>
          <w:b/>
          <w:bCs/>
          <w:sz w:val="32"/>
          <w:szCs w:val="32"/>
          <w:lang w:eastAsia="zh-CN"/>
        </w:rPr>
      </w:pPr>
      <w:r>
        <w:rPr>
          <w:rFonts w:hint="eastAsia" w:ascii="CESI楷体-GB2312" w:hAnsi="CESI楷体-GB2312" w:eastAsia="CESI楷体-GB2312" w:cs="CESI楷体-GB2312"/>
          <w:b/>
          <w:bCs/>
          <w:sz w:val="32"/>
          <w:szCs w:val="32"/>
          <w:lang w:eastAsia="zh-CN"/>
        </w:rPr>
        <w:t>（五）政府信息公开年度报告数据统计需要说明的事项</w:t>
      </w:r>
    </w:p>
    <w:p w14:paraId="3499676E">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本年度报告中所列数据统计期限从</w:t>
      </w:r>
      <w:r>
        <w:rPr>
          <w:rFonts w:hint="eastAsia" w:ascii="仿宋_GB2312" w:eastAsia="仿宋_GB2312"/>
          <w:sz w:val="32"/>
          <w:szCs w:val="32"/>
          <w:lang w:val="en-US" w:eastAsia="zh-CN"/>
        </w:rPr>
        <w:t>2025年1月1日到12月31日止。</w:t>
      </w:r>
    </w:p>
    <w:p w14:paraId="2D5201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仿宋_GB2312">
    <w:panose1 w:val="02010609030101010101"/>
    <w:charset w:val="86"/>
    <w:family w:val="decorative"/>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汉仪中等线简">
    <w:altName w:val="SimSun-ExtB"/>
    <w:panose1 w:val="02010600000101010101"/>
    <w:charset w:val="00"/>
    <w:family w:val="modern"/>
    <w:pitch w:val="default"/>
    <w:sig w:usb0="00000000" w:usb1="00000000" w:usb2="00000002"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00" w:usb3="00000000" w:csb0="00040001" w:csb1="00000000"/>
  </w:font>
  <w:font w:name="Droid Sans Fallback">
    <w:altName w:val="宋体"/>
    <w:panose1 w:val="020B0502000000000001"/>
    <w:charset w:val="86"/>
    <w:family w:val="auto"/>
    <w:pitch w:val="default"/>
    <w:sig w:usb0="00000000" w:usb1="00000000" w:usb2="00000036" w:usb3="00000000" w:csb0="203F01FF" w:csb1="D7FF0000"/>
  </w:font>
  <w:font w:name="SimSun-ExtB">
    <w:panose1 w:val="02010609060101010101"/>
    <w:charset w:val="86"/>
    <w:family w:val="auto"/>
    <w:pitch w:val="default"/>
    <w:sig w:usb0="00000001" w:usb1="02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DA2B5"/>
    <w:multiLevelType w:val="singleLevel"/>
    <w:tmpl w:val="97FDA2B5"/>
    <w:lvl w:ilvl="0" w:tentative="0">
      <w:start w:val="4"/>
      <w:numFmt w:val="chineseCounting"/>
      <w:suff w:val="nothing"/>
      <w:lvlText w:val="（%1）"/>
      <w:lvlJc w:val="left"/>
      <w:rPr>
        <w:rFonts w:hint="eastAsia"/>
      </w:rPr>
    </w:lvl>
  </w:abstractNum>
  <w:abstractNum w:abstractNumId="1">
    <w:nsid w:val="54300017"/>
    <w:multiLevelType w:val="singleLevel"/>
    <w:tmpl w:val="54300017"/>
    <w:lvl w:ilvl="0" w:tentative="0">
      <w:start w:val="4"/>
      <w:numFmt w:val="chineseCounting"/>
      <w:suff w:val="nothing"/>
      <w:lvlText w:val="（%1）"/>
      <w:lvlJc w:val="left"/>
      <w:rPr>
        <w:rFonts w:hint="eastAsia"/>
      </w:rPr>
    </w:lvl>
  </w:abstractNum>
  <w:abstractNum w:abstractNumId="2">
    <w:nsid w:val="71479142"/>
    <w:multiLevelType w:val="singleLevel"/>
    <w:tmpl w:val="71479142"/>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3FFD07F"/>
    <w:rsid w:val="1AFFEC77"/>
    <w:rsid w:val="2EB7160A"/>
    <w:rsid w:val="301E2F96"/>
    <w:rsid w:val="3BDF8272"/>
    <w:rsid w:val="3FEB4483"/>
    <w:rsid w:val="46DD2092"/>
    <w:rsid w:val="47B83935"/>
    <w:rsid w:val="4A1947CF"/>
    <w:rsid w:val="6BE7BE55"/>
    <w:rsid w:val="7A37F273"/>
    <w:rsid w:val="7BF5AC0D"/>
    <w:rsid w:val="7CFF46B5"/>
    <w:rsid w:val="7DCBBF7A"/>
    <w:rsid w:val="7F9F47F8"/>
    <w:rsid w:val="7FEBFFD8"/>
    <w:rsid w:val="AFFFB102"/>
    <w:rsid w:val="BFB65558"/>
    <w:rsid w:val="CB5D0BF6"/>
    <w:rsid w:val="DDEDA747"/>
    <w:rsid w:val="DFF2F9B1"/>
    <w:rsid w:val="EBFD1460"/>
    <w:rsid w:val="ECFFD31E"/>
    <w:rsid w:val="EDFEEB4E"/>
    <w:rsid w:val="F77839C2"/>
    <w:rsid w:val="F7FD41FA"/>
    <w:rsid w:val="FAFB0087"/>
    <w:rsid w:val="FB5780EF"/>
    <w:rsid w:val="FBF7E4E3"/>
    <w:rsid w:val="FEDF30E4"/>
    <w:rsid w:val="FEF7C436"/>
    <w:rsid w:val="FF5F9BAC"/>
    <w:rsid w:val="FF9F8FC0"/>
    <w:rsid w:val="FFAF3DDC"/>
    <w:rsid w:val="FFB9AE3E"/>
    <w:rsid w:val="FFF3D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szCs w:val="24"/>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2924</Words>
  <Characters>3062</Characters>
  <Lines>0</Lines>
  <Paragraphs>0</Paragraphs>
  <TotalTime>14</TotalTime>
  <ScaleCrop>false</ScaleCrop>
  <LinksUpToDate>false</LinksUpToDate>
  <CharactersWithSpaces>3070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cookie</cp:lastModifiedBy>
  <dcterms:modified xsi:type="dcterms:W3CDTF">2026-01-13T07:38:03Z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eyJoZGlkIjoiYmFiYzI2MWM0NWFiMWQ2ODljYjk4YzY5MTQxZGNlN2IiLCJ1c2VySWQiOiI0MjIyMzUzNjYifQ==</vt:lpwstr>
  </property>
  <property fmtid="{D5CDD505-2E9C-101B-9397-08002B2CF9AE}" pid="4" name="ICV">
    <vt:lpwstr>0DC7E34B35A6410B8C38395B23730E31_12</vt:lpwstr>
  </property>
</Properties>
</file>