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B01B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eastAsia="仿宋_GB2312"/>
          <w:sz w:val="32"/>
          <w:szCs w:val="32"/>
          <w:lang w:eastAsia="zh-CN"/>
        </w:rPr>
      </w:pPr>
    </w:p>
    <w:p w14:paraId="39EAB48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冠县</w:t>
      </w:r>
      <w:r>
        <w:rPr>
          <w:rFonts w:hint="eastAsia" w:ascii="方正小标宋简体" w:hAnsi="方正小标宋简体" w:eastAsia="方正小标宋简体" w:cs="方正小标宋简体"/>
          <w:color w:val="auto"/>
          <w:sz w:val="44"/>
          <w:szCs w:val="44"/>
          <w:highlight w:val="none"/>
          <w:lang w:val="en-US" w:eastAsia="zh-CN"/>
        </w:rPr>
        <w:t>定远寨镇人民政府</w:t>
      </w:r>
      <w:r>
        <w:rPr>
          <w:rFonts w:hint="eastAsia" w:ascii="方正小标宋简体" w:hAnsi="方正小标宋简体" w:eastAsia="方正小标宋简体" w:cs="方正小标宋简体"/>
          <w:color w:val="auto"/>
          <w:sz w:val="44"/>
          <w:szCs w:val="44"/>
          <w:lang w:val="en-US" w:eastAsia="zh-CN"/>
        </w:rPr>
        <w:t>2025年</w:t>
      </w:r>
      <w:r>
        <w:rPr>
          <w:rFonts w:hint="eastAsia" w:ascii="方正小标宋简体" w:hAnsi="方正小标宋简体" w:eastAsia="方正小标宋简体" w:cs="方正小标宋简体"/>
          <w:color w:val="auto"/>
          <w:sz w:val="44"/>
          <w:szCs w:val="44"/>
        </w:rPr>
        <w:t>政府信息</w:t>
      </w:r>
    </w:p>
    <w:p w14:paraId="17798B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公开工作年度报告</w:t>
      </w:r>
    </w:p>
    <w:p w14:paraId="17001D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rPr>
      </w:pPr>
    </w:p>
    <w:p w14:paraId="3EB2B2F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themeColor="text1"/>
          <w:sz w:val="32"/>
          <w:szCs w:val="32"/>
          <w:highlight w:val="yellow"/>
          <w:lang w:eastAsia="zh-CN"/>
          <w14:textFill>
            <w14:solidFill>
              <w14:schemeClr w14:val="tx1"/>
            </w14:solidFill>
          </w14:textFill>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color w:val="auto"/>
          <w:sz w:val="32"/>
          <w:szCs w:val="32"/>
          <w:highlight w:val="none"/>
          <w:lang w:eastAsia="zh-CN"/>
        </w:rPr>
        <w:t>公众</w:t>
      </w:r>
      <w:r>
        <w:rPr>
          <w:rFonts w:hint="eastAsia" w:ascii="仿宋_GB2312" w:hAnsi="仿宋_GB2312" w:eastAsia="仿宋_GB2312" w:cs="仿宋_GB2312"/>
          <w:color w:val="auto"/>
          <w:sz w:val="32"/>
          <w:szCs w:val="32"/>
          <w:highlight w:val="none"/>
        </w:rPr>
        <w:t>如</w:t>
      </w:r>
      <w:r>
        <w:rPr>
          <w:rFonts w:hint="eastAsia" w:ascii="仿宋_GB2312" w:hAnsi="仿宋_GB2312" w:eastAsia="仿宋_GB2312" w:cs="仿宋_GB2312"/>
          <w:color w:val="auto"/>
          <w:sz w:val="32"/>
          <w:szCs w:val="32"/>
          <w:highlight w:val="none"/>
          <w:lang w:eastAsia="zh-CN"/>
        </w:rPr>
        <w:t>需进一步咨询了解相关信息</w:t>
      </w:r>
      <w:r>
        <w:rPr>
          <w:rFonts w:hint="eastAsia" w:ascii="仿宋_GB2312" w:hAnsi="仿宋_GB2312" w:eastAsia="仿宋_GB2312" w:cs="仿宋_GB2312"/>
          <w:color w:val="auto"/>
          <w:sz w:val="32"/>
          <w:szCs w:val="32"/>
          <w:highlight w:val="none"/>
        </w:rPr>
        <w:t>，请与冠县定远寨镇人民政府联系（</w:t>
      </w:r>
      <w:r>
        <w:rPr>
          <w:rFonts w:hint="eastAsia" w:ascii="仿宋_GB2312" w:hAnsi="仿宋_GB2312" w:eastAsia="仿宋_GB2312" w:cs="仿宋_GB2312"/>
          <w:color w:val="auto"/>
          <w:sz w:val="32"/>
          <w:szCs w:val="32"/>
          <w:highlight w:val="none"/>
          <w:lang w:eastAsia="zh-CN"/>
        </w:rPr>
        <w:t>地址：山东省聊城市冠县定远寨镇309国道与临莘路交叉口南400米路东</w:t>
      </w:r>
      <w:r>
        <w:rPr>
          <w:rFonts w:hint="eastAsia" w:ascii="仿宋_GB2312" w:hAnsi="仿宋_GB2312" w:eastAsia="仿宋_GB2312" w:cs="仿宋_GB2312"/>
          <w:color w:val="auto"/>
          <w:sz w:val="32"/>
          <w:szCs w:val="32"/>
          <w:highlight w:val="none"/>
          <w:lang w:val="en-US" w:eastAsia="zh-CN"/>
        </w:rPr>
        <w:t>；邮编：252512；</w:t>
      </w:r>
      <w:r>
        <w:rPr>
          <w:rFonts w:hint="eastAsia" w:ascii="仿宋_GB2312" w:hAnsi="仿宋_GB2312" w:eastAsia="仿宋_GB2312" w:cs="仿宋_GB2312"/>
          <w:color w:val="auto"/>
          <w:sz w:val="32"/>
          <w:szCs w:val="32"/>
          <w:highlight w:val="none"/>
        </w:rPr>
        <w:t>电话:</w:t>
      </w:r>
      <w:r>
        <w:rPr>
          <w:rFonts w:hint="eastAsia" w:ascii="仿宋_GB2312" w:hAnsi="仿宋_GB2312" w:eastAsia="仿宋_GB2312" w:cs="仿宋_GB2312"/>
          <w:color w:val="auto"/>
          <w:sz w:val="32"/>
          <w:szCs w:val="32"/>
          <w:highlight w:val="none"/>
          <w:lang w:val="en-US" w:eastAsia="zh-CN"/>
        </w:rPr>
        <w:t>0635-5847422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邮箱:</w:t>
      </w:r>
      <w:r>
        <w:rPr>
          <w:rFonts w:hint="eastAsia" w:ascii="仿宋_GB2312" w:hAnsi="仿宋_GB2312" w:eastAsia="仿宋_GB2312" w:cs="仿宋_GB2312"/>
          <w:color w:val="auto"/>
          <w:sz w:val="32"/>
          <w:szCs w:val="32"/>
          <w:highlight w:val="none"/>
          <w:lang w:val="en-US" w:eastAsia="zh-CN"/>
        </w:rPr>
        <w:t>gxdyzzbangongshi</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lc.</w:t>
      </w:r>
      <w:r>
        <w:rPr>
          <w:rFonts w:hint="eastAsia" w:ascii="仿宋_GB2312" w:hAnsi="仿宋_GB2312" w:eastAsia="仿宋_GB2312" w:cs="仿宋_GB2312"/>
          <w:color w:val="auto"/>
          <w:sz w:val="32"/>
          <w:szCs w:val="32"/>
          <w:highlight w:val="none"/>
        </w:rPr>
        <w:t>shandong.cn）。</w:t>
      </w:r>
    </w:p>
    <w:p w14:paraId="15CC5A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总体情况</w:t>
      </w:r>
    </w:p>
    <w:p w14:paraId="5599552F">
      <w:pPr>
        <w:keepNext w:val="0"/>
        <w:keepLines w:val="0"/>
        <w:widowControl/>
        <w:suppressLineNumbers w:val="0"/>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定远寨镇人民政府锚定政务公开高质量发展目标，以强化责任担当与主动作为为核心，全力推动政务公开工作向规范化、精准化、实效化深度迈进。持续坚守“以公开为常态，不公开为例外”的法定原则，聚焦群众需求与发展大局，着力实现公开内容全面精准、公开渠道便捷高效、办事结果公正可溯，切实做到“件件有回应、解读有实效”。现将我镇2025年度政府信息公开工作总体情况综述如下：</w:t>
      </w:r>
    </w:p>
    <w:p w14:paraId="1720B68F">
      <w:pPr>
        <w:keepNext w:val="0"/>
        <w:keepLines w:val="0"/>
        <w:pageBreakBefore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主动公开</w:t>
      </w:r>
    </w:p>
    <w:p w14:paraId="422EE1A8">
      <w:pPr>
        <w:keepNext w:val="0"/>
        <w:keepLines w:val="0"/>
        <w:widowControl/>
        <w:suppressLineNumbers w:val="0"/>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定远寨镇严格依照时限要求公开相关政府信息，严把信息质量关，推动政府信息公开工作常态化开展。通过冠县人民政府网站主动发布各类政府信息27条，内容涵盖镇街动态、依据信息、培训计划等领域信息。</w:t>
      </w:r>
    </w:p>
    <w:p w14:paraId="41092EE7">
      <w:pPr>
        <w:keepNext w:val="0"/>
        <w:keepLines w:val="0"/>
        <w:widowControl/>
        <w:suppressLineNumbers w:val="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drawing>
          <wp:inline distT="0" distB="0" distL="114300" distR="114300">
            <wp:extent cx="5622290" cy="3211195"/>
            <wp:effectExtent l="0" t="0" r="16510" b="8255"/>
            <wp:docPr id="3" name="图片 3" descr="1edc4db5-f46b-4b80-84ff-de438692fe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edc4db5-f46b-4b80-84ff-de438692fec6"/>
                    <pic:cNvPicPr>
                      <a:picLocks noChangeAspect="1"/>
                    </pic:cNvPicPr>
                  </pic:nvPicPr>
                  <pic:blipFill>
                    <a:blip r:embed="rId5"/>
                    <a:stretch>
                      <a:fillRect/>
                    </a:stretch>
                  </pic:blipFill>
                  <pic:spPr>
                    <a:xfrm>
                      <a:off x="0" y="0"/>
                      <a:ext cx="5622290" cy="3211195"/>
                    </a:xfrm>
                    <a:prstGeom prst="rect">
                      <a:avLst/>
                    </a:prstGeom>
                  </pic:spPr>
                </pic:pic>
              </a:graphicData>
            </a:graphic>
          </wp:inline>
        </w:drawing>
      </w:r>
    </w:p>
    <w:p w14:paraId="65213A45">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color w:val="auto"/>
          <w:sz w:val="32"/>
          <w:szCs w:val="32"/>
        </w:rPr>
      </w:pPr>
      <w:r>
        <w:rPr>
          <w:rFonts w:hint="eastAsia" w:ascii="CESI楷体-GB2312" w:hAnsi="CESI楷体-GB2312" w:eastAsia="CESI楷体-GB2312" w:cs="CESI楷体-GB2312"/>
          <w:b/>
          <w:bCs/>
          <w:sz w:val="32"/>
          <w:szCs w:val="32"/>
          <w:lang w:eastAsia="zh-CN"/>
        </w:rPr>
        <w:t>（</w:t>
      </w:r>
      <w:r>
        <w:rPr>
          <w:rFonts w:hint="eastAsia" w:ascii="CESI楷体-GB2312" w:hAnsi="CESI楷体-GB2312" w:eastAsia="CESI楷体-GB2312" w:cs="CESI楷体-GB2312"/>
          <w:b/>
          <w:bCs/>
          <w:color w:val="auto"/>
          <w:sz w:val="32"/>
          <w:szCs w:val="32"/>
          <w:lang w:eastAsia="zh-CN"/>
        </w:rPr>
        <w:t>二）</w:t>
      </w:r>
      <w:r>
        <w:rPr>
          <w:rFonts w:hint="eastAsia" w:ascii="CESI楷体-GB2312" w:hAnsi="CESI楷体-GB2312" w:eastAsia="CESI楷体-GB2312" w:cs="CESI楷体-GB2312"/>
          <w:b/>
          <w:bCs/>
          <w:color w:val="auto"/>
          <w:sz w:val="32"/>
          <w:szCs w:val="32"/>
        </w:rPr>
        <w:t>依申请公开</w:t>
      </w:r>
    </w:p>
    <w:p w14:paraId="7F0A8837">
      <w:pPr>
        <w:ind w:firstLine="640" w:firstLineChars="200"/>
        <w:rPr>
          <w:rFonts w:hint="eastAsia" w:ascii="仿宋_GB2312" w:eastAsia="仿宋_GB2312" w:cs="汉仪中等线简"/>
          <w:color w:val="auto"/>
          <w:sz w:val="32"/>
          <w:szCs w:val="32"/>
          <w:lang w:eastAsia="zh-CN"/>
        </w:rPr>
      </w:pPr>
      <w:r>
        <w:rPr>
          <w:rFonts w:hint="eastAsia" w:ascii="仿宋_GB2312" w:eastAsia="仿宋_GB2312"/>
          <w:color w:val="auto"/>
          <w:sz w:val="32"/>
          <w:szCs w:val="32"/>
          <w:lang w:val="en-US" w:eastAsia="zh-CN"/>
        </w:rPr>
        <w:t>2025年，共受理政府信息公开申请0件</w:t>
      </w:r>
      <w:r>
        <w:rPr>
          <w:rFonts w:hint="default" w:ascii="仿宋_GB2312" w:eastAsia="仿宋_GB2312"/>
          <w:color w:val="auto"/>
          <w:sz w:val="32"/>
          <w:szCs w:val="32"/>
          <w:lang w:val="en-US" w:eastAsia="zh-CN"/>
        </w:rPr>
        <w:t>。</w:t>
      </w:r>
      <w:r>
        <w:rPr>
          <w:rFonts w:hint="eastAsia" w:ascii="仿宋_GB2312" w:eastAsia="仿宋_GB2312" w:cs="汉仪中等线简"/>
          <w:color w:val="auto"/>
          <w:sz w:val="32"/>
          <w:szCs w:val="32"/>
          <w:highlight w:val="none"/>
          <w:lang w:eastAsia="zh-CN"/>
        </w:rPr>
        <w:t>全年未发生因政府信息公开被行政复议、提起行政诉讼情况。</w:t>
      </w:r>
    </w:p>
    <w:p w14:paraId="2A49402F">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color w:val="0000FF"/>
          <w:sz w:val="32"/>
          <w:szCs w:val="32"/>
          <w:lang w:eastAsia="zh-CN"/>
        </w:rPr>
      </w:pPr>
      <w:r>
        <w:rPr>
          <w:rFonts w:hint="eastAsia" w:ascii="CESI楷体-GB2312" w:hAnsi="CESI楷体-GB2312" w:eastAsia="CESI楷体-GB2312" w:cs="CESI楷体-GB2312"/>
          <w:b/>
          <w:bCs/>
          <w:color w:val="auto"/>
          <w:sz w:val="32"/>
          <w:szCs w:val="32"/>
          <w:lang w:eastAsia="zh-CN"/>
        </w:rPr>
        <w:t>（三）</w:t>
      </w:r>
      <w:r>
        <w:rPr>
          <w:rFonts w:hint="eastAsia" w:ascii="CESI楷体-GB2312" w:hAnsi="CESI楷体-GB2312" w:eastAsia="CESI楷体-GB2312" w:cs="CESI楷体-GB2312"/>
          <w:b/>
          <w:bCs/>
          <w:color w:val="auto"/>
          <w:sz w:val="32"/>
          <w:szCs w:val="32"/>
        </w:rPr>
        <w:t>政府信息管理</w:t>
      </w:r>
    </w:p>
    <w:p w14:paraId="251F6E85">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坚持</w:t>
      </w:r>
      <w:r>
        <w:rPr>
          <w:rFonts w:hint="eastAsia" w:ascii="仿宋_GB2312" w:hAnsi="仿宋_GB2312" w:eastAsia="仿宋_GB2312" w:cs="仿宋_GB2312"/>
          <w:b w:val="0"/>
          <w:bCs w:val="0"/>
          <w:sz w:val="32"/>
          <w:szCs w:val="32"/>
        </w:rPr>
        <w:t>政府信息管理基础制度，规范</w:t>
      </w:r>
      <w:r>
        <w:rPr>
          <w:rFonts w:hint="eastAsia" w:ascii="仿宋_GB2312" w:hAnsi="仿宋_GB2312" w:eastAsia="仿宋_GB2312" w:cs="仿宋_GB2312"/>
          <w:b w:val="0"/>
          <w:bCs w:val="0"/>
          <w:sz w:val="32"/>
          <w:szCs w:val="32"/>
          <w:lang w:eastAsia="zh-CN"/>
        </w:rPr>
        <w:t>信息</w:t>
      </w:r>
      <w:r>
        <w:rPr>
          <w:rFonts w:hint="eastAsia" w:ascii="仿宋_GB2312" w:hAnsi="仿宋_GB2312" w:eastAsia="仿宋_GB2312" w:cs="仿宋_GB2312"/>
          <w:b w:val="0"/>
          <w:bCs w:val="0"/>
          <w:sz w:val="32"/>
          <w:szCs w:val="32"/>
        </w:rPr>
        <w:t>管理。定期对公开事项进行梳理规范，做好动态调整工作。严格落实保密审查相关要求，严把信息发布关口。</w:t>
      </w:r>
      <w:r>
        <w:rPr>
          <w:rFonts w:hint="eastAsia" w:ascii="仿宋_GB2312" w:hAnsi="仿宋_GB2312" w:eastAsia="仿宋_GB2312" w:cs="仿宋_GB2312"/>
          <w:b w:val="0"/>
          <w:bCs w:val="0"/>
          <w:sz w:val="32"/>
          <w:szCs w:val="32"/>
          <w:lang w:eastAsia="zh-CN"/>
        </w:rPr>
        <w:t>全力</w:t>
      </w:r>
      <w:r>
        <w:rPr>
          <w:rFonts w:hint="eastAsia" w:ascii="仿宋_GB2312" w:hAnsi="仿宋_GB2312" w:eastAsia="仿宋_GB2312" w:cs="仿宋_GB2312"/>
          <w:b w:val="0"/>
          <w:bCs w:val="0"/>
          <w:sz w:val="32"/>
          <w:szCs w:val="32"/>
        </w:rPr>
        <w:t>保障群众便捷获取相关政府信息，稳步推进信息管理基础工作落地见效。</w:t>
      </w:r>
    </w:p>
    <w:p w14:paraId="77C3F5D3">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（四）</w:t>
      </w:r>
      <w:r>
        <w:rPr>
          <w:rFonts w:hint="eastAsia" w:ascii="CESI楷体-GB2312" w:hAnsi="CESI楷体-GB2312" w:eastAsia="CESI楷体-GB2312" w:cs="CESI楷体-GB2312"/>
          <w:b/>
          <w:bCs/>
          <w:sz w:val="32"/>
          <w:szCs w:val="32"/>
        </w:rPr>
        <w:t>政府信息公开平台建设</w:t>
      </w:r>
    </w:p>
    <w:p w14:paraId="176EDD5F">
      <w:pPr>
        <w:keepNext w:val="0"/>
        <w:keepLines w:val="0"/>
        <w:widowControl/>
        <w:suppressLineNumbers w:val="0"/>
        <w:ind w:firstLine="640" w:firstLineChars="200"/>
        <w:jc w:val="left"/>
      </w:pPr>
      <w:r>
        <w:rPr>
          <w:rFonts w:hint="eastAsia" w:ascii="仿宋_GB2312" w:eastAsia="仿宋_GB2312"/>
          <w:b w:val="0"/>
          <w:bCs w:val="0"/>
          <w:strike w:val="0"/>
          <w:dstrike w:val="0"/>
          <w:color w:val="auto"/>
          <w:sz w:val="32"/>
          <w:szCs w:val="32"/>
          <w:highlight w:val="none"/>
          <w:lang w:val="en-US" w:eastAsia="zh-CN"/>
        </w:rPr>
        <w:t>全力推进政府信息公开平台高效安全运维建设，以冠县人民政府网站为载体平台，保障机构设置详情、财政预决算报告、村庄规划方案等关键信息发布质效。持续深化政务公开体验区的建设管理工作，确保群众及时知晓政策解读、工作推进动态等各类信息。</w:t>
      </w:r>
    </w:p>
    <w:p w14:paraId="454F458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eastAsia="仿宋_GB2312"/>
          <w:strike w:val="0"/>
          <w:dstrike w:val="0"/>
          <w:sz w:val="32"/>
          <w:szCs w:val="32"/>
          <w:highlight w:val="none"/>
          <w:lang w:val="en-US" w:eastAsia="zh-CN"/>
        </w:rPr>
      </w:pPr>
      <w:r>
        <w:rPr>
          <w:rFonts w:hint="eastAsia" w:ascii="仿宋_GB2312" w:eastAsia="仿宋_GB2312"/>
          <w:strike w:val="0"/>
          <w:dstrike w:val="0"/>
          <w:sz w:val="32"/>
          <w:szCs w:val="32"/>
          <w:highlight w:val="none"/>
          <w:lang w:val="en-US" w:eastAsia="zh-CN"/>
        </w:rPr>
        <w:drawing>
          <wp:inline distT="0" distB="0" distL="114300" distR="114300">
            <wp:extent cx="3893185" cy="3954145"/>
            <wp:effectExtent l="0" t="0" r="12065" b="8255"/>
            <wp:docPr id="6" name="图片 6" descr="0aee3846a25808cbadda1af023f8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aee3846a25808cbadda1af023f83020"/>
                    <pic:cNvPicPr>
                      <a:picLocks noChangeAspect="1"/>
                    </pic:cNvPicPr>
                  </pic:nvPicPr>
                  <pic:blipFill>
                    <a:blip r:embed="rId6"/>
                    <a:srcRect l="12405" r="13754"/>
                    <a:stretch>
                      <a:fillRect/>
                    </a:stretch>
                  </pic:blipFill>
                  <pic:spPr>
                    <a:xfrm>
                      <a:off x="0" y="0"/>
                      <a:ext cx="3893185" cy="3954145"/>
                    </a:xfrm>
                    <a:prstGeom prst="rect">
                      <a:avLst/>
                    </a:prstGeom>
                  </pic:spPr>
                </pic:pic>
              </a:graphicData>
            </a:graphic>
          </wp:inline>
        </w:drawing>
      </w:r>
      <w:r>
        <w:rPr>
          <w:rFonts w:hint="eastAsia" w:ascii="仿宋_GB2312" w:eastAsia="仿宋_GB2312"/>
          <w:strike w:val="0"/>
          <w:dstrike w:val="0"/>
          <w:sz w:val="32"/>
          <w:szCs w:val="32"/>
          <w:highlight w:val="none"/>
          <w:lang w:val="en-US" w:eastAsia="zh-CN"/>
        </w:rPr>
        <w:drawing>
          <wp:inline distT="0" distB="0" distL="114300" distR="114300">
            <wp:extent cx="4569460" cy="3263265"/>
            <wp:effectExtent l="0" t="0" r="2540" b="13335"/>
            <wp:docPr id="4" name="图片 4" descr="e4710c3c1a0b7cd2f628d981562d46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4710c3c1a0b7cd2f628d981562d46bb"/>
                    <pic:cNvPicPr>
                      <a:picLocks noChangeAspect="1"/>
                    </pic:cNvPicPr>
                  </pic:nvPicPr>
                  <pic:blipFill>
                    <a:blip r:embed="rId7"/>
                    <a:srcRect t="6086" r="12851" b="10936"/>
                    <a:stretch>
                      <a:fillRect/>
                    </a:stretch>
                  </pic:blipFill>
                  <pic:spPr>
                    <a:xfrm>
                      <a:off x="0" y="0"/>
                      <a:ext cx="4569460" cy="3263265"/>
                    </a:xfrm>
                    <a:prstGeom prst="rect">
                      <a:avLst/>
                    </a:prstGeom>
                  </pic:spPr>
                </pic:pic>
              </a:graphicData>
            </a:graphic>
          </wp:inline>
        </w:drawing>
      </w:r>
    </w:p>
    <w:p w14:paraId="5B93FBC1">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kern w:val="2"/>
          <w:sz w:val="32"/>
          <w:szCs w:val="32"/>
          <w:lang w:val="en-US" w:eastAsia="zh-CN" w:bidi="ar-SA"/>
        </w:rPr>
        <w:t>（五）</w:t>
      </w:r>
      <w:r>
        <w:rPr>
          <w:rFonts w:hint="eastAsia" w:ascii="CESI楷体-GB2312" w:hAnsi="CESI楷体-GB2312" w:eastAsia="CESI楷体-GB2312" w:cs="CESI楷体-GB2312"/>
          <w:b/>
          <w:bCs/>
          <w:sz w:val="32"/>
          <w:szCs w:val="32"/>
        </w:rPr>
        <w:t>监督保障</w:t>
      </w:r>
    </w:p>
    <w:p w14:paraId="02F6CF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b w:val="0"/>
          <w:bCs w:val="0"/>
          <w:color w:val="auto"/>
          <w:sz w:val="32"/>
          <w:szCs w:val="32"/>
          <w:highlight w:val="none"/>
        </w:rPr>
      </w:pPr>
      <w:r>
        <w:rPr>
          <w:rFonts w:hint="eastAsia" w:ascii="仿宋_GB2312" w:eastAsia="仿宋_GB2312"/>
          <w:b w:val="0"/>
          <w:bCs w:val="0"/>
          <w:color w:val="auto"/>
          <w:sz w:val="32"/>
          <w:szCs w:val="32"/>
          <w:highlight w:val="none"/>
          <w:lang w:val="en-US" w:eastAsia="zh-CN"/>
        </w:rPr>
        <w:t>组织镇政府信息公开专题培训，开展12场政务公开宣讲活动，切实提升全镇政务公开队伍综合业务素养。主动畅通社会监督渠道，对排查发现的问题立行立改。明确2名专职人员统筹负责此项工作，累计组织4次政务公开专项培训；通过“政府开放日”活动，广泛倾听、吸纳群众意见建议，持续提高群众满意度。</w:t>
      </w:r>
    </w:p>
    <w:p w14:paraId="0660B37B">
      <w:pPr>
        <w:pStyle w:val="2"/>
        <w:numPr>
          <w:ilvl w:val="0"/>
          <w:numId w:val="0"/>
        </w:numPr>
        <w:spacing w:before="0" w:after="0" w:line="240" w:lineRule="auto"/>
        <w:ind w:firstLine="640" w:firstLineChars="200"/>
        <w:rPr>
          <w:rFonts w:hint="eastAsia"/>
        </w:rPr>
      </w:pPr>
      <w:bookmarkStart w:id="11" w:name="_GoBack"/>
      <w:bookmarkEnd w:id="11"/>
      <w:r>
        <w:rPr>
          <w:rFonts w:hint="eastAsia" w:ascii="CESI黑体-GB2312" w:hAnsi="CESI黑体-GB2312" w:eastAsia="CESI黑体-GB2312" w:cs="CESI黑体-GB2312"/>
          <w:b w:val="0"/>
          <w:bCs w:val="0"/>
          <w:lang w:eastAsia="zh-CN"/>
        </w:rPr>
        <w:t>二、</w:t>
      </w:r>
      <w:r>
        <w:rPr>
          <w:rFonts w:hint="eastAsia" w:ascii="CESI黑体-GB2312" w:hAnsi="CESI黑体-GB2312" w:eastAsia="CESI黑体-GB2312" w:cs="CESI黑体-GB2312"/>
          <w:b w:val="0"/>
          <w:bCs w:val="0"/>
        </w:rPr>
        <w:t>主动公开政府信息情况</w:t>
      </w:r>
    </w:p>
    <w:tbl>
      <w:tblPr>
        <w:tblStyle w:val="6"/>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130"/>
        <w:gridCol w:w="2130"/>
        <w:gridCol w:w="2131"/>
        <w:gridCol w:w="2131"/>
      </w:tblGrid>
      <w:tr w14:paraId="28F0CBAE">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B18853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2C787C2F">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54037F8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6B6632A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7E77EF4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0A9EB63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7AFAE696">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1FB2876">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4EBEB5EB">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31EA4F23">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196A42F2">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666A9DB4">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50AE156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57344396">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B6AE0D9">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25FD94B0">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2B5FFC32">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D66092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2EB63040">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2BAAE2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22980D0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23CB878">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5941F1C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44F2EB57">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2F31BF89">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A93966D">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011A003F">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309DA9B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282BC95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9F24C3E">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6F2B6BC6">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6C0C9789">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6ECA2DFB">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71B92453">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7DF5E009">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49F92474">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F1E4000">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1357F005">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6F9BBDF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4DE7695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771639E2">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76BEB463">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03A0FD9B">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14:paraId="791E1866">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5D94FC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4D17D2E9">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01168C3C">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14:paraId="6AA73EA5">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64E0B7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780866FB">
            <w:pPr>
              <w:jc w:val="center"/>
              <w:rPr>
                <w:rFonts w:ascii="仿宋_GB2312" w:hAnsi="Times New Roman" w:eastAsia="仿宋_GB2312"/>
                <w:szCs w:val="21"/>
              </w:rPr>
            </w:pPr>
          </w:p>
        </w:tc>
        <w:tc>
          <w:tcPr>
            <w:tcW w:w="829" w:type="dxa"/>
            <w:vMerge w:val="restart"/>
            <w:noWrap w:val="0"/>
            <w:tcMar>
              <w:left w:w="108" w:type="dxa"/>
              <w:right w:w="108" w:type="dxa"/>
            </w:tcMar>
            <w:vAlign w:val="center"/>
          </w:tcPr>
          <w:p w14:paraId="0A81D539">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14:paraId="39192A23">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14:paraId="310FC1FD">
            <w:pPr>
              <w:widowControl/>
              <w:jc w:val="center"/>
              <w:rPr>
                <w:rFonts w:ascii="黑体" w:hAnsi="黑体" w:eastAsia="黑体"/>
                <w:szCs w:val="21"/>
              </w:rPr>
            </w:pPr>
            <w:r>
              <w:rPr>
                <w:rFonts w:hint="eastAsia" w:ascii="黑体" w:hAnsi="黑体" w:eastAsia="黑体"/>
                <w:kern w:val="0"/>
                <w:szCs w:val="21"/>
              </w:rPr>
              <w:t>总计</w:t>
            </w:r>
          </w:p>
        </w:tc>
      </w:tr>
      <w:tr w14:paraId="061785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05A1714D">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14:paraId="20E9F7D1">
            <w:pPr>
              <w:jc w:val="center"/>
              <w:rPr>
                <w:rFonts w:ascii="黑体" w:hAnsi="黑体" w:eastAsia="黑体"/>
                <w:szCs w:val="21"/>
              </w:rPr>
            </w:pPr>
          </w:p>
        </w:tc>
        <w:tc>
          <w:tcPr>
            <w:tcW w:w="567" w:type="dxa"/>
            <w:noWrap w:val="0"/>
            <w:tcMar>
              <w:left w:w="108" w:type="dxa"/>
              <w:right w:w="108" w:type="dxa"/>
            </w:tcMar>
            <w:vAlign w:val="center"/>
          </w:tcPr>
          <w:p w14:paraId="0F126E9C">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14:paraId="25A29CD8">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14:paraId="1CE0B382">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14:paraId="06C6C31B">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14:paraId="59CB5F1C">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14:paraId="3FA0BE08">
            <w:pPr>
              <w:jc w:val="center"/>
              <w:rPr>
                <w:rFonts w:ascii="仿宋_GB2312" w:hAnsi="Times New Roman" w:eastAsia="仿宋_GB2312"/>
                <w:szCs w:val="21"/>
              </w:rPr>
            </w:pPr>
          </w:p>
        </w:tc>
      </w:tr>
      <w:tr w14:paraId="660FA8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4357F57B">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14:paraId="6C61550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8E40C6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7137F9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25A76A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80D370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B20114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2178D1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20535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2FB2FEEC">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14:paraId="1AF649E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8545E1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4169F4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55E635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406CD8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8C6337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CBD501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51FDA3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574DB714">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14:paraId="567CB4FC">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14:paraId="6EE0EC5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F6B5AA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928C8F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806957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07B4F7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611A85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9B6F9B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120C5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416" w:type="dxa"/>
            <w:vMerge w:val="continue"/>
            <w:noWrap w:val="0"/>
            <w:tcMar>
              <w:left w:w="108" w:type="dxa"/>
              <w:right w:w="108" w:type="dxa"/>
            </w:tcMar>
            <w:vAlign w:val="center"/>
          </w:tcPr>
          <w:p w14:paraId="5300FA14">
            <w:pPr>
              <w:rPr>
                <w:rFonts w:ascii="黑体" w:hAnsi="黑体" w:eastAsia="黑体"/>
                <w:szCs w:val="21"/>
              </w:rPr>
            </w:pPr>
          </w:p>
        </w:tc>
        <w:tc>
          <w:tcPr>
            <w:tcW w:w="4677" w:type="dxa"/>
            <w:gridSpan w:val="2"/>
            <w:noWrap w:val="0"/>
            <w:tcMar>
              <w:left w:w="108" w:type="dxa"/>
              <w:right w:w="108" w:type="dxa"/>
            </w:tcMar>
            <w:vAlign w:val="center"/>
          </w:tcPr>
          <w:p w14:paraId="54D21AD8">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14:paraId="6DF0567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06D072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9C1BD0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CB6087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B5CB2E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BF8C97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E1DC4E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04D79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A0A0FDD">
            <w:pPr>
              <w:rPr>
                <w:rFonts w:ascii="黑体" w:hAnsi="黑体" w:eastAsia="黑体"/>
                <w:szCs w:val="21"/>
              </w:rPr>
            </w:pPr>
          </w:p>
        </w:tc>
        <w:tc>
          <w:tcPr>
            <w:tcW w:w="1701" w:type="dxa"/>
            <w:vMerge w:val="restart"/>
            <w:noWrap w:val="0"/>
            <w:tcMar>
              <w:left w:w="108" w:type="dxa"/>
              <w:right w:w="108" w:type="dxa"/>
            </w:tcMar>
            <w:vAlign w:val="center"/>
          </w:tcPr>
          <w:p w14:paraId="43352791">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14:paraId="0D508220">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14:paraId="573A68A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FD0F39A">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4C19AC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41F998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C40773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B7FC55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AE66B5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76330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DBFEE5C">
            <w:pPr>
              <w:rPr>
                <w:rFonts w:ascii="黑体" w:hAnsi="黑体" w:eastAsia="黑体"/>
                <w:szCs w:val="21"/>
              </w:rPr>
            </w:pPr>
          </w:p>
        </w:tc>
        <w:tc>
          <w:tcPr>
            <w:tcW w:w="1701" w:type="dxa"/>
            <w:vMerge w:val="continue"/>
            <w:noWrap w:val="0"/>
            <w:tcMar>
              <w:left w:w="108" w:type="dxa"/>
              <w:right w:w="108" w:type="dxa"/>
            </w:tcMar>
            <w:vAlign w:val="center"/>
          </w:tcPr>
          <w:p w14:paraId="045B2095">
            <w:pPr>
              <w:spacing w:line="200" w:lineRule="exact"/>
              <w:rPr>
                <w:rFonts w:ascii="黑体" w:hAnsi="黑体" w:eastAsia="黑体"/>
                <w:szCs w:val="21"/>
              </w:rPr>
            </w:pPr>
          </w:p>
        </w:tc>
        <w:tc>
          <w:tcPr>
            <w:tcW w:w="2976" w:type="dxa"/>
            <w:noWrap w:val="0"/>
            <w:tcMar>
              <w:left w:w="108" w:type="dxa"/>
              <w:right w:w="108" w:type="dxa"/>
            </w:tcMar>
            <w:vAlign w:val="center"/>
          </w:tcPr>
          <w:p w14:paraId="3A3AD849">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14:paraId="5A1D86E7">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6701A6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FBDDAF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498832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6FDF79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313AB6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DECF0F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73107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0B889F9">
            <w:pPr>
              <w:rPr>
                <w:rFonts w:ascii="黑体" w:hAnsi="黑体" w:eastAsia="黑体"/>
                <w:szCs w:val="21"/>
              </w:rPr>
            </w:pPr>
          </w:p>
        </w:tc>
        <w:tc>
          <w:tcPr>
            <w:tcW w:w="1701" w:type="dxa"/>
            <w:vMerge w:val="continue"/>
            <w:noWrap w:val="0"/>
            <w:tcMar>
              <w:left w:w="108" w:type="dxa"/>
              <w:right w:w="108" w:type="dxa"/>
            </w:tcMar>
            <w:vAlign w:val="center"/>
          </w:tcPr>
          <w:p w14:paraId="36E8FE81">
            <w:pPr>
              <w:spacing w:line="200" w:lineRule="exact"/>
              <w:rPr>
                <w:rFonts w:ascii="黑体" w:hAnsi="黑体" w:eastAsia="黑体"/>
                <w:szCs w:val="21"/>
              </w:rPr>
            </w:pPr>
          </w:p>
        </w:tc>
        <w:tc>
          <w:tcPr>
            <w:tcW w:w="2976" w:type="dxa"/>
            <w:noWrap w:val="0"/>
            <w:tcMar>
              <w:left w:w="108" w:type="dxa"/>
              <w:right w:w="108" w:type="dxa"/>
            </w:tcMar>
            <w:vAlign w:val="center"/>
          </w:tcPr>
          <w:p w14:paraId="74179A7C">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14:paraId="266E26DC">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370A152">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517BE7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F9046D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CE7736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B7473D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11770E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BC984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388E560">
            <w:pPr>
              <w:rPr>
                <w:rFonts w:ascii="黑体" w:hAnsi="黑体" w:eastAsia="黑体"/>
                <w:szCs w:val="21"/>
              </w:rPr>
            </w:pPr>
          </w:p>
        </w:tc>
        <w:tc>
          <w:tcPr>
            <w:tcW w:w="1701" w:type="dxa"/>
            <w:vMerge w:val="continue"/>
            <w:noWrap w:val="0"/>
            <w:tcMar>
              <w:left w:w="108" w:type="dxa"/>
              <w:right w:w="108" w:type="dxa"/>
            </w:tcMar>
            <w:vAlign w:val="center"/>
          </w:tcPr>
          <w:p w14:paraId="0F77F604">
            <w:pPr>
              <w:spacing w:line="200" w:lineRule="exact"/>
              <w:rPr>
                <w:rFonts w:ascii="黑体" w:hAnsi="黑体" w:eastAsia="黑体"/>
                <w:szCs w:val="21"/>
              </w:rPr>
            </w:pPr>
          </w:p>
        </w:tc>
        <w:tc>
          <w:tcPr>
            <w:tcW w:w="2976" w:type="dxa"/>
            <w:noWrap w:val="0"/>
            <w:tcMar>
              <w:left w:w="108" w:type="dxa"/>
              <w:right w:w="108" w:type="dxa"/>
            </w:tcMar>
            <w:vAlign w:val="center"/>
          </w:tcPr>
          <w:p w14:paraId="53A30F6C">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14:paraId="63B07C1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653DB2C">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C9F395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E33BC1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EAAF66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446CD6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CA77F0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3B972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5D2F6BD">
            <w:pPr>
              <w:rPr>
                <w:rFonts w:ascii="黑体" w:hAnsi="黑体" w:eastAsia="黑体"/>
                <w:szCs w:val="21"/>
              </w:rPr>
            </w:pPr>
          </w:p>
        </w:tc>
        <w:tc>
          <w:tcPr>
            <w:tcW w:w="1701" w:type="dxa"/>
            <w:vMerge w:val="continue"/>
            <w:noWrap w:val="0"/>
            <w:tcMar>
              <w:left w:w="108" w:type="dxa"/>
              <w:right w:w="108" w:type="dxa"/>
            </w:tcMar>
            <w:vAlign w:val="center"/>
          </w:tcPr>
          <w:p w14:paraId="3DDF462E">
            <w:pPr>
              <w:spacing w:line="200" w:lineRule="exact"/>
              <w:rPr>
                <w:rFonts w:ascii="黑体" w:hAnsi="黑体" w:eastAsia="黑体"/>
                <w:szCs w:val="21"/>
              </w:rPr>
            </w:pPr>
          </w:p>
        </w:tc>
        <w:tc>
          <w:tcPr>
            <w:tcW w:w="2976" w:type="dxa"/>
            <w:noWrap w:val="0"/>
            <w:tcMar>
              <w:left w:w="108" w:type="dxa"/>
              <w:right w:w="108" w:type="dxa"/>
            </w:tcMar>
            <w:vAlign w:val="center"/>
          </w:tcPr>
          <w:p w14:paraId="1BEDD2A8">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14:paraId="637F7C9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3FFF464">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57EFA1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5FF10B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911926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57EC34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D82FFE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15178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0CF13B9">
            <w:pPr>
              <w:rPr>
                <w:rFonts w:ascii="黑体" w:hAnsi="黑体" w:eastAsia="黑体"/>
                <w:szCs w:val="21"/>
              </w:rPr>
            </w:pPr>
          </w:p>
        </w:tc>
        <w:tc>
          <w:tcPr>
            <w:tcW w:w="1701" w:type="dxa"/>
            <w:vMerge w:val="continue"/>
            <w:noWrap w:val="0"/>
            <w:tcMar>
              <w:left w:w="108" w:type="dxa"/>
              <w:right w:w="108" w:type="dxa"/>
            </w:tcMar>
            <w:vAlign w:val="center"/>
          </w:tcPr>
          <w:p w14:paraId="145D3447">
            <w:pPr>
              <w:spacing w:line="200" w:lineRule="exact"/>
              <w:rPr>
                <w:rFonts w:ascii="黑体" w:hAnsi="黑体" w:eastAsia="黑体"/>
                <w:szCs w:val="21"/>
              </w:rPr>
            </w:pPr>
          </w:p>
        </w:tc>
        <w:tc>
          <w:tcPr>
            <w:tcW w:w="2976" w:type="dxa"/>
            <w:noWrap w:val="0"/>
            <w:tcMar>
              <w:left w:w="108" w:type="dxa"/>
              <w:right w:w="108" w:type="dxa"/>
            </w:tcMar>
            <w:vAlign w:val="center"/>
          </w:tcPr>
          <w:p w14:paraId="03DBCD0C">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noWrap w:val="0"/>
            <w:tcMar>
              <w:left w:w="108" w:type="dxa"/>
              <w:right w:w="108" w:type="dxa"/>
            </w:tcMar>
            <w:vAlign w:val="center"/>
          </w:tcPr>
          <w:p w14:paraId="2490900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DDDDE85">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F83FE2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E5FC14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6DB293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8D60E0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A1C746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415A6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F1E3D3C">
            <w:pPr>
              <w:rPr>
                <w:rFonts w:ascii="黑体" w:hAnsi="黑体" w:eastAsia="黑体"/>
                <w:szCs w:val="21"/>
              </w:rPr>
            </w:pPr>
          </w:p>
        </w:tc>
        <w:tc>
          <w:tcPr>
            <w:tcW w:w="1701" w:type="dxa"/>
            <w:vMerge w:val="continue"/>
            <w:noWrap w:val="0"/>
            <w:tcMar>
              <w:left w:w="108" w:type="dxa"/>
              <w:right w:w="108" w:type="dxa"/>
            </w:tcMar>
            <w:vAlign w:val="center"/>
          </w:tcPr>
          <w:p w14:paraId="047D57EB">
            <w:pPr>
              <w:spacing w:line="200" w:lineRule="exact"/>
              <w:rPr>
                <w:rFonts w:ascii="黑体" w:hAnsi="黑体" w:eastAsia="黑体"/>
                <w:szCs w:val="21"/>
              </w:rPr>
            </w:pPr>
          </w:p>
        </w:tc>
        <w:tc>
          <w:tcPr>
            <w:tcW w:w="2976" w:type="dxa"/>
            <w:noWrap w:val="0"/>
            <w:tcMar>
              <w:left w:w="108" w:type="dxa"/>
              <w:right w:w="108" w:type="dxa"/>
            </w:tcMar>
            <w:vAlign w:val="center"/>
          </w:tcPr>
          <w:p w14:paraId="79BAEFB1">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14:paraId="5D6578AE">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7A3858A">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CC9A91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748E64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4C0ABB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02F8E7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06850C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82DC3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43E099E">
            <w:pPr>
              <w:rPr>
                <w:rFonts w:ascii="黑体" w:hAnsi="黑体" w:eastAsia="黑体"/>
                <w:szCs w:val="21"/>
              </w:rPr>
            </w:pPr>
          </w:p>
        </w:tc>
        <w:tc>
          <w:tcPr>
            <w:tcW w:w="1701" w:type="dxa"/>
            <w:vMerge w:val="continue"/>
            <w:noWrap w:val="0"/>
            <w:tcMar>
              <w:left w:w="108" w:type="dxa"/>
              <w:right w:w="108" w:type="dxa"/>
            </w:tcMar>
            <w:vAlign w:val="center"/>
          </w:tcPr>
          <w:p w14:paraId="534E6526">
            <w:pPr>
              <w:spacing w:line="200" w:lineRule="exact"/>
              <w:rPr>
                <w:rFonts w:ascii="黑体" w:hAnsi="黑体" w:eastAsia="黑体"/>
                <w:szCs w:val="21"/>
              </w:rPr>
            </w:pPr>
          </w:p>
        </w:tc>
        <w:tc>
          <w:tcPr>
            <w:tcW w:w="2976" w:type="dxa"/>
            <w:noWrap w:val="0"/>
            <w:tcMar>
              <w:left w:w="108" w:type="dxa"/>
              <w:right w:w="108" w:type="dxa"/>
            </w:tcMar>
            <w:vAlign w:val="center"/>
          </w:tcPr>
          <w:p w14:paraId="3A382D29">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noWrap w:val="0"/>
            <w:tcMar>
              <w:left w:w="108" w:type="dxa"/>
              <w:right w:w="108" w:type="dxa"/>
            </w:tcMar>
            <w:vAlign w:val="center"/>
          </w:tcPr>
          <w:p w14:paraId="04A31FFC">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D2F8AEF">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2C8B2F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3DAADC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A2DE46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4E7D1F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40A6C7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44AFA7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2B66904">
            <w:pPr>
              <w:rPr>
                <w:rFonts w:ascii="黑体" w:hAnsi="黑体" w:eastAsia="黑体"/>
                <w:szCs w:val="21"/>
              </w:rPr>
            </w:pPr>
          </w:p>
        </w:tc>
        <w:tc>
          <w:tcPr>
            <w:tcW w:w="1701" w:type="dxa"/>
            <w:vMerge w:val="restart"/>
            <w:noWrap w:val="0"/>
            <w:tcMar>
              <w:left w:w="108" w:type="dxa"/>
              <w:right w:w="108" w:type="dxa"/>
            </w:tcMar>
            <w:vAlign w:val="center"/>
          </w:tcPr>
          <w:p w14:paraId="053929B5">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14:paraId="2A145942">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14:paraId="49419157">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8088343">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2C3E11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5DADA0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B419AC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ED7A3D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D32B53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C2B64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5FC1951">
            <w:pPr>
              <w:rPr>
                <w:rFonts w:ascii="黑体" w:hAnsi="黑体" w:eastAsia="黑体"/>
                <w:szCs w:val="21"/>
              </w:rPr>
            </w:pPr>
          </w:p>
        </w:tc>
        <w:tc>
          <w:tcPr>
            <w:tcW w:w="1701" w:type="dxa"/>
            <w:vMerge w:val="continue"/>
            <w:noWrap w:val="0"/>
            <w:tcMar>
              <w:left w:w="108" w:type="dxa"/>
              <w:right w:w="108" w:type="dxa"/>
            </w:tcMar>
            <w:vAlign w:val="center"/>
          </w:tcPr>
          <w:p w14:paraId="1D9A7809">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7BDAF613">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noWrap w:val="0"/>
            <w:tcMar>
              <w:left w:w="108" w:type="dxa"/>
              <w:right w:w="108" w:type="dxa"/>
            </w:tcMar>
            <w:vAlign w:val="center"/>
          </w:tcPr>
          <w:p w14:paraId="59D928B9">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486C390">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CEC6DB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578773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505B57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BEE129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FAADF8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CF3AA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40B05B0">
            <w:pPr>
              <w:rPr>
                <w:rFonts w:ascii="黑体" w:hAnsi="黑体" w:eastAsia="黑体"/>
                <w:szCs w:val="21"/>
              </w:rPr>
            </w:pPr>
          </w:p>
        </w:tc>
        <w:tc>
          <w:tcPr>
            <w:tcW w:w="1701" w:type="dxa"/>
            <w:vMerge w:val="continue"/>
            <w:noWrap w:val="0"/>
            <w:tcMar>
              <w:left w:w="108" w:type="dxa"/>
              <w:right w:w="108" w:type="dxa"/>
            </w:tcMar>
            <w:vAlign w:val="center"/>
          </w:tcPr>
          <w:p w14:paraId="78751A66">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168A75F0">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noWrap w:val="0"/>
            <w:tcMar>
              <w:left w:w="108" w:type="dxa"/>
              <w:right w:w="108" w:type="dxa"/>
            </w:tcMar>
            <w:vAlign w:val="center"/>
          </w:tcPr>
          <w:p w14:paraId="149CB188">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E32D84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FB1E26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194BAE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60BF83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ECF759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F025B9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F1E8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790A323">
            <w:pPr>
              <w:rPr>
                <w:rFonts w:ascii="黑体" w:hAnsi="黑体" w:eastAsia="黑体"/>
                <w:szCs w:val="21"/>
              </w:rPr>
            </w:pPr>
          </w:p>
        </w:tc>
        <w:tc>
          <w:tcPr>
            <w:tcW w:w="1701" w:type="dxa"/>
            <w:vMerge w:val="restart"/>
            <w:noWrap w:val="0"/>
            <w:tcMar>
              <w:left w:w="108" w:type="dxa"/>
              <w:right w:w="108" w:type="dxa"/>
            </w:tcMar>
            <w:vAlign w:val="center"/>
          </w:tcPr>
          <w:p w14:paraId="1CBB344E">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14:paraId="225333C4">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noWrap w:val="0"/>
            <w:tcMar>
              <w:left w:w="108" w:type="dxa"/>
              <w:right w:w="108" w:type="dxa"/>
            </w:tcMar>
            <w:vAlign w:val="center"/>
          </w:tcPr>
          <w:p w14:paraId="34DA410E">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C588B7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868984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6F0D5D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3F789F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F52F8D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A3E4ED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626F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5054D0A">
            <w:pPr>
              <w:rPr>
                <w:rFonts w:ascii="黑体" w:hAnsi="黑体" w:eastAsia="黑体"/>
                <w:szCs w:val="21"/>
              </w:rPr>
            </w:pPr>
          </w:p>
        </w:tc>
        <w:tc>
          <w:tcPr>
            <w:tcW w:w="1701" w:type="dxa"/>
            <w:vMerge w:val="continue"/>
            <w:noWrap w:val="0"/>
            <w:tcMar>
              <w:left w:w="108" w:type="dxa"/>
              <w:right w:w="108" w:type="dxa"/>
            </w:tcMar>
            <w:vAlign w:val="center"/>
          </w:tcPr>
          <w:p w14:paraId="2DD96CFC">
            <w:pPr>
              <w:spacing w:line="200" w:lineRule="exact"/>
              <w:rPr>
                <w:rFonts w:ascii="黑体" w:hAnsi="黑体" w:eastAsia="黑体"/>
                <w:szCs w:val="21"/>
              </w:rPr>
            </w:pPr>
          </w:p>
        </w:tc>
        <w:tc>
          <w:tcPr>
            <w:tcW w:w="2976" w:type="dxa"/>
            <w:noWrap w:val="0"/>
            <w:tcMar>
              <w:left w:w="108" w:type="dxa"/>
              <w:right w:w="108" w:type="dxa"/>
            </w:tcMar>
            <w:vAlign w:val="center"/>
          </w:tcPr>
          <w:p w14:paraId="334E74C1">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14:paraId="6F5F7B16">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D2549FA">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6E2485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0B4508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227E0E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599435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28E1CA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EB2ED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6F30EEE">
            <w:pPr>
              <w:rPr>
                <w:rFonts w:ascii="黑体" w:hAnsi="黑体" w:eastAsia="黑体"/>
                <w:szCs w:val="21"/>
              </w:rPr>
            </w:pPr>
          </w:p>
        </w:tc>
        <w:tc>
          <w:tcPr>
            <w:tcW w:w="1701" w:type="dxa"/>
            <w:vMerge w:val="continue"/>
            <w:noWrap w:val="0"/>
            <w:tcMar>
              <w:left w:w="108" w:type="dxa"/>
              <w:right w:w="108" w:type="dxa"/>
            </w:tcMar>
            <w:vAlign w:val="center"/>
          </w:tcPr>
          <w:p w14:paraId="21A0EBEB">
            <w:pPr>
              <w:spacing w:line="200" w:lineRule="exact"/>
              <w:rPr>
                <w:rFonts w:ascii="黑体" w:hAnsi="黑体" w:eastAsia="黑体"/>
                <w:szCs w:val="21"/>
              </w:rPr>
            </w:pPr>
          </w:p>
        </w:tc>
        <w:tc>
          <w:tcPr>
            <w:tcW w:w="2976" w:type="dxa"/>
            <w:noWrap w:val="0"/>
            <w:tcMar>
              <w:left w:w="108" w:type="dxa"/>
              <w:right w:w="108" w:type="dxa"/>
            </w:tcMar>
            <w:vAlign w:val="center"/>
          </w:tcPr>
          <w:p w14:paraId="7EFE2EB8">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14:paraId="699BD8A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EFFE36E">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692F65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DFA719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BBE01C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1CB37C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33EBE8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CEBB2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50AFEEF4">
            <w:pPr>
              <w:rPr>
                <w:rFonts w:ascii="黑体" w:hAnsi="黑体" w:eastAsia="黑体"/>
                <w:szCs w:val="21"/>
              </w:rPr>
            </w:pPr>
          </w:p>
        </w:tc>
        <w:tc>
          <w:tcPr>
            <w:tcW w:w="1701" w:type="dxa"/>
            <w:vMerge w:val="continue"/>
            <w:noWrap w:val="0"/>
            <w:tcMar>
              <w:left w:w="108" w:type="dxa"/>
              <w:right w:w="108" w:type="dxa"/>
            </w:tcMar>
            <w:vAlign w:val="center"/>
          </w:tcPr>
          <w:p w14:paraId="2A907159">
            <w:pPr>
              <w:spacing w:line="200" w:lineRule="exact"/>
              <w:rPr>
                <w:rFonts w:ascii="黑体" w:hAnsi="黑体" w:eastAsia="黑体"/>
                <w:szCs w:val="21"/>
              </w:rPr>
            </w:pPr>
          </w:p>
        </w:tc>
        <w:tc>
          <w:tcPr>
            <w:tcW w:w="2976" w:type="dxa"/>
            <w:noWrap w:val="0"/>
            <w:tcMar>
              <w:left w:w="108" w:type="dxa"/>
              <w:right w:w="108" w:type="dxa"/>
            </w:tcMar>
            <w:vAlign w:val="center"/>
          </w:tcPr>
          <w:p w14:paraId="74FED3FB">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14:paraId="2109F23D">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BEDC66A">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96C650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A8903F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E91330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7AA111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C66556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4383D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B82A9AB">
            <w:pPr>
              <w:rPr>
                <w:rFonts w:ascii="黑体" w:hAnsi="黑体" w:eastAsia="黑体"/>
                <w:szCs w:val="21"/>
              </w:rPr>
            </w:pPr>
          </w:p>
        </w:tc>
        <w:tc>
          <w:tcPr>
            <w:tcW w:w="1701" w:type="dxa"/>
            <w:vMerge w:val="continue"/>
            <w:noWrap w:val="0"/>
            <w:tcMar>
              <w:left w:w="108" w:type="dxa"/>
              <w:right w:w="108" w:type="dxa"/>
            </w:tcMar>
            <w:vAlign w:val="center"/>
          </w:tcPr>
          <w:p w14:paraId="53750153">
            <w:pPr>
              <w:spacing w:line="200" w:lineRule="exact"/>
              <w:rPr>
                <w:rFonts w:ascii="黑体" w:hAnsi="黑体" w:eastAsia="黑体"/>
                <w:szCs w:val="21"/>
              </w:rPr>
            </w:pPr>
          </w:p>
        </w:tc>
        <w:tc>
          <w:tcPr>
            <w:tcW w:w="2976" w:type="dxa"/>
            <w:noWrap w:val="0"/>
            <w:tcMar>
              <w:left w:w="108" w:type="dxa"/>
              <w:right w:w="108" w:type="dxa"/>
            </w:tcMar>
            <w:vAlign w:val="center"/>
          </w:tcPr>
          <w:p w14:paraId="1008EC52">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14:paraId="29D18F4A">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7DDD799">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44567F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181299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FB5331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FEDDC1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3E4C41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A303F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DA92464">
            <w:pPr>
              <w:rPr>
                <w:rFonts w:ascii="黑体" w:hAnsi="黑体" w:eastAsia="黑体"/>
                <w:szCs w:val="21"/>
              </w:rPr>
            </w:pPr>
          </w:p>
        </w:tc>
        <w:tc>
          <w:tcPr>
            <w:tcW w:w="1701" w:type="dxa"/>
            <w:vMerge w:val="restart"/>
            <w:noWrap w:val="0"/>
            <w:tcMar>
              <w:left w:w="108" w:type="dxa"/>
              <w:right w:w="108" w:type="dxa"/>
            </w:tcMar>
            <w:vAlign w:val="center"/>
          </w:tcPr>
          <w:p w14:paraId="4F99DAFD">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14:paraId="17424588">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14:paraId="319C807C">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11034B6">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9926ED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236EA2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AD033E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32FCEF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22BE87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10E00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1DA43A2">
            <w:pPr>
              <w:rPr>
                <w:rFonts w:ascii="黑体" w:hAnsi="黑体" w:eastAsia="黑体"/>
                <w:szCs w:val="21"/>
              </w:rPr>
            </w:pPr>
          </w:p>
        </w:tc>
        <w:tc>
          <w:tcPr>
            <w:tcW w:w="1701" w:type="dxa"/>
            <w:vMerge w:val="continue"/>
            <w:noWrap w:val="0"/>
            <w:tcMar>
              <w:left w:w="108" w:type="dxa"/>
              <w:right w:w="108" w:type="dxa"/>
            </w:tcMar>
            <w:vAlign w:val="center"/>
          </w:tcPr>
          <w:p w14:paraId="262E47FA">
            <w:pPr>
              <w:widowControl/>
              <w:spacing w:line="300" w:lineRule="exact"/>
              <w:rPr>
                <w:rFonts w:ascii="黑体" w:hAnsi="黑体" w:eastAsia="黑体"/>
                <w:kern w:val="0"/>
                <w:szCs w:val="21"/>
              </w:rPr>
            </w:pPr>
          </w:p>
        </w:tc>
        <w:tc>
          <w:tcPr>
            <w:tcW w:w="2976" w:type="dxa"/>
            <w:noWrap w:val="0"/>
            <w:vAlign w:val="center"/>
          </w:tcPr>
          <w:p w14:paraId="542485C2">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1675AF42">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C7364D4">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8C6095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67610D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D4EFA5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BBB866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89AE91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600DA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AFE3B12">
            <w:pPr>
              <w:rPr>
                <w:rFonts w:ascii="黑体" w:hAnsi="黑体" w:eastAsia="黑体"/>
                <w:szCs w:val="21"/>
              </w:rPr>
            </w:pPr>
          </w:p>
        </w:tc>
        <w:tc>
          <w:tcPr>
            <w:tcW w:w="1701" w:type="dxa"/>
            <w:vMerge w:val="continue"/>
            <w:noWrap w:val="0"/>
            <w:tcMar>
              <w:left w:w="108" w:type="dxa"/>
              <w:right w:w="108" w:type="dxa"/>
            </w:tcMar>
            <w:vAlign w:val="center"/>
          </w:tcPr>
          <w:p w14:paraId="7F5E7A25">
            <w:pPr>
              <w:widowControl/>
              <w:spacing w:line="300" w:lineRule="exact"/>
              <w:rPr>
                <w:rFonts w:ascii="黑体" w:hAnsi="黑体" w:eastAsia="黑体"/>
                <w:kern w:val="0"/>
                <w:szCs w:val="21"/>
              </w:rPr>
            </w:pPr>
          </w:p>
        </w:tc>
        <w:tc>
          <w:tcPr>
            <w:tcW w:w="2976" w:type="dxa"/>
            <w:noWrap w:val="0"/>
            <w:vAlign w:val="center"/>
          </w:tcPr>
          <w:p w14:paraId="1D9B1CF9">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14:paraId="2A480F87">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1BD5C0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AA7756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9B7758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C5159D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93FE14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DF0334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84501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31BDB5C6">
            <w:pPr>
              <w:rPr>
                <w:rFonts w:ascii="黑体" w:hAnsi="黑体" w:eastAsia="黑体"/>
                <w:szCs w:val="21"/>
              </w:rPr>
            </w:pPr>
          </w:p>
        </w:tc>
        <w:tc>
          <w:tcPr>
            <w:tcW w:w="4677" w:type="dxa"/>
            <w:gridSpan w:val="2"/>
            <w:noWrap w:val="0"/>
            <w:tcMar>
              <w:left w:w="108" w:type="dxa"/>
              <w:right w:w="108" w:type="dxa"/>
            </w:tcMar>
            <w:vAlign w:val="center"/>
          </w:tcPr>
          <w:p w14:paraId="3E0BD34C">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14:paraId="2BC32F3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1742CAD">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465ACA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6566E1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B04774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6B3A4A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278F21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5C2461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73982C3F">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14:paraId="233A6895">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17EC78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2F844D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2FCA57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5A25A0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8705C6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7E3A7A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14:paraId="0219CFF9">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127647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EA59C95">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11952FD7">
            <w:pPr>
              <w:widowControl/>
              <w:jc w:val="center"/>
              <w:rPr>
                <w:rFonts w:ascii="黑体" w:hAnsi="黑体" w:eastAsia="黑体"/>
              </w:rPr>
            </w:pPr>
            <w:r>
              <w:rPr>
                <w:rFonts w:ascii="黑体" w:hAnsi="黑体" w:eastAsia="黑体"/>
                <w:kern w:val="0"/>
                <w:sz w:val="20"/>
                <w:szCs w:val="20"/>
              </w:rPr>
              <w:t>行政诉讼</w:t>
            </w:r>
          </w:p>
        </w:tc>
      </w:tr>
      <w:tr w14:paraId="5ED017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9213D39">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7D192ACB">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64282096">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A19F9FF">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395A63C0">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7B88DC93">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E343808">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46EC4950">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34637D19">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29335693">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14:paraId="687C06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63BB8DC">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77EF4D4F">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64E2441">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04F7484D">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20CBC60E">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225BCF6B">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8D54A41">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B90584F">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50FA2D3F">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03B4937">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56439EB4">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00C0053">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6797C0D">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9F72B31">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2A7E4B56">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B45A6E3">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21427C42">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BC605F1">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EAB4223">
            <w:pPr>
              <w:widowControl/>
              <w:jc w:val="center"/>
              <w:rPr>
                <w:rFonts w:ascii="黑体" w:hAnsi="黑体" w:eastAsia="黑体"/>
              </w:rPr>
            </w:pPr>
            <w:r>
              <w:rPr>
                <w:rFonts w:ascii="黑体" w:hAnsi="黑体" w:eastAsia="黑体"/>
                <w:kern w:val="0"/>
                <w:sz w:val="20"/>
                <w:szCs w:val="20"/>
              </w:rPr>
              <w:t>总计</w:t>
            </w:r>
          </w:p>
        </w:tc>
      </w:tr>
      <w:tr w14:paraId="49B556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600B166">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5C17612">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4DBC2E5A">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4FA413B6">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6BEBF8E8">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7896CD8D">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1FFAF1D">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E63014E">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138BFBE">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1F1FD3A">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A16E6A0">
            <w:pPr>
              <w:widowControl/>
              <w:spacing w:after="180"/>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DEAEBE8">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525D44D">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519361CC">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5C4A81E9">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14:paraId="5C9545AA">
      <w:pPr>
        <w:pStyle w:val="2"/>
        <w:numPr>
          <w:ilvl w:val="0"/>
          <w:numId w:val="0"/>
        </w:numPr>
        <w:spacing w:before="0" w:after="0" w:line="240" w:lineRule="auto"/>
        <w:ind w:firstLine="640" w:firstLineChars="200"/>
        <w:rPr>
          <w:rFonts w:hint="eastAsia" w:ascii="CESI黑体-GB2312" w:hAnsi="CESI黑体-GB2312" w:eastAsia="CESI黑体-GB2312" w:cs="CESI黑体-GB2312"/>
          <w:b w:val="0"/>
          <w:bCs w:val="0"/>
          <w:color w:val="auto"/>
        </w:rPr>
      </w:pPr>
      <w:r>
        <w:rPr>
          <w:rFonts w:hint="eastAsia" w:ascii="CESI黑体-GB2312" w:hAnsi="CESI黑体-GB2312" w:eastAsia="CESI黑体-GB2312" w:cs="CESI黑体-GB2312"/>
          <w:b w:val="0"/>
          <w:bCs w:val="0"/>
          <w:color w:val="auto"/>
          <w:lang w:eastAsia="zh-CN"/>
        </w:rPr>
        <w:t>五、</w:t>
      </w:r>
      <w:r>
        <w:rPr>
          <w:rFonts w:hint="eastAsia" w:ascii="CESI黑体-GB2312" w:hAnsi="CESI黑体-GB2312" w:eastAsia="CESI黑体-GB2312" w:cs="CESI黑体-GB2312"/>
          <w:b w:val="0"/>
          <w:bCs w:val="0"/>
          <w:color w:val="auto"/>
        </w:rPr>
        <w:t>存在的主要问题及改进情况</w:t>
      </w:r>
    </w:p>
    <w:p w14:paraId="72A9F791">
      <w:pPr>
        <w:pStyle w:val="4"/>
        <w:ind w:firstLine="643" w:firstLineChars="200"/>
        <w:rPr>
          <w:rFonts w:hint="eastAsia" w:ascii="CESI楷体-GB2312" w:hAnsi="CESI楷体-GB2312" w:eastAsia="CESI楷体-GB2312" w:cs="CESI楷体-GB2312"/>
          <w:b/>
          <w:bCs/>
          <w:color w:val="auto"/>
          <w:kern w:val="2"/>
          <w:sz w:val="32"/>
          <w:szCs w:val="32"/>
          <w:lang w:val="en-US" w:eastAsia="zh-CN" w:bidi="ar-SA"/>
        </w:rPr>
      </w:pPr>
      <w:r>
        <w:rPr>
          <w:rFonts w:hint="eastAsia" w:ascii="CESI楷体-GB2312" w:hAnsi="CESI楷体-GB2312" w:eastAsia="CESI楷体-GB2312" w:cs="CESI楷体-GB2312"/>
          <w:b/>
          <w:bCs/>
          <w:color w:val="auto"/>
          <w:kern w:val="2"/>
          <w:sz w:val="32"/>
          <w:szCs w:val="32"/>
          <w:lang w:val="en-US" w:eastAsia="zh-CN" w:bidi="ar-SA"/>
        </w:rPr>
        <w:t>（一）存在的主要问题</w:t>
      </w:r>
    </w:p>
    <w:p w14:paraId="46AA3D35">
      <w:pPr>
        <w:pStyle w:val="4"/>
        <w:ind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政府信息公开发布形式单一，</w:t>
      </w:r>
      <w:r>
        <w:rPr>
          <w:rFonts w:hint="eastAsia" w:ascii="仿宋_GB2312" w:eastAsia="仿宋_GB2312" w:cs="Times New Roman"/>
          <w:color w:val="auto"/>
          <w:kern w:val="2"/>
          <w:sz w:val="32"/>
          <w:szCs w:val="32"/>
          <w:lang w:val="en-US" w:eastAsia="zh-CN" w:bidi="ar-SA"/>
        </w:rPr>
        <w:t>形式</w:t>
      </w:r>
      <w:r>
        <w:rPr>
          <w:rFonts w:hint="eastAsia" w:ascii="仿宋_GB2312" w:hAnsi="Calibri" w:eastAsia="仿宋_GB2312" w:cs="Times New Roman"/>
          <w:color w:val="auto"/>
          <w:kern w:val="2"/>
          <w:sz w:val="32"/>
          <w:szCs w:val="32"/>
          <w:lang w:val="en-US" w:eastAsia="zh-CN" w:bidi="ar-SA"/>
        </w:rPr>
        <w:t>丰富</w:t>
      </w:r>
      <w:r>
        <w:rPr>
          <w:rFonts w:hint="eastAsia" w:ascii="仿宋_GB2312" w:eastAsia="仿宋_GB2312" w:cs="Times New Roman"/>
          <w:color w:val="auto"/>
          <w:kern w:val="2"/>
          <w:sz w:val="32"/>
          <w:szCs w:val="32"/>
          <w:lang w:val="en-US" w:eastAsia="zh-CN" w:bidi="ar-SA"/>
        </w:rPr>
        <w:t>度有</w:t>
      </w:r>
      <w:r>
        <w:rPr>
          <w:rFonts w:hint="eastAsia" w:ascii="仿宋_GB2312" w:hAnsi="Calibri" w:eastAsia="仿宋_GB2312" w:cs="Times New Roman"/>
          <w:color w:val="auto"/>
          <w:kern w:val="2"/>
          <w:sz w:val="32"/>
          <w:szCs w:val="32"/>
          <w:lang w:val="en-US" w:eastAsia="zh-CN" w:bidi="ar-SA"/>
        </w:rPr>
        <w:t>待加强。</w:t>
      </w:r>
    </w:p>
    <w:p w14:paraId="5A1BB9E9">
      <w:pPr>
        <w:pStyle w:val="4"/>
        <w:ind w:firstLine="643" w:firstLineChars="200"/>
        <w:rPr>
          <w:rFonts w:ascii="仿宋_GB2312" w:eastAsia="仿宋_GB2312"/>
          <w:b/>
          <w:bCs/>
          <w:color w:val="auto"/>
          <w:sz w:val="32"/>
          <w:szCs w:val="32"/>
          <w:u w:val="none"/>
        </w:rPr>
      </w:pPr>
      <w:r>
        <w:rPr>
          <w:rFonts w:hint="eastAsia" w:ascii="CESI楷体-GB2312" w:hAnsi="CESI楷体-GB2312" w:eastAsia="CESI楷体-GB2312" w:cs="CESI楷体-GB2312"/>
          <w:b/>
          <w:bCs/>
          <w:color w:val="auto"/>
          <w:kern w:val="2"/>
          <w:sz w:val="32"/>
          <w:szCs w:val="32"/>
          <w:lang w:val="en-US" w:eastAsia="zh-CN" w:bidi="ar-SA"/>
        </w:rPr>
        <w:t>（二）改进情况</w:t>
      </w:r>
    </w:p>
    <w:p w14:paraId="103FCC54">
      <w:pPr>
        <w:pStyle w:val="2"/>
        <w:numPr>
          <w:ilvl w:val="0"/>
          <w:numId w:val="0"/>
        </w:numPr>
        <w:spacing w:before="0" w:after="0" w:line="240" w:lineRule="auto"/>
        <w:ind w:firstLine="640" w:firstLineChars="200"/>
        <w:rPr>
          <w:rFonts w:hint="eastAsia" w:ascii="仿宋_GB2312" w:hAnsi="文星仿宋" w:eastAsia="仿宋_GB2312" w:cs="Times New Roman"/>
          <w:b w:val="0"/>
          <w:bCs w:val="0"/>
          <w:kern w:val="2"/>
          <w:sz w:val="32"/>
          <w:szCs w:val="32"/>
          <w:lang w:val="en-US" w:eastAsia="zh-CN" w:bidi="ar-SA"/>
        </w:rPr>
      </w:pPr>
      <w:r>
        <w:rPr>
          <w:rFonts w:hint="eastAsia" w:ascii="仿宋_GB2312" w:hAnsi="文星仿宋" w:eastAsia="仿宋_GB2312" w:cs="Times New Roman"/>
          <w:b w:val="0"/>
          <w:bCs w:val="0"/>
          <w:kern w:val="2"/>
          <w:sz w:val="32"/>
          <w:szCs w:val="32"/>
          <w:lang w:val="en-US" w:eastAsia="zh-CN" w:bidi="ar-SA"/>
        </w:rPr>
        <w:t>针对问题，定远寨镇着力拓展信息公开渠道，探索丰富公开载体类型，结合辖区群众信息获取习惯，持续优化公开方式，不断提升政府信息公开的覆盖面和实际效果。</w:t>
      </w:r>
    </w:p>
    <w:p w14:paraId="3493047D">
      <w:pPr>
        <w:pStyle w:val="2"/>
        <w:numPr>
          <w:ilvl w:val="0"/>
          <w:numId w:val="0"/>
        </w:numPr>
        <w:spacing w:before="0" w:after="0" w:line="240" w:lineRule="auto"/>
        <w:ind w:firstLine="640" w:firstLineChars="200"/>
        <w:rPr>
          <w:rFonts w:hint="eastAsia" w:ascii="CESI黑体-GB2312" w:hAnsi="CESI黑体-GB2312" w:eastAsia="CESI黑体-GB2312" w:cs="CESI黑体-GB2312"/>
          <w:b w:val="0"/>
          <w:bCs w:val="0"/>
          <w:color w:val="auto"/>
        </w:rPr>
      </w:pPr>
      <w:r>
        <w:rPr>
          <w:rFonts w:hint="eastAsia" w:ascii="CESI黑体-GB2312" w:hAnsi="CESI黑体-GB2312" w:eastAsia="CESI黑体-GB2312" w:cs="CESI黑体-GB2312"/>
          <w:b w:val="0"/>
          <w:bCs w:val="0"/>
          <w:color w:val="auto"/>
          <w:lang w:eastAsia="zh-CN"/>
        </w:rPr>
        <w:t>六、</w:t>
      </w:r>
      <w:r>
        <w:rPr>
          <w:rFonts w:hint="eastAsia" w:ascii="CESI黑体-GB2312" w:hAnsi="CESI黑体-GB2312" w:eastAsia="CESI黑体-GB2312" w:cs="CESI黑体-GB2312"/>
          <w:b w:val="0"/>
          <w:bCs w:val="0"/>
          <w:color w:val="auto"/>
        </w:rPr>
        <w:t>其他需要报告的事项</w:t>
      </w:r>
    </w:p>
    <w:p w14:paraId="243194CE">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14:paraId="181F1CE1">
      <w:pPr>
        <w:ind w:firstLine="640" w:firstLineChars="200"/>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14:paraId="6A4EB32D">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（二）落实年度政务公开工作要点情况</w:t>
      </w:r>
    </w:p>
    <w:p w14:paraId="24F8EFAE">
      <w:pPr>
        <w:keepNext w:val="0"/>
        <w:keepLines w:val="0"/>
        <w:widowControl/>
        <w:suppressLineNumbers w:val="0"/>
        <w:ind w:firstLine="640" w:firstLineChars="200"/>
        <w:jc w:val="left"/>
        <w:rPr>
          <w:rFonts w:hint="eastAsia" w:ascii="仿宋_GB2312" w:hAnsi="文星仿宋" w:eastAsia="仿宋_GB2312"/>
          <w:sz w:val="32"/>
          <w:szCs w:val="32"/>
          <w:lang w:eastAsia="zh-CN"/>
        </w:rPr>
      </w:pPr>
      <w:r>
        <w:rPr>
          <w:rFonts w:hint="eastAsia" w:ascii="仿宋_GB2312" w:hAnsi="文星仿宋" w:eastAsia="仿宋_GB2312"/>
          <w:sz w:val="32"/>
          <w:szCs w:val="32"/>
        </w:rPr>
        <w:t>定远寨镇认真贯彻</w:t>
      </w:r>
      <w:r>
        <w:rPr>
          <w:rFonts w:ascii="仿宋_GB2312" w:eastAsia="仿宋_GB2312"/>
          <w:sz w:val="32"/>
          <w:szCs w:val="32"/>
        </w:rPr>
        <w:t>落实</w:t>
      </w:r>
      <w:r>
        <w:rPr>
          <w:rFonts w:hint="eastAsia" w:ascii="仿宋_GB2312" w:eastAsia="仿宋_GB2312"/>
          <w:sz w:val="32"/>
          <w:szCs w:val="32"/>
          <w:lang w:eastAsia="zh-CN"/>
        </w:rPr>
        <w:t>《冠县人民政府办公室关于202</w:t>
      </w:r>
      <w:r>
        <w:rPr>
          <w:rFonts w:hint="eastAsia" w:ascii="仿宋_GB2312" w:eastAsia="仿宋_GB2312"/>
          <w:sz w:val="32"/>
          <w:szCs w:val="32"/>
          <w:lang w:val="en-US" w:eastAsia="zh-CN"/>
        </w:rPr>
        <w:t>5</w:t>
      </w:r>
      <w:r>
        <w:rPr>
          <w:rFonts w:hint="eastAsia" w:ascii="仿宋_GB2312" w:eastAsia="仿宋_GB2312"/>
          <w:sz w:val="32"/>
          <w:szCs w:val="32"/>
          <w:lang w:eastAsia="zh-CN"/>
        </w:rPr>
        <w:t>年政务公开重点工作任务分工的通知》要求</w:t>
      </w:r>
      <w:r>
        <w:rPr>
          <w:rFonts w:hint="eastAsia" w:ascii="仿宋_GB2312" w:hAnsi="文星仿宋" w:eastAsia="仿宋_GB2312"/>
          <w:sz w:val="32"/>
          <w:szCs w:val="32"/>
        </w:rPr>
        <w:t>，</w:t>
      </w:r>
      <w:r>
        <w:rPr>
          <w:rFonts w:hint="eastAsia" w:ascii="仿宋_GB2312" w:eastAsia="仿宋_GB2312"/>
          <w:sz w:val="32"/>
          <w:szCs w:val="32"/>
          <w:lang w:val="en-US" w:eastAsia="zh-CN"/>
        </w:rPr>
        <w:t>锚定核心工作任务，统筹推进政府信息公开各项工作，持续丰富公开内容、拓展公开渠道、创新公开载体，严格对标对表抓实抓牢各项任务，积极向社会各界宣传展示工作成效。</w:t>
      </w:r>
    </w:p>
    <w:p w14:paraId="75D1A2E4">
      <w:pPr>
        <w:ind w:firstLine="643" w:firstLineChars="200"/>
        <w:rPr>
          <w:rFonts w:hint="eastAsia" w:ascii="CESI楷体-GB2312" w:hAnsi="CESI楷体-GB2312" w:eastAsia="CESI楷体-GB2312" w:cs="CESI楷体-GB2312"/>
          <w:b/>
          <w:bCs/>
          <w:color w:val="auto"/>
          <w:sz w:val="32"/>
          <w:szCs w:val="32"/>
          <w:lang w:eastAsia="zh-CN"/>
        </w:rPr>
      </w:pPr>
      <w:r>
        <w:rPr>
          <w:rFonts w:hint="eastAsia" w:ascii="CESI楷体-GB2312" w:hAnsi="CESI楷体-GB2312" w:eastAsia="CESI楷体-GB2312" w:cs="CESI楷体-GB2312"/>
          <w:b/>
          <w:bCs/>
          <w:color w:val="auto"/>
          <w:sz w:val="32"/>
          <w:szCs w:val="32"/>
          <w:lang w:eastAsia="zh-CN"/>
        </w:rPr>
        <w:t>（三）人大代表建议和政协提案办理结果公开情况</w:t>
      </w:r>
    </w:p>
    <w:p w14:paraId="7BCD5871">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2025年冠县定远寨镇人民政府未收到人大代表建议和政协委员提案。</w:t>
      </w:r>
    </w:p>
    <w:p w14:paraId="0F278E08">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（四）政务公开工作创新情况</w:t>
      </w:r>
    </w:p>
    <w:p w14:paraId="15B06D17">
      <w:pPr>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2025年，定远寨镇聚焦政务公开实用性与可操作性，积极推动创新举措。在政策解读上，采用“干部入村宣讲+现场答疑”方式，结合辖区实际用通俗语言解读政策，提升群众理解度。有序开展“政府开放日”活动，邀请村民代表走进便民服务中心，直观了解办事流程并征求意见。</w:t>
      </w:r>
    </w:p>
    <w:p w14:paraId="385E419E">
      <w:pPr>
        <w:ind w:firstLine="643" w:firstLineChars="200"/>
        <w:rPr>
          <w:rFonts w:hint="eastAsia" w:ascii="仿宋_GB2312" w:eastAsia="仿宋_GB2312"/>
          <w:color w:val="auto"/>
          <w:sz w:val="32"/>
          <w:szCs w:val="32"/>
          <w:lang w:val="en-US" w:eastAsia="zh-CN"/>
        </w:rPr>
      </w:pPr>
      <w:r>
        <w:rPr>
          <w:rFonts w:hint="eastAsia" w:ascii="CESI楷体-GB2312" w:hAnsi="CESI楷体-GB2312" w:eastAsia="CESI楷体-GB2312" w:cs="CESI楷体-GB2312"/>
          <w:b/>
          <w:bCs/>
          <w:sz w:val="32"/>
          <w:szCs w:val="32"/>
          <w:lang w:eastAsia="zh-CN"/>
        </w:rPr>
        <w:t>（五）政府信息公开年度报告数据统计需要说明的事项</w:t>
      </w:r>
    </w:p>
    <w:p w14:paraId="7332AF0E">
      <w:pPr>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1.本年度报告中所列数据统计期限从2025年1月1日到12月31日止。</w:t>
      </w:r>
    </w:p>
    <w:p w14:paraId="71632F81">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2.行政许可数量、行政处罚和行政强制数量，包括已公开和依法未公开的全部处理决定。</w:t>
      </w:r>
    </w:p>
    <w:p w14:paraId="261D8BE4">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3.行政复议机关作为共同被告的行政诉讼案件，只计算原行为主体的案件数量，不计算行政复议机关的案件数量。</w:t>
      </w:r>
    </w:p>
    <w:p w14:paraId="57B02B2B">
      <w:pPr>
        <w:ind w:firstLine="640" w:firstLineChars="200"/>
        <w:rPr>
          <w:rFonts w:hint="eastAsia" w:ascii="仿宋_GB2312" w:eastAsia="仿宋_GB2312"/>
          <w:color w:val="auto"/>
          <w:sz w:val="32"/>
          <w:szCs w:val="32"/>
          <w:lang w:val="en-US"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decorative"/>
    <w:pitch w:val="default"/>
    <w:sig w:usb0="00000001" w:usb1="080E0000" w:usb2="00000000" w:usb3="00000000" w:csb0="00040000" w:csb1="00000000"/>
  </w:font>
  <w:font w:name="CESI小标宋-GB2312">
    <w:altName w:val="宋体"/>
    <w:panose1 w:val="02000500000000000000"/>
    <w:charset w:val="86"/>
    <w:family w:val="auto"/>
    <w:pitch w:val="default"/>
    <w:sig w:usb0="00000000" w:usb1="00000000" w:usb2="00000010" w:usb3="00000000" w:csb0="0004000F" w:csb1="00000000"/>
  </w:font>
  <w:font w:name="CESI黑体-GB2312">
    <w:altName w:val="黑体"/>
    <w:panose1 w:val="02000500000000000000"/>
    <w:charset w:val="86"/>
    <w:family w:val="auto"/>
    <w:pitch w:val="default"/>
    <w:sig w:usb0="00000000" w:usb1="00000000" w:usb2="00000012" w:usb3="00000000" w:csb0="0004000F" w:csb1="00000000"/>
  </w:font>
  <w:font w:name="CESI楷体-GB2312">
    <w:altName w:val="楷体_GB2312"/>
    <w:panose1 w:val="02000500000000000000"/>
    <w:charset w:val="86"/>
    <w:family w:val="auto"/>
    <w:pitch w:val="default"/>
    <w:sig w:usb0="00000000" w:usb1="00000000" w:usb2="00000012" w:usb3="00000000" w:csb0="0004000F" w:csb1="00000000"/>
  </w:font>
  <w:font w:name="楷体_GB2312">
    <w:panose1 w:val="02010609030101010101"/>
    <w:charset w:val="86"/>
    <w:family w:val="decorative"/>
    <w:pitch w:val="default"/>
    <w:sig w:usb0="00000001" w:usb1="080E0000" w:usb2="00000000" w:usb3="00000000" w:csb0="00040000" w:csb1="00000000"/>
  </w:font>
  <w:font w:name="汉仪中等线简">
    <w:altName w:val="宋体"/>
    <w:panose1 w:val="02010600000101010101"/>
    <w:charset w:val="86"/>
    <w:family w:val="modern"/>
    <w:pitch w:val="default"/>
    <w:sig w:usb0="00000000" w:usb1="00000000" w:usb2="00000002" w:usb3="00000000" w:csb0="00040000" w:csb1="00000000"/>
  </w:font>
  <w:font w:name="楷体">
    <w:panose1 w:val="02010609060101010101"/>
    <w:charset w:val="86"/>
    <w:family w:val="decorative"/>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03EE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C53FAB">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V0Ed0BAAC+AwAADgAAAGRycy9lMm9Eb2MueG1srVNBrtMwEN0jcQfL&#10;e5q0Eq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NX/OmROWBn75/u3y49fl51e2&#10;TPL0PlaUdecpD4dXMNDSzP5IzsR6aINNf+LDKE7inq/iqgGZTJfWq/W6pJCk2Hwg/OL+ug8R3yiw&#10;LBk1DzS9LKo4vYs4ps4pqZqDW21MnqBxfzkIM3mK1PvYY7Jw2A8ToT00Z+JDz4DqdBC+cNbTEtTc&#10;0c5zZt460jjty2yE2djPhnCSLtYcORvN1zju1dEHfejypqWmon95ROo0E0htjLWn7misWYJpBdPe&#10;/HnOWffP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hVdBHdAQAAvgMAAA4AAAAAAAAA&#10;AQAgAAAAHgEAAGRycy9lMm9Eb2MueG1sUEsFBgAAAAAGAAYAWQEAAG0FAAAAAA==&#10;">
              <v:fill on="f" focussize="0,0"/>
              <v:stroke on="f"/>
              <v:imagedata o:title=""/>
              <o:lock v:ext="edit" aspectratio="f"/>
              <v:textbox inset="0mm,0mm,0mm,0mm" style="mso-fit-shape-to-text:t;">
                <w:txbxContent>
                  <w:p w14:paraId="1FC53FA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479142"/>
    <w:multiLevelType w:val="singleLevel"/>
    <w:tmpl w:val="7147914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0MjFmNWNjMDJmN2ZlZjc3YjRkZDY2MzY0YThhMzEifQ=="/>
  </w:docVars>
  <w:rsids>
    <w:rsidRoot w:val="00172A27"/>
    <w:rsid w:val="063F42BB"/>
    <w:rsid w:val="09BFAE49"/>
    <w:rsid w:val="0B7D1D96"/>
    <w:rsid w:val="0FFD0A9A"/>
    <w:rsid w:val="142C2025"/>
    <w:rsid w:val="163F2C2D"/>
    <w:rsid w:val="17BFEB6D"/>
    <w:rsid w:val="17CD8F2E"/>
    <w:rsid w:val="1CF523BA"/>
    <w:rsid w:val="1D7F0271"/>
    <w:rsid w:val="1D8C0B85"/>
    <w:rsid w:val="1FD5D705"/>
    <w:rsid w:val="25ED1779"/>
    <w:rsid w:val="25FE3D80"/>
    <w:rsid w:val="29190896"/>
    <w:rsid w:val="2BFFECDA"/>
    <w:rsid w:val="2D07E0AC"/>
    <w:rsid w:val="2D571051"/>
    <w:rsid w:val="2D7F721F"/>
    <w:rsid w:val="2FAF9428"/>
    <w:rsid w:val="30FFC5AF"/>
    <w:rsid w:val="320545A0"/>
    <w:rsid w:val="35BC3F0A"/>
    <w:rsid w:val="35F5F7BD"/>
    <w:rsid w:val="36ED2F5F"/>
    <w:rsid w:val="38754646"/>
    <w:rsid w:val="3BCE3EB9"/>
    <w:rsid w:val="3BD38DA5"/>
    <w:rsid w:val="3BFF0F2E"/>
    <w:rsid w:val="3CAB10C6"/>
    <w:rsid w:val="3D1B60F2"/>
    <w:rsid w:val="3DBF5A2C"/>
    <w:rsid w:val="3DFE2019"/>
    <w:rsid w:val="3DFF2151"/>
    <w:rsid w:val="3DFF6C3A"/>
    <w:rsid w:val="3DFFD035"/>
    <w:rsid w:val="3E7A39E2"/>
    <w:rsid w:val="3EBA999F"/>
    <w:rsid w:val="3EF757ED"/>
    <w:rsid w:val="3EF79DD7"/>
    <w:rsid w:val="3EFB272A"/>
    <w:rsid w:val="3EFE9921"/>
    <w:rsid w:val="3EFF3A68"/>
    <w:rsid w:val="3F7B21EB"/>
    <w:rsid w:val="3F9D550D"/>
    <w:rsid w:val="3FC78B58"/>
    <w:rsid w:val="3FE999B0"/>
    <w:rsid w:val="3FEE2C70"/>
    <w:rsid w:val="3FF750D2"/>
    <w:rsid w:val="3FFE923C"/>
    <w:rsid w:val="3FFEA9BE"/>
    <w:rsid w:val="3FFF1B85"/>
    <w:rsid w:val="3FFFD654"/>
    <w:rsid w:val="3FFFD794"/>
    <w:rsid w:val="43FF2EF7"/>
    <w:rsid w:val="47BFD4FF"/>
    <w:rsid w:val="49487776"/>
    <w:rsid w:val="4BF5763D"/>
    <w:rsid w:val="4D5B5553"/>
    <w:rsid w:val="4D7FA9EA"/>
    <w:rsid w:val="4EFF75C3"/>
    <w:rsid w:val="4FAC3C80"/>
    <w:rsid w:val="4FBECA11"/>
    <w:rsid w:val="51E54756"/>
    <w:rsid w:val="51FED7AB"/>
    <w:rsid w:val="53030707"/>
    <w:rsid w:val="53EF3D66"/>
    <w:rsid w:val="53F493FF"/>
    <w:rsid w:val="544FEB14"/>
    <w:rsid w:val="553A8547"/>
    <w:rsid w:val="57DF68D6"/>
    <w:rsid w:val="57FF96B1"/>
    <w:rsid w:val="5A570386"/>
    <w:rsid w:val="5AAF1C75"/>
    <w:rsid w:val="5B5BAFEC"/>
    <w:rsid w:val="5BFCC93E"/>
    <w:rsid w:val="5C4A1F98"/>
    <w:rsid w:val="5DEF253B"/>
    <w:rsid w:val="5DFB2BCB"/>
    <w:rsid w:val="5E7FA522"/>
    <w:rsid w:val="5ED5AFFA"/>
    <w:rsid w:val="5EECA290"/>
    <w:rsid w:val="5EEFD745"/>
    <w:rsid w:val="5EFA7CCD"/>
    <w:rsid w:val="5F7E52F8"/>
    <w:rsid w:val="5F8F8379"/>
    <w:rsid w:val="5FBDD6D2"/>
    <w:rsid w:val="5FBEDD70"/>
    <w:rsid w:val="5FEE129C"/>
    <w:rsid w:val="5FF6D530"/>
    <w:rsid w:val="60FFB723"/>
    <w:rsid w:val="628F4EA0"/>
    <w:rsid w:val="62E1223B"/>
    <w:rsid w:val="677EB821"/>
    <w:rsid w:val="67A7F5CE"/>
    <w:rsid w:val="67B5DDFC"/>
    <w:rsid w:val="67CF50FE"/>
    <w:rsid w:val="67F759EC"/>
    <w:rsid w:val="6BBFA990"/>
    <w:rsid w:val="6BFFC3DB"/>
    <w:rsid w:val="6C3D09B7"/>
    <w:rsid w:val="6C7F5D64"/>
    <w:rsid w:val="6DDCA9AA"/>
    <w:rsid w:val="6DE7C9C6"/>
    <w:rsid w:val="6DF2E1CE"/>
    <w:rsid w:val="6DFEA2C1"/>
    <w:rsid w:val="6E8D6C29"/>
    <w:rsid w:val="6EBF73E3"/>
    <w:rsid w:val="6ED7CCDE"/>
    <w:rsid w:val="6EF4C2E7"/>
    <w:rsid w:val="6EFF0C1C"/>
    <w:rsid w:val="6F37D775"/>
    <w:rsid w:val="6F751F91"/>
    <w:rsid w:val="6FBB27F8"/>
    <w:rsid w:val="6FBF0D38"/>
    <w:rsid w:val="6FEE42C7"/>
    <w:rsid w:val="6FF330EE"/>
    <w:rsid w:val="6FFD68DA"/>
    <w:rsid w:val="72CFD79F"/>
    <w:rsid w:val="743D6E53"/>
    <w:rsid w:val="757F11AD"/>
    <w:rsid w:val="75F77CD4"/>
    <w:rsid w:val="767B5FE7"/>
    <w:rsid w:val="775EB7B1"/>
    <w:rsid w:val="777FE3A6"/>
    <w:rsid w:val="77CA8C2E"/>
    <w:rsid w:val="77E2226A"/>
    <w:rsid w:val="77FEB9F5"/>
    <w:rsid w:val="7A093C36"/>
    <w:rsid w:val="7A659252"/>
    <w:rsid w:val="7A7F311F"/>
    <w:rsid w:val="7A7F43F2"/>
    <w:rsid w:val="7AFF42DA"/>
    <w:rsid w:val="7B5AB41D"/>
    <w:rsid w:val="7BCF7B60"/>
    <w:rsid w:val="7BD783A9"/>
    <w:rsid w:val="7BE5A58A"/>
    <w:rsid w:val="7BEC260E"/>
    <w:rsid w:val="7BED0E57"/>
    <w:rsid w:val="7BFE7A63"/>
    <w:rsid w:val="7BFF0E94"/>
    <w:rsid w:val="7BFF5E57"/>
    <w:rsid w:val="7BFF8F4B"/>
    <w:rsid w:val="7C6E4FA9"/>
    <w:rsid w:val="7C779C33"/>
    <w:rsid w:val="7CDF3DBD"/>
    <w:rsid w:val="7CEDB899"/>
    <w:rsid w:val="7CFF7EE1"/>
    <w:rsid w:val="7D74B766"/>
    <w:rsid w:val="7D873C6A"/>
    <w:rsid w:val="7DFF0B4D"/>
    <w:rsid w:val="7E6F71AF"/>
    <w:rsid w:val="7E7135BF"/>
    <w:rsid w:val="7E7F3052"/>
    <w:rsid w:val="7EBF93D3"/>
    <w:rsid w:val="7EE56A34"/>
    <w:rsid w:val="7EED5D03"/>
    <w:rsid w:val="7EEF5AF8"/>
    <w:rsid w:val="7EF95957"/>
    <w:rsid w:val="7F13F6CF"/>
    <w:rsid w:val="7F6FD504"/>
    <w:rsid w:val="7F73E18E"/>
    <w:rsid w:val="7F75EFE6"/>
    <w:rsid w:val="7F8E3466"/>
    <w:rsid w:val="7FBFAEB4"/>
    <w:rsid w:val="7FEF658B"/>
    <w:rsid w:val="7FFF27F7"/>
    <w:rsid w:val="7FFFB5D4"/>
    <w:rsid w:val="85BC9B61"/>
    <w:rsid w:val="895F4D7A"/>
    <w:rsid w:val="8BB95354"/>
    <w:rsid w:val="8D78DC5A"/>
    <w:rsid w:val="91E93E2F"/>
    <w:rsid w:val="956D85C9"/>
    <w:rsid w:val="97EF4932"/>
    <w:rsid w:val="9B7FC383"/>
    <w:rsid w:val="9CEF00A8"/>
    <w:rsid w:val="9D9797CC"/>
    <w:rsid w:val="9DA30073"/>
    <w:rsid w:val="9EAFAA5D"/>
    <w:rsid w:val="9FFF0F55"/>
    <w:rsid w:val="A7FCE885"/>
    <w:rsid w:val="A9DABC93"/>
    <w:rsid w:val="AA0F8F88"/>
    <w:rsid w:val="AFCFC30E"/>
    <w:rsid w:val="B2E9B92F"/>
    <w:rsid w:val="B6B5480E"/>
    <w:rsid w:val="B77FA11B"/>
    <w:rsid w:val="B7C8F05D"/>
    <w:rsid w:val="BA7B23C6"/>
    <w:rsid w:val="BB7FCE6F"/>
    <w:rsid w:val="BBF92763"/>
    <w:rsid w:val="BC99AAB2"/>
    <w:rsid w:val="BCDAB567"/>
    <w:rsid w:val="BDB7618B"/>
    <w:rsid w:val="BDFFFE4E"/>
    <w:rsid w:val="BE7F16D8"/>
    <w:rsid w:val="BEFEC590"/>
    <w:rsid w:val="BEFF4B1A"/>
    <w:rsid w:val="BEFF91CF"/>
    <w:rsid w:val="BF470EE9"/>
    <w:rsid w:val="BFBA06E8"/>
    <w:rsid w:val="BFDB1BD3"/>
    <w:rsid w:val="BFDE7FE6"/>
    <w:rsid w:val="BFFFA3C3"/>
    <w:rsid w:val="BFFFF9DE"/>
    <w:rsid w:val="CDDE6BA6"/>
    <w:rsid w:val="CEED47EB"/>
    <w:rsid w:val="CF3DEF47"/>
    <w:rsid w:val="CFEDAE56"/>
    <w:rsid w:val="CFFF7263"/>
    <w:rsid w:val="D3E7E68F"/>
    <w:rsid w:val="D3FDE46D"/>
    <w:rsid w:val="D6BDA0FD"/>
    <w:rsid w:val="D7359B72"/>
    <w:rsid w:val="D7379F0F"/>
    <w:rsid w:val="D7B98E93"/>
    <w:rsid w:val="D7DEF8C9"/>
    <w:rsid w:val="D7F5A054"/>
    <w:rsid w:val="D7FBEBB9"/>
    <w:rsid w:val="D9AF3344"/>
    <w:rsid w:val="D9FFB875"/>
    <w:rsid w:val="DB1F8E78"/>
    <w:rsid w:val="DB76A610"/>
    <w:rsid w:val="DBD7ADD7"/>
    <w:rsid w:val="DBFA1478"/>
    <w:rsid w:val="DD6FDAA3"/>
    <w:rsid w:val="DDC5C86D"/>
    <w:rsid w:val="DECFE433"/>
    <w:rsid w:val="DEED708E"/>
    <w:rsid w:val="DEFDD219"/>
    <w:rsid w:val="DEFE3B35"/>
    <w:rsid w:val="DF1BD31B"/>
    <w:rsid w:val="DF9A698D"/>
    <w:rsid w:val="DF9CD2A4"/>
    <w:rsid w:val="DFCD0EC4"/>
    <w:rsid w:val="DFEB4B44"/>
    <w:rsid w:val="DFEE4FA3"/>
    <w:rsid w:val="DFF2682B"/>
    <w:rsid w:val="DFF30864"/>
    <w:rsid w:val="DFF37627"/>
    <w:rsid w:val="DFF9E35E"/>
    <w:rsid w:val="DFFE574B"/>
    <w:rsid w:val="DFFE9125"/>
    <w:rsid w:val="DFFF3C74"/>
    <w:rsid w:val="E19FAC9C"/>
    <w:rsid w:val="EB7DFB4E"/>
    <w:rsid w:val="EB9F4F9F"/>
    <w:rsid w:val="EBAA24F9"/>
    <w:rsid w:val="EBBBC8EE"/>
    <w:rsid w:val="ED3E1A38"/>
    <w:rsid w:val="EDFD693B"/>
    <w:rsid w:val="EFA4C132"/>
    <w:rsid w:val="EFF63DBB"/>
    <w:rsid w:val="F0D310D9"/>
    <w:rsid w:val="F18F2102"/>
    <w:rsid w:val="F1BD59D0"/>
    <w:rsid w:val="F25B21BC"/>
    <w:rsid w:val="F37D58FD"/>
    <w:rsid w:val="F37D7D33"/>
    <w:rsid w:val="F3FEE081"/>
    <w:rsid w:val="F4CF5228"/>
    <w:rsid w:val="F57F64D6"/>
    <w:rsid w:val="F5ED3CA1"/>
    <w:rsid w:val="F67F67ED"/>
    <w:rsid w:val="F6AF652A"/>
    <w:rsid w:val="F75F7171"/>
    <w:rsid w:val="F77FAC29"/>
    <w:rsid w:val="F7B7D272"/>
    <w:rsid w:val="F7F687A6"/>
    <w:rsid w:val="F7F7000F"/>
    <w:rsid w:val="F7F75A83"/>
    <w:rsid w:val="F7FF23C3"/>
    <w:rsid w:val="F7FFC80F"/>
    <w:rsid w:val="F8FF947A"/>
    <w:rsid w:val="FAFDB593"/>
    <w:rsid w:val="FB743BE6"/>
    <w:rsid w:val="FBCEBB90"/>
    <w:rsid w:val="FBF3231B"/>
    <w:rsid w:val="FBFB032A"/>
    <w:rsid w:val="FBFFBC43"/>
    <w:rsid w:val="FCFB435D"/>
    <w:rsid w:val="FD1D5D8B"/>
    <w:rsid w:val="FD1D8327"/>
    <w:rsid w:val="FD5F7B13"/>
    <w:rsid w:val="FDBEBB72"/>
    <w:rsid w:val="FDFFA346"/>
    <w:rsid w:val="FE734873"/>
    <w:rsid w:val="FE73510B"/>
    <w:rsid w:val="FEBDF147"/>
    <w:rsid w:val="FED2D094"/>
    <w:rsid w:val="FEDEB4CA"/>
    <w:rsid w:val="FEE63162"/>
    <w:rsid w:val="FEEDCFAA"/>
    <w:rsid w:val="FEF79DFC"/>
    <w:rsid w:val="FEFEE4AF"/>
    <w:rsid w:val="FEFF4704"/>
    <w:rsid w:val="FEFF4951"/>
    <w:rsid w:val="FF2FA6E5"/>
    <w:rsid w:val="FF5C5AE4"/>
    <w:rsid w:val="FF724A99"/>
    <w:rsid w:val="FF737244"/>
    <w:rsid w:val="FFAE1F37"/>
    <w:rsid w:val="FFB76AB9"/>
    <w:rsid w:val="FFBE0763"/>
    <w:rsid w:val="FFBF25AE"/>
    <w:rsid w:val="FFD970A3"/>
    <w:rsid w:val="FFDB7C45"/>
    <w:rsid w:val="FFF45F86"/>
    <w:rsid w:val="FFF662DE"/>
    <w:rsid w:val="FFFD433D"/>
    <w:rsid w:val="FFFD6089"/>
    <w:rsid w:val="FFFE85DA"/>
    <w:rsid w:val="FFFF34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szCs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2696</Words>
  <Characters>2846</Characters>
  <Lines>0</Lines>
  <Paragraphs>0</Paragraphs>
  <TotalTime>17</TotalTime>
  <ScaleCrop>false</ScaleCrop>
  <LinksUpToDate>false</LinksUpToDate>
  <CharactersWithSpaces>2846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2022-01-11T17:11:00Z</dcterms:created>
  <dc:creator>user</dc:creator>
  <cp:lastModifiedBy>第八大洲</cp:lastModifiedBy>
  <dcterms:modified xsi:type="dcterms:W3CDTF">2026-01-16T09:33:49Z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935C4B7F13751441FFAB656929371443_43</vt:lpwstr>
  </property>
  <property fmtid="{D5CDD505-2E9C-101B-9397-08002B2CF9AE}" pid="4" name="KSOTemplateDocerSaveRecord">
    <vt:lpwstr>eyJoZGlkIjoiMWFiZWM2YWVjNWE5M2ViMTIwNTk3M2E2Mjk2MDQ0NTciLCJ1c2VySWQiOiI2Mjc2NTIxNTEifQ==</vt:lpwstr>
  </property>
</Properties>
</file>