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ABEE1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CESI小标宋-GB2312" w:hAnsi="CESI小标宋-GB2312" w:eastAsia="CESI小标宋-GB2312" w:cs="CESI小标宋-GB2312"/>
          <w:sz w:val="44"/>
          <w:szCs w:val="44"/>
        </w:rPr>
      </w:pPr>
      <w:r>
        <w:rPr>
          <w:rFonts w:hint="eastAsia" w:ascii="CESI小标宋-GB2312" w:hAnsi="CESI小标宋-GB2312" w:eastAsia="CESI小标宋-GB2312" w:cs="CESI小标宋-GB2312"/>
          <w:sz w:val="44"/>
          <w:szCs w:val="44"/>
          <w:lang w:eastAsia="zh-CN"/>
        </w:rPr>
        <w:t>冠县</w:t>
      </w:r>
      <w:r>
        <w:rPr>
          <w:rFonts w:hint="eastAsia" w:ascii="CESI小标宋-GB2312" w:hAnsi="CESI小标宋-GB2312" w:eastAsia="CESI小标宋-GB2312" w:cs="CESI小标宋-GB2312"/>
          <w:sz w:val="44"/>
          <w:szCs w:val="44"/>
          <w:lang w:val="en-US" w:eastAsia="zh-CN"/>
        </w:rPr>
        <w:t>斜店乡人民政府2025年</w:t>
      </w:r>
      <w:r>
        <w:rPr>
          <w:rFonts w:hint="eastAsia" w:ascii="CESI小标宋-GB2312" w:hAnsi="CESI小标宋-GB2312" w:eastAsia="CESI小标宋-GB2312" w:cs="CESI小标宋-GB2312"/>
          <w:sz w:val="44"/>
          <w:szCs w:val="44"/>
        </w:rPr>
        <w:t>政府信息公开工作年度报告</w:t>
      </w:r>
    </w:p>
    <w:p w14:paraId="483833E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本</w:t>
      </w:r>
      <w:r>
        <w:rPr>
          <w:rFonts w:hint="eastAsia" w:ascii="仿宋_GB2312" w:hAnsi="仿宋_GB2312" w:eastAsia="仿宋_GB2312" w:cs="仿宋_GB2312"/>
          <w:color w:val="auto"/>
          <w:sz w:val="32"/>
          <w:szCs w:val="32"/>
          <w:lang w:eastAsia="zh-CN"/>
        </w:rPr>
        <w:t>年度</w:t>
      </w:r>
      <w:r>
        <w:rPr>
          <w:rFonts w:hint="eastAsia" w:ascii="仿宋_GB2312" w:hAnsi="仿宋_GB2312" w:eastAsia="仿宋_GB2312" w:cs="仿宋_GB2312"/>
          <w:color w:val="auto"/>
          <w:sz w:val="32"/>
          <w:szCs w:val="32"/>
        </w:rPr>
        <w:t>报告根据《中华人民共和国政府信息公开条例》（以下简称《条例》）</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sz w:val="32"/>
          <w:szCs w:val="32"/>
        </w:rPr>
        <w:t>《国务院办公厅政府信息与政务公开办公室关于印发&lt;中华人民共和国政府信息公开工作年度报告格式&gt;的通知》（国办公开办函〔2021〕30号）相关</w:t>
      </w:r>
      <w:r>
        <w:rPr>
          <w:rFonts w:hint="eastAsia" w:ascii="仿宋_GB2312" w:hAnsi="仿宋_GB2312" w:eastAsia="仿宋_GB2312" w:cs="仿宋_GB2312"/>
          <w:color w:val="auto"/>
          <w:sz w:val="32"/>
          <w:szCs w:val="32"/>
        </w:rPr>
        <w:t>要求编制</w:t>
      </w:r>
      <w:r>
        <w:rPr>
          <w:rFonts w:hint="eastAsia" w:ascii="仿宋_GB2312" w:hAnsi="仿宋_GB2312" w:eastAsia="仿宋_GB2312" w:cs="仿宋_GB2312"/>
          <w:color w:val="auto"/>
          <w:sz w:val="32"/>
          <w:szCs w:val="32"/>
          <w:lang w:eastAsia="zh-CN"/>
        </w:rPr>
        <w:t>，全文</w:t>
      </w:r>
      <w:r>
        <w:rPr>
          <w:rFonts w:hint="eastAsia" w:ascii="仿宋_GB2312" w:hAnsi="仿宋_GB2312" w:eastAsia="仿宋_GB2312" w:cs="仿宋_GB2312"/>
          <w:color w:val="auto"/>
          <w:sz w:val="32"/>
          <w:szCs w:val="32"/>
        </w:rPr>
        <w:t>包括总体情况、主动公开政府信息情况、收到和处理政府信息公开申请情况、</w:t>
      </w:r>
      <w:r>
        <w:rPr>
          <w:rFonts w:hint="eastAsia" w:ascii="仿宋_GB2312" w:hAnsi="仿宋_GB2312" w:eastAsia="仿宋_GB2312" w:cs="仿宋_GB2312"/>
          <w:i w:val="0"/>
          <w:caps w:val="0"/>
          <w:color w:val="auto"/>
          <w:spacing w:val="0"/>
          <w:kern w:val="0"/>
          <w:sz w:val="32"/>
          <w:szCs w:val="32"/>
          <w:lang w:val="en-US" w:eastAsia="zh-CN" w:bidi="ar"/>
        </w:rPr>
        <w:t>因政府信息公开工作被申请行政复议和提起行政诉讼情况、政府信息公开工作</w:t>
      </w:r>
      <w:r>
        <w:rPr>
          <w:rFonts w:hint="eastAsia" w:ascii="仿宋_GB2312" w:hAnsi="仿宋_GB2312" w:eastAsia="仿宋_GB2312" w:cs="仿宋_GB2312"/>
          <w:color w:val="auto"/>
          <w:sz w:val="32"/>
          <w:szCs w:val="32"/>
        </w:rPr>
        <w:t>存在的主要问题及改进情况、其他需要报告的事项</w:t>
      </w:r>
      <w:r>
        <w:rPr>
          <w:rFonts w:hint="eastAsia" w:ascii="仿宋_GB2312" w:hAnsi="仿宋_GB2312" w:eastAsia="仿宋_GB2312" w:cs="仿宋_GB2312"/>
          <w:color w:val="auto"/>
          <w:sz w:val="32"/>
          <w:szCs w:val="32"/>
          <w:lang w:eastAsia="zh-CN"/>
        </w:rPr>
        <w:t>等六个部分</w:t>
      </w:r>
      <w:r>
        <w:rPr>
          <w:rFonts w:hint="eastAsia" w:ascii="仿宋_GB2312" w:hAnsi="仿宋_GB2312" w:eastAsia="仿宋_GB2312" w:cs="仿宋_GB2312"/>
          <w:color w:val="auto"/>
          <w:sz w:val="32"/>
          <w:szCs w:val="32"/>
        </w:rPr>
        <w:t>。</w:t>
      </w:r>
      <w:bookmarkStart w:id="0" w:name="_Hlk67405801"/>
      <w:r>
        <w:rPr>
          <w:rFonts w:hint="eastAsia" w:ascii="仿宋_GB2312" w:hAnsi="仿宋_GB2312" w:eastAsia="仿宋_GB2312" w:cs="仿宋_GB2312"/>
          <w:color w:val="auto"/>
          <w:sz w:val="32"/>
          <w:szCs w:val="32"/>
        </w:rPr>
        <w:t>本年度报告中所列数据统计期限从202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年1月1日</w:t>
      </w:r>
      <w:r>
        <w:rPr>
          <w:rFonts w:hint="eastAsia" w:ascii="仿宋_GB2312" w:hAnsi="仿宋_GB2312" w:eastAsia="仿宋_GB2312" w:cs="仿宋_GB2312"/>
          <w:color w:val="auto"/>
          <w:sz w:val="32"/>
          <w:szCs w:val="32"/>
          <w:lang w:eastAsia="zh-CN"/>
        </w:rPr>
        <w:t>至</w:t>
      </w:r>
      <w:r>
        <w:rPr>
          <w:rFonts w:hint="eastAsia" w:ascii="仿宋_GB2312" w:hAnsi="仿宋_GB2312" w:eastAsia="仿宋_GB2312" w:cs="仿宋_GB2312"/>
          <w:color w:val="auto"/>
          <w:sz w:val="32"/>
          <w:szCs w:val="32"/>
        </w:rPr>
        <w:t>12月31日</w:t>
      </w:r>
      <w:bookmarkEnd w:id="0"/>
      <w:r>
        <w:rPr>
          <w:rFonts w:hint="eastAsia" w:ascii="仿宋_GB2312" w:hAnsi="仿宋_GB2312" w:eastAsia="仿宋_GB2312" w:cs="仿宋_GB2312"/>
          <w:color w:val="auto"/>
          <w:sz w:val="32"/>
          <w:szCs w:val="32"/>
        </w:rPr>
        <w:t>。本年度报告电子版可从</w:t>
      </w:r>
      <w:r>
        <w:rPr>
          <w:rFonts w:hint="eastAsia" w:ascii="仿宋_GB2312" w:hAnsi="仿宋_GB2312" w:eastAsia="仿宋_GB2312" w:cs="仿宋_GB2312"/>
          <w:color w:val="auto"/>
          <w:sz w:val="32"/>
          <w:szCs w:val="32"/>
          <w:lang w:eastAsia="zh-CN"/>
        </w:rPr>
        <w:t>冠县人民政府网站</w:t>
      </w:r>
      <w:r>
        <w:rPr>
          <w:rFonts w:hint="eastAsia" w:ascii="仿宋_GB2312" w:hAnsi="仿宋_GB2312" w:eastAsia="仿宋_GB2312" w:cs="仿宋_GB2312"/>
          <w:color w:val="auto"/>
          <w:sz w:val="32"/>
          <w:szCs w:val="32"/>
        </w:rPr>
        <w:t>（http://www.guanxian.gov.cn/）下载。</w:t>
      </w:r>
      <w:r>
        <w:rPr>
          <w:rFonts w:hint="eastAsia" w:ascii="仿宋_GB2312" w:hAnsi="仿宋_GB2312" w:eastAsia="仿宋_GB2312" w:cs="仿宋_GB2312"/>
          <w:color w:val="auto"/>
          <w:sz w:val="32"/>
          <w:szCs w:val="32"/>
          <w:lang w:eastAsia="zh-CN"/>
        </w:rPr>
        <w:t>公众</w:t>
      </w:r>
      <w:r>
        <w:rPr>
          <w:rFonts w:hint="eastAsia" w:ascii="仿宋_GB2312" w:hAnsi="仿宋_GB2312" w:eastAsia="仿宋_GB2312" w:cs="仿宋_GB2312"/>
          <w:color w:val="auto"/>
          <w:sz w:val="32"/>
          <w:szCs w:val="32"/>
        </w:rPr>
        <w:t>如</w:t>
      </w:r>
      <w:r>
        <w:rPr>
          <w:rFonts w:hint="eastAsia" w:ascii="仿宋_GB2312" w:hAnsi="仿宋_GB2312" w:eastAsia="仿宋_GB2312" w:cs="仿宋_GB2312"/>
          <w:color w:val="auto"/>
          <w:sz w:val="32"/>
          <w:szCs w:val="32"/>
          <w:lang w:eastAsia="zh-CN"/>
        </w:rPr>
        <w:t>需进一步咨询了解相关信息</w:t>
      </w:r>
      <w:r>
        <w:rPr>
          <w:rFonts w:hint="eastAsia" w:ascii="仿宋_GB2312" w:hAnsi="仿宋_GB2312" w:eastAsia="仿宋_GB2312" w:cs="仿宋_GB2312"/>
          <w:color w:val="auto"/>
          <w:sz w:val="32"/>
          <w:szCs w:val="32"/>
        </w:rPr>
        <w:t>，请与冠县</w:t>
      </w:r>
      <w:r>
        <w:rPr>
          <w:rFonts w:hint="eastAsia" w:ascii="仿宋_GB2312" w:hAnsi="仿宋_GB2312" w:eastAsia="仿宋_GB2312" w:cs="仿宋_GB2312"/>
          <w:color w:val="auto"/>
          <w:sz w:val="32"/>
          <w:szCs w:val="32"/>
          <w:lang w:eastAsia="zh-CN"/>
        </w:rPr>
        <w:t>斜店乡人民政府</w:t>
      </w:r>
      <w:r>
        <w:rPr>
          <w:rFonts w:hint="eastAsia" w:ascii="仿宋_GB2312" w:hAnsi="仿宋_GB2312" w:eastAsia="仿宋_GB2312" w:cs="仿宋_GB2312"/>
          <w:color w:val="auto"/>
          <w:sz w:val="32"/>
          <w:szCs w:val="32"/>
        </w:rPr>
        <w:t>联系（</w:t>
      </w:r>
      <w:r>
        <w:rPr>
          <w:rFonts w:hint="eastAsia" w:ascii="仿宋_GB2312" w:hAnsi="仿宋_GB2312" w:eastAsia="仿宋_GB2312" w:cs="仿宋_GB2312"/>
          <w:color w:val="auto"/>
          <w:sz w:val="32"/>
          <w:szCs w:val="32"/>
          <w:lang w:eastAsia="zh-CN"/>
        </w:rPr>
        <w:t>地址：山东省聊城市冠县</w:t>
      </w:r>
      <w:r>
        <w:rPr>
          <w:rFonts w:hint="eastAsia" w:ascii="仿宋_GB2312" w:hAnsi="仿宋_GB2312" w:eastAsia="仿宋_GB2312" w:cs="仿宋_GB2312"/>
          <w:color w:val="auto"/>
          <w:sz w:val="32"/>
          <w:szCs w:val="32"/>
          <w:lang w:val="en-US" w:eastAsia="zh-CN"/>
        </w:rPr>
        <w:t>斜店乡人民政府驻地；邮编：252526；</w:t>
      </w:r>
      <w:r>
        <w:rPr>
          <w:rFonts w:hint="eastAsia" w:ascii="仿宋_GB2312" w:hAnsi="仿宋_GB2312" w:eastAsia="仿宋_GB2312" w:cs="仿宋_GB2312"/>
          <w:color w:val="auto"/>
          <w:sz w:val="32"/>
          <w:szCs w:val="32"/>
        </w:rPr>
        <w:t>电话:</w:t>
      </w:r>
      <w:r>
        <w:rPr>
          <w:rFonts w:hint="eastAsia" w:ascii="仿宋_GB2312" w:hAnsi="仿宋_GB2312" w:eastAsia="仿宋_GB2312" w:cs="仿宋_GB2312"/>
          <w:color w:val="auto"/>
          <w:sz w:val="32"/>
          <w:szCs w:val="32"/>
          <w:lang w:val="en-US" w:eastAsia="zh-CN"/>
        </w:rPr>
        <w:t>0635-5730004</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邮箱:</w:t>
      </w:r>
      <w:r>
        <w:rPr>
          <w:rFonts w:hint="eastAsia" w:ascii="仿宋_GB2312" w:hAnsi="仿宋_GB2312" w:eastAsia="仿宋_GB2312" w:cs="仿宋_GB2312"/>
          <w:color w:val="auto"/>
          <w:sz w:val="32"/>
          <w:szCs w:val="32"/>
          <w:lang w:val="en-US" w:eastAsia="zh-CN"/>
        </w:rPr>
        <w:t>gxxdxzfbgs</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lc.</w:t>
      </w:r>
      <w:r>
        <w:rPr>
          <w:rFonts w:hint="eastAsia" w:ascii="仿宋_GB2312" w:hAnsi="仿宋_GB2312" w:eastAsia="仿宋_GB2312" w:cs="仿宋_GB2312"/>
          <w:color w:val="auto"/>
          <w:sz w:val="32"/>
          <w:szCs w:val="32"/>
        </w:rPr>
        <w:t>shandong.cn）。</w:t>
      </w:r>
    </w:p>
    <w:p w14:paraId="5EA0731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lang w:val="en-US" w:eastAsia="zh-CN"/>
        </w:rPr>
      </w:pPr>
      <w:r>
        <w:rPr>
          <w:rFonts w:hint="eastAsia" w:ascii="CESI黑体-GB2312" w:hAnsi="CESI黑体-GB2312" w:eastAsia="CESI黑体-GB2312" w:cs="CESI黑体-GB2312"/>
          <w:b w:val="0"/>
          <w:bCs w:val="0"/>
          <w:sz w:val="32"/>
          <w:szCs w:val="32"/>
          <w:lang w:eastAsia="zh-CN"/>
        </w:rPr>
        <w:t>一、</w:t>
      </w:r>
      <w:r>
        <w:rPr>
          <w:rFonts w:hint="eastAsia" w:ascii="CESI黑体-GB2312" w:hAnsi="CESI黑体-GB2312" w:eastAsia="CESI黑体-GB2312" w:cs="CESI黑体-GB2312"/>
          <w:b w:val="0"/>
          <w:bCs w:val="0"/>
          <w:sz w:val="32"/>
          <w:szCs w:val="32"/>
        </w:rPr>
        <w:t>总体情况</w:t>
      </w:r>
    </w:p>
    <w:p w14:paraId="279324E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sz w:val="32"/>
          <w:szCs w:val="32"/>
          <w:lang w:eastAsia="zh-CN"/>
        </w:rPr>
      </w:pPr>
      <w:r>
        <w:rPr>
          <w:rFonts w:hint="eastAsia" w:ascii="仿宋_GB2312" w:hAnsi="仿宋_GB2312" w:eastAsia="仿宋_GB2312" w:cs="仿宋_GB2312"/>
          <w:b w:val="0"/>
          <w:bCs w:val="0"/>
          <w:i w:val="0"/>
          <w:iCs w:val="0"/>
          <w:caps w:val="0"/>
          <w:color w:val="000000"/>
          <w:spacing w:val="0"/>
          <w:sz w:val="32"/>
          <w:szCs w:val="32"/>
        </w:rPr>
        <w:t>202</w:t>
      </w:r>
      <w:r>
        <w:rPr>
          <w:rFonts w:hint="eastAsia" w:ascii="仿宋_GB2312" w:hAnsi="仿宋_GB2312" w:eastAsia="仿宋_GB2312" w:cs="仿宋_GB2312"/>
          <w:b w:val="0"/>
          <w:bCs w:val="0"/>
          <w:i w:val="0"/>
          <w:iCs w:val="0"/>
          <w:caps w:val="0"/>
          <w:color w:val="000000"/>
          <w:spacing w:val="0"/>
          <w:sz w:val="32"/>
          <w:szCs w:val="32"/>
          <w:lang w:val="en-US" w:eastAsia="zh-CN"/>
        </w:rPr>
        <w:t>5</w:t>
      </w:r>
      <w:r>
        <w:rPr>
          <w:rFonts w:hint="eastAsia" w:ascii="仿宋_GB2312" w:hAnsi="仿宋_GB2312" w:eastAsia="仿宋_GB2312" w:cs="仿宋_GB2312"/>
          <w:b w:val="0"/>
          <w:bCs w:val="0"/>
          <w:i w:val="0"/>
          <w:iCs w:val="0"/>
          <w:caps w:val="0"/>
          <w:color w:val="000000"/>
          <w:spacing w:val="0"/>
          <w:sz w:val="32"/>
          <w:szCs w:val="32"/>
        </w:rPr>
        <w:t>年，</w:t>
      </w:r>
      <w:r>
        <w:rPr>
          <w:rFonts w:hint="eastAsia" w:ascii="仿宋_GB2312" w:hAnsi="仿宋_GB2312" w:eastAsia="仿宋_GB2312" w:cs="仿宋_GB2312"/>
          <w:b w:val="0"/>
          <w:bCs w:val="0"/>
          <w:i w:val="0"/>
          <w:iCs w:val="0"/>
          <w:caps w:val="0"/>
          <w:color w:val="auto"/>
          <w:spacing w:val="0"/>
          <w:sz w:val="32"/>
          <w:szCs w:val="32"/>
          <w:lang w:val="en-US" w:eastAsia="zh-CN"/>
        </w:rPr>
        <w:t>冠县斜店乡人民政府认真贯彻落实《中华人民共和国政府信息公开条例》及上级文件要求，以政府信息公开为重要抓手，不断提升基层治理能力。同时，及时回应群众关切，健全工作机制，规范信息发布流程，确保政府信息公开制度化、规范化运行，提升政府工作透明度，为保障群众的知情权、参与权和监督权打下坚实基础。</w:t>
      </w:r>
    </w:p>
    <w:p w14:paraId="31D47202">
      <w:pPr>
        <w:keepNext w:val="0"/>
        <w:keepLines w:val="0"/>
        <w:pageBreakBefore w:val="0"/>
        <w:numPr>
          <w:ilvl w:val="0"/>
          <w:numId w:val="1"/>
        </w:numPr>
        <w:kinsoku/>
        <w:wordWrap/>
        <w:overflowPunct/>
        <w:topLinePunct w:val="0"/>
        <w:autoSpaceDE/>
        <w:autoSpaceDN/>
        <w:bidi w:val="0"/>
        <w:adjustRightInd/>
        <w:snapToGrid/>
        <w:spacing w:line="600" w:lineRule="exact"/>
        <w:ind w:firstLine="643"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rPr>
        <w:t>主动公开</w:t>
      </w:r>
    </w:p>
    <w:p w14:paraId="0AD49020">
      <w:pPr>
        <w:ind w:firstLine="640" w:firstLineChars="200"/>
        <w:rPr>
          <w:rFonts w:hint="eastAsia"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2025年，</w:t>
      </w:r>
      <w:r>
        <w:rPr>
          <w:rFonts w:hint="eastAsia" w:ascii="仿宋_GB2312" w:hAnsi="仿宋_GB2312" w:eastAsia="仿宋_GB2312" w:cs="仿宋_GB2312"/>
          <w:b w:val="0"/>
          <w:bCs w:val="0"/>
          <w:i w:val="0"/>
          <w:iCs w:val="0"/>
          <w:caps w:val="0"/>
          <w:color w:val="auto"/>
          <w:spacing w:val="0"/>
          <w:sz w:val="32"/>
          <w:szCs w:val="32"/>
          <w:lang w:eastAsia="zh-CN"/>
        </w:rPr>
        <w:t>通过冠县人民政府网站主动公开发布政府信息</w:t>
      </w:r>
      <w:r>
        <w:rPr>
          <w:rFonts w:hint="eastAsia" w:ascii="仿宋_GB2312" w:hAnsi="仿宋_GB2312" w:eastAsia="仿宋_GB2312" w:cs="仿宋_GB2312"/>
          <w:b w:val="0"/>
          <w:bCs w:val="0"/>
          <w:i w:val="0"/>
          <w:iCs w:val="0"/>
          <w:caps w:val="0"/>
          <w:color w:val="auto"/>
          <w:spacing w:val="0"/>
          <w:sz w:val="32"/>
          <w:szCs w:val="32"/>
          <w:lang w:val="en-US" w:eastAsia="zh-CN"/>
        </w:rPr>
        <w:t>25条，主要包括</w:t>
      </w:r>
      <w:r>
        <w:rPr>
          <w:rFonts w:hint="eastAsia" w:ascii="仿宋_GB2312" w:hAnsi="宋体" w:eastAsia="仿宋_GB2312" w:cs="仿宋_GB2312"/>
          <w:b w:val="0"/>
          <w:bCs w:val="0"/>
          <w:i w:val="0"/>
          <w:iCs w:val="0"/>
          <w:caps w:val="0"/>
          <w:color w:val="auto"/>
          <w:spacing w:val="0"/>
          <w:sz w:val="32"/>
          <w:szCs w:val="32"/>
          <w:shd w:val="clear" w:color="auto" w:fill="FFFFFF"/>
        </w:rPr>
        <w:t>政策文件</w:t>
      </w:r>
      <w:r>
        <w:rPr>
          <w:rFonts w:hint="eastAsia" w:ascii="仿宋_GB2312" w:hAnsi="宋体" w:eastAsia="仿宋_GB2312" w:cs="仿宋_GB2312"/>
          <w:b w:val="0"/>
          <w:bCs w:val="0"/>
          <w:i w:val="0"/>
          <w:iCs w:val="0"/>
          <w:caps w:val="0"/>
          <w:color w:val="auto"/>
          <w:spacing w:val="0"/>
          <w:sz w:val="32"/>
          <w:szCs w:val="32"/>
          <w:shd w:val="clear" w:color="auto" w:fill="FFFFFF"/>
          <w:lang w:eastAsia="zh-CN"/>
        </w:rPr>
        <w:t>、</w:t>
      </w:r>
      <w:r>
        <w:rPr>
          <w:rFonts w:hint="eastAsia" w:ascii="仿宋_GB2312" w:hAnsi="宋体" w:eastAsia="仿宋_GB2312" w:cs="仿宋_GB2312"/>
          <w:b w:val="0"/>
          <w:bCs w:val="0"/>
          <w:i w:val="0"/>
          <w:iCs w:val="0"/>
          <w:caps w:val="0"/>
          <w:color w:val="auto"/>
          <w:spacing w:val="0"/>
          <w:sz w:val="32"/>
          <w:szCs w:val="32"/>
          <w:shd w:val="clear" w:color="auto" w:fill="FFFFFF"/>
        </w:rPr>
        <w:t>财政信息</w:t>
      </w:r>
      <w:r>
        <w:rPr>
          <w:rFonts w:hint="eastAsia" w:ascii="仿宋_GB2312" w:hAnsi="宋体" w:eastAsia="仿宋_GB2312" w:cs="仿宋_GB2312"/>
          <w:b w:val="0"/>
          <w:bCs w:val="0"/>
          <w:i w:val="0"/>
          <w:iCs w:val="0"/>
          <w:caps w:val="0"/>
          <w:color w:val="auto"/>
          <w:spacing w:val="0"/>
          <w:sz w:val="32"/>
          <w:szCs w:val="32"/>
          <w:shd w:val="clear" w:color="auto" w:fill="FFFFFF"/>
          <w:lang w:eastAsia="zh-CN"/>
        </w:rPr>
        <w:t>、</w:t>
      </w:r>
      <w:r>
        <w:rPr>
          <w:rFonts w:hint="eastAsia" w:ascii="仿宋_GB2312" w:hAnsi="宋体" w:eastAsia="仿宋_GB2312" w:cs="仿宋_GB2312"/>
          <w:b w:val="0"/>
          <w:bCs w:val="0"/>
          <w:i w:val="0"/>
          <w:iCs w:val="0"/>
          <w:caps w:val="0"/>
          <w:color w:val="auto"/>
          <w:spacing w:val="0"/>
          <w:sz w:val="32"/>
          <w:szCs w:val="32"/>
          <w:shd w:val="clear" w:color="auto" w:fill="FFFFFF"/>
          <w:lang w:val="en-US" w:eastAsia="zh-CN"/>
        </w:rPr>
        <w:t>行政执法公示、</w:t>
      </w:r>
      <w:r>
        <w:rPr>
          <w:rFonts w:hint="eastAsia" w:ascii="仿宋_GB2312" w:hAnsi="宋体" w:eastAsia="仿宋_GB2312" w:cs="仿宋_GB2312"/>
          <w:b w:val="0"/>
          <w:bCs w:val="0"/>
          <w:i w:val="0"/>
          <w:iCs w:val="0"/>
          <w:caps w:val="0"/>
          <w:color w:val="auto"/>
          <w:spacing w:val="0"/>
          <w:sz w:val="32"/>
          <w:szCs w:val="32"/>
          <w:shd w:val="clear" w:color="auto" w:fill="FFFFFF"/>
        </w:rPr>
        <w:t>基础建设</w:t>
      </w:r>
      <w:r>
        <w:rPr>
          <w:rFonts w:hint="eastAsia" w:ascii="仿宋_GB2312" w:hAnsi="宋体" w:eastAsia="仿宋_GB2312" w:cs="仿宋_GB2312"/>
          <w:b w:val="0"/>
          <w:bCs w:val="0"/>
          <w:i w:val="0"/>
          <w:iCs w:val="0"/>
          <w:caps w:val="0"/>
          <w:color w:val="auto"/>
          <w:spacing w:val="0"/>
          <w:sz w:val="32"/>
          <w:szCs w:val="32"/>
          <w:shd w:val="clear" w:color="auto" w:fill="FFFFFF"/>
          <w:lang w:eastAsia="zh-CN"/>
        </w:rPr>
        <w:t>、</w:t>
      </w:r>
      <w:r>
        <w:rPr>
          <w:rFonts w:hint="eastAsia" w:ascii="仿宋_GB2312" w:hAnsi="宋体" w:eastAsia="仿宋_GB2312" w:cs="仿宋_GB2312"/>
          <w:b w:val="0"/>
          <w:bCs w:val="0"/>
          <w:i w:val="0"/>
          <w:iCs w:val="0"/>
          <w:caps w:val="0"/>
          <w:color w:val="auto"/>
          <w:spacing w:val="0"/>
          <w:sz w:val="32"/>
          <w:szCs w:val="32"/>
          <w:shd w:val="clear" w:color="auto" w:fill="FFFFFF"/>
          <w:lang w:val="en-US" w:eastAsia="zh-CN"/>
        </w:rPr>
        <w:t>通知公告、</w:t>
      </w:r>
      <w:r>
        <w:rPr>
          <w:rFonts w:hint="eastAsia" w:ascii="仿宋_GB2312" w:hAnsi="宋体" w:eastAsia="仿宋_GB2312" w:cs="仿宋_GB2312"/>
          <w:b w:val="0"/>
          <w:bCs w:val="0"/>
          <w:i w:val="0"/>
          <w:iCs w:val="0"/>
          <w:caps w:val="0"/>
          <w:color w:val="auto"/>
          <w:spacing w:val="0"/>
          <w:sz w:val="32"/>
          <w:szCs w:val="32"/>
          <w:shd w:val="clear" w:color="auto" w:fill="FFFFFF"/>
        </w:rPr>
        <w:t>组织管理</w:t>
      </w:r>
      <w:r>
        <w:rPr>
          <w:rFonts w:hint="eastAsia" w:ascii="仿宋_GB2312" w:hAnsi="宋体" w:eastAsia="仿宋_GB2312" w:cs="仿宋_GB2312"/>
          <w:b w:val="0"/>
          <w:bCs w:val="0"/>
          <w:i w:val="0"/>
          <w:iCs w:val="0"/>
          <w:caps w:val="0"/>
          <w:color w:val="auto"/>
          <w:spacing w:val="0"/>
          <w:sz w:val="32"/>
          <w:szCs w:val="32"/>
          <w:shd w:val="clear" w:color="auto" w:fill="FFFFFF"/>
          <w:lang w:eastAsia="zh-CN"/>
        </w:rPr>
        <w:t>、</w:t>
      </w:r>
      <w:r>
        <w:rPr>
          <w:rFonts w:hint="eastAsia" w:ascii="仿宋_GB2312" w:hAnsi="宋体" w:eastAsia="仿宋_GB2312" w:cs="仿宋_GB2312"/>
          <w:b w:val="0"/>
          <w:bCs w:val="0"/>
          <w:i w:val="0"/>
          <w:iCs w:val="0"/>
          <w:caps w:val="0"/>
          <w:color w:val="auto"/>
          <w:spacing w:val="0"/>
          <w:sz w:val="32"/>
          <w:szCs w:val="32"/>
          <w:shd w:val="clear" w:color="auto" w:fill="FFFFFF"/>
          <w:lang w:val="en-US" w:eastAsia="zh-CN"/>
        </w:rPr>
        <w:t>法治政府建设报告、</w:t>
      </w:r>
      <w:r>
        <w:rPr>
          <w:rFonts w:hint="eastAsia" w:ascii="仿宋_GB2312" w:hAnsi="宋体" w:eastAsia="仿宋_GB2312" w:cs="仿宋_GB2312"/>
          <w:b w:val="0"/>
          <w:bCs w:val="0"/>
          <w:i w:val="0"/>
          <w:iCs w:val="0"/>
          <w:caps w:val="0"/>
          <w:color w:val="auto"/>
          <w:spacing w:val="0"/>
          <w:sz w:val="32"/>
          <w:szCs w:val="32"/>
          <w:shd w:val="clear" w:color="auto" w:fill="FFFFFF"/>
          <w:lang w:eastAsia="zh-CN"/>
        </w:rPr>
        <w:t>镇街动态、</w:t>
      </w:r>
      <w:r>
        <w:rPr>
          <w:rFonts w:hint="eastAsia" w:ascii="仿宋_GB2312" w:hAnsi="宋体" w:eastAsia="仿宋_GB2312" w:cs="仿宋_GB2312"/>
          <w:b w:val="0"/>
          <w:bCs w:val="0"/>
          <w:i w:val="0"/>
          <w:iCs w:val="0"/>
          <w:caps w:val="0"/>
          <w:color w:val="auto"/>
          <w:spacing w:val="0"/>
          <w:sz w:val="32"/>
          <w:szCs w:val="32"/>
          <w:shd w:val="clear" w:color="auto" w:fill="FFFFFF"/>
          <w:lang w:val="en-US" w:eastAsia="zh-CN"/>
        </w:rPr>
        <w:t>政府信息公开指南、</w:t>
      </w:r>
      <w:r>
        <w:rPr>
          <w:rFonts w:hint="eastAsia" w:ascii="仿宋_GB2312" w:hAnsi="宋体" w:eastAsia="仿宋_GB2312" w:cs="仿宋_GB2312"/>
          <w:b w:val="0"/>
          <w:bCs w:val="0"/>
          <w:i w:val="0"/>
          <w:iCs w:val="0"/>
          <w:caps w:val="0"/>
          <w:color w:val="auto"/>
          <w:spacing w:val="0"/>
          <w:sz w:val="32"/>
          <w:szCs w:val="32"/>
          <w:shd w:val="clear" w:color="auto" w:fill="FFFFFF"/>
          <w:lang w:eastAsia="zh-CN"/>
        </w:rPr>
        <w:t>涉农领域补贴</w:t>
      </w:r>
      <w:r>
        <w:rPr>
          <w:rFonts w:hint="eastAsia" w:ascii="仿宋_GB2312" w:hAnsi="仿宋_GB2312" w:eastAsia="仿宋_GB2312" w:cs="仿宋_GB2312"/>
          <w:b w:val="0"/>
          <w:bCs w:val="0"/>
          <w:i w:val="0"/>
          <w:iCs w:val="0"/>
          <w:caps w:val="0"/>
          <w:color w:val="auto"/>
          <w:spacing w:val="0"/>
          <w:sz w:val="32"/>
          <w:szCs w:val="32"/>
          <w:lang w:val="en-US" w:eastAsia="zh-CN"/>
        </w:rPr>
        <w:t>等方面信息。</w:t>
      </w:r>
      <w:r>
        <w:rPr>
          <w:rFonts w:hint="eastAsia" w:ascii="仿宋_GB2312" w:hAnsi="宋体" w:eastAsia="仿宋_GB2312" w:cs="仿宋_GB2312"/>
          <w:b w:val="0"/>
          <w:bCs w:val="0"/>
          <w:i w:val="0"/>
          <w:iCs w:val="0"/>
          <w:caps w:val="0"/>
          <w:color w:val="auto"/>
          <w:spacing w:val="0"/>
          <w:sz w:val="32"/>
          <w:szCs w:val="32"/>
          <w:shd w:val="clear" w:color="auto" w:fill="FFFFFF"/>
        </w:rPr>
        <w:t>其中涉及政策文件</w:t>
      </w:r>
      <w:r>
        <w:rPr>
          <w:rFonts w:hint="eastAsia" w:ascii="仿宋_GB2312" w:hAnsi="宋体" w:eastAsia="仿宋_GB2312" w:cs="仿宋_GB2312"/>
          <w:b w:val="0"/>
          <w:bCs w:val="0"/>
          <w:i w:val="0"/>
          <w:iCs w:val="0"/>
          <w:caps w:val="0"/>
          <w:color w:val="auto"/>
          <w:spacing w:val="0"/>
          <w:sz w:val="32"/>
          <w:szCs w:val="32"/>
          <w:shd w:val="clear" w:color="auto" w:fill="FFFFFF"/>
          <w:lang w:val="en-US" w:eastAsia="zh-CN"/>
        </w:rPr>
        <w:t>1</w:t>
      </w:r>
      <w:r>
        <w:rPr>
          <w:rFonts w:hint="eastAsia" w:ascii="仿宋_GB2312" w:hAnsi="宋体" w:eastAsia="仿宋_GB2312" w:cs="仿宋_GB2312"/>
          <w:b w:val="0"/>
          <w:bCs w:val="0"/>
          <w:i w:val="0"/>
          <w:iCs w:val="0"/>
          <w:caps w:val="0"/>
          <w:color w:val="auto"/>
          <w:spacing w:val="0"/>
          <w:sz w:val="32"/>
          <w:szCs w:val="32"/>
          <w:shd w:val="clear" w:color="auto" w:fill="FFFFFF"/>
        </w:rPr>
        <w:t>条、财政信息2条、</w:t>
      </w:r>
      <w:r>
        <w:rPr>
          <w:rFonts w:hint="eastAsia" w:ascii="仿宋_GB2312" w:hAnsi="宋体" w:eastAsia="仿宋_GB2312" w:cs="仿宋_GB2312"/>
          <w:b w:val="0"/>
          <w:bCs w:val="0"/>
          <w:i w:val="0"/>
          <w:iCs w:val="0"/>
          <w:caps w:val="0"/>
          <w:color w:val="auto"/>
          <w:spacing w:val="0"/>
          <w:sz w:val="32"/>
          <w:szCs w:val="32"/>
          <w:shd w:val="clear" w:color="auto" w:fill="FFFFFF"/>
          <w:lang w:val="en-US" w:eastAsia="zh-CN"/>
        </w:rPr>
        <w:t>行政执法公示7条</w:t>
      </w:r>
      <w:r>
        <w:rPr>
          <w:rFonts w:hint="eastAsia" w:ascii="仿宋_GB2312" w:hAnsi="宋体" w:eastAsia="仿宋_GB2312" w:cs="仿宋_GB2312"/>
          <w:b w:val="0"/>
          <w:bCs w:val="0"/>
          <w:i w:val="0"/>
          <w:iCs w:val="0"/>
          <w:caps w:val="0"/>
          <w:color w:val="auto"/>
          <w:spacing w:val="0"/>
          <w:sz w:val="32"/>
          <w:szCs w:val="32"/>
          <w:shd w:val="clear" w:color="auto" w:fill="FFFFFF"/>
        </w:rPr>
        <w:t>、基础建设2条、</w:t>
      </w:r>
      <w:r>
        <w:rPr>
          <w:rFonts w:hint="eastAsia" w:ascii="仿宋_GB2312" w:hAnsi="宋体" w:eastAsia="仿宋_GB2312" w:cs="仿宋_GB2312"/>
          <w:b w:val="0"/>
          <w:bCs w:val="0"/>
          <w:i w:val="0"/>
          <w:iCs w:val="0"/>
          <w:caps w:val="0"/>
          <w:color w:val="auto"/>
          <w:spacing w:val="0"/>
          <w:sz w:val="32"/>
          <w:szCs w:val="32"/>
          <w:shd w:val="clear" w:color="auto" w:fill="FFFFFF"/>
          <w:lang w:val="en-US" w:eastAsia="zh-CN"/>
        </w:rPr>
        <w:t>通知公告2条、</w:t>
      </w:r>
      <w:r>
        <w:rPr>
          <w:rFonts w:hint="eastAsia" w:ascii="仿宋_GB2312" w:hAnsi="宋体" w:eastAsia="仿宋_GB2312" w:cs="仿宋_GB2312"/>
          <w:b w:val="0"/>
          <w:bCs w:val="0"/>
          <w:i w:val="0"/>
          <w:iCs w:val="0"/>
          <w:caps w:val="0"/>
          <w:color w:val="auto"/>
          <w:spacing w:val="0"/>
          <w:sz w:val="32"/>
          <w:szCs w:val="32"/>
          <w:shd w:val="clear" w:color="auto" w:fill="FFFFFF"/>
        </w:rPr>
        <w:t>组织管理</w:t>
      </w:r>
      <w:r>
        <w:rPr>
          <w:rFonts w:hint="eastAsia" w:ascii="仿宋_GB2312" w:hAnsi="宋体" w:eastAsia="仿宋_GB2312" w:cs="仿宋_GB2312"/>
          <w:b w:val="0"/>
          <w:bCs w:val="0"/>
          <w:i w:val="0"/>
          <w:iCs w:val="0"/>
          <w:caps w:val="0"/>
          <w:color w:val="auto"/>
          <w:spacing w:val="0"/>
          <w:sz w:val="32"/>
          <w:szCs w:val="32"/>
          <w:shd w:val="clear" w:color="auto" w:fill="FFFFFF"/>
          <w:lang w:val="en-US" w:eastAsia="zh-CN"/>
        </w:rPr>
        <w:t>1</w:t>
      </w:r>
      <w:r>
        <w:rPr>
          <w:rFonts w:hint="eastAsia" w:ascii="仿宋_GB2312" w:hAnsi="宋体" w:eastAsia="仿宋_GB2312" w:cs="仿宋_GB2312"/>
          <w:b w:val="0"/>
          <w:bCs w:val="0"/>
          <w:i w:val="0"/>
          <w:iCs w:val="0"/>
          <w:caps w:val="0"/>
          <w:color w:val="auto"/>
          <w:spacing w:val="0"/>
          <w:sz w:val="32"/>
          <w:szCs w:val="32"/>
          <w:shd w:val="clear" w:color="auto" w:fill="FFFFFF"/>
        </w:rPr>
        <w:t>条、</w:t>
      </w:r>
      <w:r>
        <w:rPr>
          <w:rFonts w:hint="eastAsia" w:ascii="仿宋_GB2312" w:hAnsi="宋体" w:eastAsia="仿宋_GB2312" w:cs="仿宋_GB2312"/>
          <w:b w:val="0"/>
          <w:bCs w:val="0"/>
          <w:i w:val="0"/>
          <w:iCs w:val="0"/>
          <w:caps w:val="0"/>
          <w:color w:val="auto"/>
          <w:spacing w:val="0"/>
          <w:sz w:val="32"/>
          <w:szCs w:val="32"/>
          <w:shd w:val="clear" w:color="auto" w:fill="FFFFFF"/>
          <w:lang w:val="en-US" w:eastAsia="zh-CN"/>
        </w:rPr>
        <w:t>法治政府建设报告1条、</w:t>
      </w:r>
      <w:r>
        <w:rPr>
          <w:rFonts w:hint="eastAsia" w:ascii="仿宋_GB2312" w:hAnsi="宋体" w:eastAsia="仿宋_GB2312" w:cs="仿宋_GB2312"/>
          <w:b w:val="0"/>
          <w:bCs w:val="0"/>
          <w:i w:val="0"/>
          <w:iCs w:val="0"/>
          <w:caps w:val="0"/>
          <w:color w:val="auto"/>
          <w:spacing w:val="0"/>
          <w:sz w:val="32"/>
          <w:szCs w:val="32"/>
          <w:shd w:val="clear" w:color="auto" w:fill="FFFFFF"/>
          <w:lang w:eastAsia="zh-CN"/>
        </w:rPr>
        <w:t>镇街动态</w:t>
      </w:r>
      <w:r>
        <w:rPr>
          <w:rFonts w:hint="eastAsia" w:ascii="仿宋_GB2312" w:hAnsi="宋体" w:eastAsia="仿宋_GB2312" w:cs="仿宋_GB2312"/>
          <w:b w:val="0"/>
          <w:bCs w:val="0"/>
          <w:i w:val="0"/>
          <w:iCs w:val="0"/>
          <w:caps w:val="0"/>
          <w:color w:val="auto"/>
          <w:spacing w:val="0"/>
          <w:sz w:val="32"/>
          <w:szCs w:val="32"/>
          <w:shd w:val="clear" w:color="auto" w:fill="FFFFFF"/>
          <w:lang w:val="en-US" w:eastAsia="zh-CN"/>
        </w:rPr>
        <w:t>7条、政府信息公开指南1条、</w:t>
      </w:r>
      <w:r>
        <w:rPr>
          <w:rFonts w:hint="eastAsia" w:ascii="仿宋_GB2312" w:hAnsi="宋体" w:eastAsia="仿宋_GB2312" w:cs="仿宋_GB2312"/>
          <w:b w:val="0"/>
          <w:bCs w:val="0"/>
          <w:i w:val="0"/>
          <w:iCs w:val="0"/>
          <w:caps w:val="0"/>
          <w:color w:val="auto"/>
          <w:spacing w:val="0"/>
          <w:sz w:val="32"/>
          <w:szCs w:val="32"/>
          <w:shd w:val="clear" w:color="auto" w:fill="FFFFFF"/>
          <w:lang w:eastAsia="zh-CN"/>
        </w:rPr>
        <w:t>涉农领域补贴</w:t>
      </w:r>
      <w:r>
        <w:rPr>
          <w:rFonts w:hint="eastAsia" w:ascii="仿宋_GB2312" w:hAnsi="宋体" w:eastAsia="仿宋_GB2312" w:cs="仿宋_GB2312"/>
          <w:b w:val="0"/>
          <w:bCs w:val="0"/>
          <w:i w:val="0"/>
          <w:iCs w:val="0"/>
          <w:caps w:val="0"/>
          <w:color w:val="auto"/>
          <w:spacing w:val="0"/>
          <w:sz w:val="32"/>
          <w:szCs w:val="32"/>
          <w:shd w:val="clear" w:color="auto" w:fill="FFFFFF"/>
          <w:lang w:val="en-US" w:eastAsia="zh-CN"/>
        </w:rPr>
        <w:t>1</w:t>
      </w:r>
      <w:r>
        <w:rPr>
          <w:rFonts w:hint="eastAsia" w:ascii="仿宋_GB2312" w:hAnsi="宋体" w:eastAsia="仿宋_GB2312" w:cs="仿宋_GB2312"/>
          <w:b w:val="0"/>
          <w:bCs w:val="0"/>
          <w:i w:val="0"/>
          <w:iCs w:val="0"/>
          <w:caps w:val="0"/>
          <w:color w:val="auto"/>
          <w:spacing w:val="0"/>
          <w:sz w:val="32"/>
          <w:szCs w:val="32"/>
          <w:shd w:val="clear" w:color="auto" w:fill="FFFFFF"/>
        </w:rPr>
        <w:t>条。</w:t>
      </w:r>
    </w:p>
    <w:p w14:paraId="26C79544">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center"/>
        <w:textAlignment w:val="auto"/>
        <w:rPr>
          <w:rFonts w:hint="eastAsia" w:ascii="CESI楷体-GB2312" w:hAnsi="CESI楷体-GB2312" w:eastAsia="CESI楷体-GB2312" w:cs="CESI楷体-GB2312"/>
          <w:b/>
          <w:bCs/>
          <w:sz w:val="32"/>
          <w:szCs w:val="32"/>
          <w:lang w:eastAsia="zh-CN"/>
        </w:rPr>
      </w:pPr>
      <w:r>
        <w:drawing>
          <wp:inline distT="0" distB="0" distL="114300" distR="114300">
            <wp:extent cx="4344670" cy="2684780"/>
            <wp:effectExtent l="5080" t="5080" r="12700" b="15240"/>
            <wp:docPr id="1" name="图表 4" descr="7b0a202020202263686172745265734964223a202232303437323139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28C1F1BA">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（二）</w:t>
      </w:r>
      <w:r>
        <w:rPr>
          <w:rFonts w:hint="eastAsia" w:ascii="CESI楷体-GB2312" w:hAnsi="CESI楷体-GB2312" w:eastAsia="CESI楷体-GB2312" w:cs="CESI楷体-GB2312"/>
          <w:b/>
          <w:bCs/>
          <w:sz w:val="32"/>
          <w:szCs w:val="32"/>
        </w:rPr>
        <w:t>依申请公开</w:t>
      </w:r>
    </w:p>
    <w:p w14:paraId="73C5E78A">
      <w:pPr>
        <w:ind w:firstLine="640" w:firstLineChars="200"/>
        <w:rPr>
          <w:rFonts w:hint="eastAsia" w:ascii="仿宋_GB2312" w:eastAsia="仿宋_GB2312" w:cs="汉仪中等线简"/>
          <w:sz w:val="32"/>
          <w:szCs w:val="32"/>
          <w:lang w:eastAsia="zh-CN"/>
        </w:rPr>
      </w:pPr>
      <w:r>
        <w:rPr>
          <w:rFonts w:hint="eastAsia" w:ascii="仿宋_GB2312" w:eastAsia="仿宋_GB2312"/>
          <w:color w:val="auto"/>
          <w:sz w:val="32"/>
          <w:szCs w:val="32"/>
          <w:lang w:val="en-US" w:eastAsia="zh-CN"/>
        </w:rPr>
        <w:t>2025年，斜店乡未收到政府信息公开申请。</w:t>
      </w:r>
      <w:r>
        <w:rPr>
          <w:rFonts w:hint="eastAsia" w:ascii="仿宋_GB2312" w:eastAsia="仿宋_GB2312" w:cs="汉仪中等线简"/>
          <w:sz w:val="32"/>
          <w:szCs w:val="32"/>
          <w:lang w:eastAsia="zh-CN"/>
        </w:rPr>
        <w:t>全年未发生因政府信息公开被行政复议、提起行政诉讼情况。</w:t>
      </w:r>
    </w:p>
    <w:p w14:paraId="725E35C7">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lang w:eastAsia="zh-CN"/>
        </w:rPr>
        <w:t>（三）</w:t>
      </w:r>
      <w:r>
        <w:rPr>
          <w:rFonts w:hint="eastAsia" w:ascii="CESI楷体-GB2312" w:hAnsi="CESI楷体-GB2312" w:eastAsia="CESI楷体-GB2312" w:cs="CESI楷体-GB2312"/>
          <w:b/>
          <w:bCs/>
          <w:sz w:val="32"/>
          <w:szCs w:val="32"/>
        </w:rPr>
        <w:t>政府信息管理</w:t>
      </w:r>
    </w:p>
    <w:p w14:paraId="514F281D">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olor w:val="FF0000"/>
          <w:sz w:val="32"/>
          <w:szCs w:val="32"/>
        </w:rPr>
      </w:pPr>
      <w:r>
        <w:rPr>
          <w:rFonts w:hint="eastAsia" w:ascii="仿宋_GB2312" w:eastAsia="仿宋_GB2312"/>
          <w:color w:val="auto"/>
          <w:sz w:val="32"/>
          <w:szCs w:val="32"/>
          <w:lang w:val="en-US" w:eastAsia="zh-CN"/>
        </w:rPr>
        <w:t>牢固树立政府信息公开底线思维，</w:t>
      </w:r>
      <w:r>
        <w:rPr>
          <w:rFonts w:hint="eastAsia" w:ascii="仿宋_GB2312" w:eastAsia="仿宋_GB2312"/>
          <w:color w:val="auto"/>
          <w:sz w:val="32"/>
          <w:szCs w:val="32"/>
          <w:lang w:eastAsia="zh-CN"/>
        </w:rPr>
        <w:t>加强政府信息管理，</w:t>
      </w:r>
      <w:r>
        <w:rPr>
          <w:rFonts w:hint="eastAsia" w:ascii="仿宋_GB2312" w:eastAsia="仿宋_GB2312"/>
          <w:color w:val="auto"/>
          <w:sz w:val="32"/>
          <w:szCs w:val="32"/>
          <w:lang w:val="en-US" w:eastAsia="zh-CN"/>
        </w:rPr>
        <w:t>对政府信息公开发布审查工作进行再部署再强调，严格落实政府信息发布保密审查制度，对拟公开信息的真实性、准确性、完整性及规范性进行全面审查把关，确保所发布的信息合法、准确。</w:t>
      </w:r>
    </w:p>
    <w:p w14:paraId="7576CA70">
      <w:pPr>
        <w:keepNext w:val="0"/>
        <w:keepLines w:val="0"/>
        <w:pageBreakBefore w:val="0"/>
        <w:numPr>
          <w:ilvl w:val="0"/>
          <w:numId w:val="2"/>
        </w:numPr>
        <w:kinsoku/>
        <w:wordWrap/>
        <w:overflowPunct/>
        <w:topLinePunct w:val="0"/>
        <w:autoSpaceDE/>
        <w:autoSpaceDN/>
        <w:bidi w:val="0"/>
        <w:adjustRightInd/>
        <w:snapToGrid/>
        <w:spacing w:line="600" w:lineRule="exact"/>
        <w:ind w:firstLine="643"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rPr>
        <w:t>政府信息公开平台建设</w:t>
      </w:r>
    </w:p>
    <w:p w14:paraId="5645CE3D">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2025年，斜店乡积极推进政府信息公开建设工作，依托冠县人民政府网站渠道，不定期更新、补充相关信息内容，方便群众获取政府信息。同时，做好线下政务公开阵地建设工作，优化升级政务公开体验区功能，将政策解读、办事流程等集中展示，为办事群众提供现场咨询与引导服务，不断推动政务公开与政务服务深度融合。</w:t>
      </w:r>
    </w:p>
    <w:p w14:paraId="3B6AA48F">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lang w:val="en-US" w:eastAsia="zh-CN"/>
        </w:rPr>
        <w:drawing>
          <wp:inline distT="0" distB="0" distL="114300" distR="114300">
            <wp:extent cx="2200910" cy="1650365"/>
            <wp:effectExtent l="0" t="0" r="8890" b="6985"/>
            <wp:docPr id="2" name="图片 15" descr="35860faa390ac38e0c38216b120fe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5" descr="35860faa390ac38e0c38216b120fe581"/>
                    <pic:cNvPicPr>
                      <a:picLocks noChangeAspect="1"/>
                    </pic:cNvPicPr>
                  </pic:nvPicPr>
                  <pic:blipFill>
                    <a:blip r:embed="rId6"/>
                    <a:stretch>
                      <a:fillRect/>
                    </a:stretch>
                  </pic:blipFill>
                  <pic:spPr>
                    <a:xfrm>
                      <a:off x="0" y="0"/>
                      <a:ext cx="2200910" cy="1650365"/>
                    </a:xfrm>
                    <a:prstGeom prst="rect">
                      <a:avLst/>
                    </a:prstGeom>
                    <a:noFill/>
                    <a:ln>
                      <a:noFill/>
                    </a:ln>
                  </pic:spPr>
                </pic:pic>
              </a:graphicData>
            </a:graphic>
          </wp:inline>
        </w:drawing>
      </w:r>
      <w:r>
        <w:rPr>
          <w:rFonts w:hint="eastAsia" w:ascii="仿宋_GB2312" w:eastAsia="仿宋_GB2312"/>
          <w:color w:val="auto"/>
          <w:sz w:val="32"/>
          <w:szCs w:val="32"/>
          <w:lang w:val="en-US" w:eastAsia="zh-CN"/>
        </w:rPr>
        <w:drawing>
          <wp:inline distT="0" distB="0" distL="114300" distR="114300">
            <wp:extent cx="2198370" cy="1649095"/>
            <wp:effectExtent l="0" t="0" r="11430" b="8255"/>
            <wp:docPr id="3" name="图片 17" descr="d759ae4040fab5fa5fb8a07ce1205b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7" descr="d759ae4040fab5fa5fb8a07ce1205b53"/>
                    <pic:cNvPicPr>
                      <a:picLocks noChangeAspect="1"/>
                    </pic:cNvPicPr>
                  </pic:nvPicPr>
                  <pic:blipFill>
                    <a:blip r:embed="rId7"/>
                    <a:stretch>
                      <a:fillRect/>
                    </a:stretch>
                  </pic:blipFill>
                  <pic:spPr>
                    <a:xfrm>
                      <a:off x="0" y="0"/>
                      <a:ext cx="2198370" cy="1649095"/>
                    </a:xfrm>
                    <a:prstGeom prst="rect">
                      <a:avLst/>
                    </a:prstGeom>
                    <a:noFill/>
                    <a:ln>
                      <a:noFill/>
                    </a:ln>
                  </pic:spPr>
                </pic:pic>
              </a:graphicData>
            </a:graphic>
          </wp:inline>
        </w:drawing>
      </w:r>
    </w:p>
    <w:p w14:paraId="129E3C5A">
      <w:pPr>
        <w:keepNext w:val="0"/>
        <w:keepLines w:val="0"/>
        <w:pageBreakBefore w:val="0"/>
        <w:numPr>
          <w:ilvl w:val="0"/>
          <w:numId w:val="2"/>
        </w:numPr>
        <w:kinsoku/>
        <w:wordWrap/>
        <w:overflowPunct/>
        <w:topLinePunct w:val="0"/>
        <w:autoSpaceDE/>
        <w:autoSpaceDN/>
        <w:bidi w:val="0"/>
        <w:adjustRightInd/>
        <w:snapToGrid/>
        <w:spacing w:line="600" w:lineRule="exact"/>
        <w:ind w:left="0" w:leftChars="0" w:firstLine="643"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rPr>
        <w:t>监督保障</w:t>
      </w:r>
    </w:p>
    <w:p w14:paraId="178164F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10" w:afterAutospacing="0" w:line="600" w:lineRule="atLeast"/>
        <w:ind w:left="0" w:right="0" w:firstLine="645"/>
        <w:jc w:val="both"/>
        <w:rPr>
          <w:rFonts w:hint="eastAsia" w:ascii="CESI黑体-GB2312" w:hAnsi="CESI黑体-GB2312" w:eastAsia="CESI黑体-GB2312" w:cs="CESI黑体-GB2312"/>
          <w:b w:val="0"/>
          <w:bCs w:val="0"/>
          <w:lang w:eastAsia="zh-CN"/>
        </w:rPr>
      </w:pPr>
      <w:r>
        <w:rPr>
          <w:rFonts w:hint="eastAsia" w:ascii="仿宋_GB2312" w:eastAsia="仿宋_GB2312"/>
          <w:color w:val="auto"/>
          <w:sz w:val="32"/>
          <w:szCs w:val="32"/>
          <w:lang w:val="en-US" w:eastAsia="zh-CN"/>
        </w:rPr>
        <w:t>明确政务公开工作分工，分管领导主抓工作，各科室积极配合报送相关信息，落实专人负责信息公开报送，强化监督考核，确保政府信息公开工作落到实处。</w:t>
      </w:r>
      <w:r>
        <w:rPr>
          <w:rFonts w:hint="eastAsia" w:ascii="仿宋_GB2312" w:eastAsia="仿宋_GB2312" w:cs="仿宋_GB2312"/>
          <w:b w:val="0"/>
          <w:bCs w:val="0"/>
          <w:i w:val="0"/>
          <w:iCs w:val="0"/>
          <w:caps w:val="0"/>
          <w:color w:val="auto"/>
          <w:spacing w:val="0"/>
          <w:sz w:val="32"/>
          <w:szCs w:val="32"/>
          <w:shd w:val="clear" w:color="auto" w:fill="FFFFFF"/>
          <w:lang w:val="en-US" w:eastAsia="zh-CN"/>
        </w:rPr>
        <w:t>2025年，未发生因信息公开不当引发负面社会评议及责任追究情况。</w:t>
      </w:r>
    </w:p>
    <w:p w14:paraId="1FBB02FA">
      <w:pPr>
        <w:pStyle w:val="2"/>
        <w:numPr>
          <w:ilvl w:val="0"/>
          <w:numId w:val="0"/>
        </w:numPr>
        <w:spacing w:before="0" w:after="0" w:line="240" w:lineRule="auto"/>
        <w:rPr>
          <w:rFonts w:hint="eastAsia" w:ascii="CESI黑体-GB2312" w:hAnsi="CESI黑体-GB2312" w:eastAsia="CESI黑体-GB2312" w:cs="CESI黑体-GB2312"/>
          <w:b w:val="0"/>
          <w:bCs w:val="0"/>
          <w:lang w:eastAsia="zh-CN"/>
        </w:rPr>
      </w:pPr>
    </w:p>
    <w:p w14:paraId="6D9BD6F6">
      <w:pPr>
        <w:pStyle w:val="2"/>
        <w:numPr>
          <w:ilvl w:val="0"/>
          <w:numId w:val="0"/>
        </w:numPr>
        <w:spacing w:before="0" w:after="0" w:line="240" w:lineRule="auto"/>
        <w:ind w:firstLine="640" w:firstLineChars="200"/>
        <w:rPr>
          <w:rFonts w:hint="eastAsia"/>
        </w:rPr>
      </w:pPr>
      <w:r>
        <w:rPr>
          <w:rFonts w:hint="eastAsia" w:ascii="CESI黑体-GB2312" w:hAnsi="CESI黑体-GB2312" w:eastAsia="CESI黑体-GB2312" w:cs="CESI黑体-GB2312"/>
          <w:b w:val="0"/>
          <w:bCs w:val="0"/>
          <w:lang w:eastAsia="zh-CN"/>
        </w:rPr>
        <w:t>二、</w:t>
      </w:r>
      <w:r>
        <w:rPr>
          <w:rFonts w:hint="eastAsia" w:ascii="CESI黑体-GB2312" w:hAnsi="CESI黑体-GB2312" w:eastAsia="CESI黑体-GB2312" w:cs="CESI黑体-GB2312"/>
          <w:b w:val="0"/>
          <w:bCs w:val="0"/>
        </w:rPr>
        <w:t>主动公开政府信息情况</w:t>
      </w:r>
    </w:p>
    <w:tbl>
      <w:tblPr>
        <w:tblStyle w:val="6"/>
        <w:tblpPr w:leftFromText="180" w:rightFromText="180" w:vertAnchor="text" w:horzAnchor="page" w:tblpXSpec="center" w:tblpY="596"/>
        <w:tblOverlap w:val="never"/>
        <w:tblW w:w="5000" w:type="pct"/>
        <w:jc w:val="center"/>
        <w:tblLayout w:type="autofit"/>
        <w:tblCellMar>
          <w:top w:w="0" w:type="dxa"/>
          <w:left w:w="108" w:type="dxa"/>
          <w:bottom w:w="0" w:type="dxa"/>
          <w:right w:w="108" w:type="dxa"/>
        </w:tblCellMar>
      </w:tblPr>
      <w:tblGrid>
        <w:gridCol w:w="2130"/>
        <w:gridCol w:w="2130"/>
        <w:gridCol w:w="2131"/>
        <w:gridCol w:w="2131"/>
      </w:tblGrid>
      <w:tr w14:paraId="49EA68B9">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2096444F">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48C87F62">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45542D7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14:paraId="2FAE99B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14:paraId="3BCC7BBC">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14:paraId="52B9838E">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0B296C5D">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715A0CFE">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noWrap w:val="0"/>
            <w:vAlign w:val="center"/>
          </w:tcPr>
          <w:p w14:paraId="630DB225">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513A5884">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406B7596">
            <w:pPr>
              <w:widowControl/>
              <w:jc w:val="center"/>
              <w:rPr>
                <w:rFonts w:hint="default"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14:paraId="7AD7FB1D">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0E170C62">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14:paraId="23719669">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10C4E40B">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45453319">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14:paraId="5B876807">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2B548C86">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4798D0FC">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2C3E32AD">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419ABA1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15E9D208">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22EB586F">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14:paraId="431EBDD0">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14:paraId="26EF4E9A">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55ACB471">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509D55DE">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01B666DD">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7F1AD64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6AE4200D">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049EA688">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14:paraId="226580EF">
            <w:pPr>
              <w:widowControl/>
              <w:jc w:val="left"/>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 xml:space="preserve">                           0</w:t>
            </w:r>
          </w:p>
        </w:tc>
      </w:tr>
      <w:tr w14:paraId="279952F2">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0A75ECFA">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14:paraId="20AD9928">
            <w:pPr>
              <w:widowControl/>
              <w:jc w:val="left"/>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 xml:space="preserve">                           0</w:t>
            </w:r>
          </w:p>
        </w:tc>
      </w:tr>
      <w:tr w14:paraId="4D74D79F">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1EAA9F94">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652F1755">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7152ADD9">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211D5EC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5A2EEBB8">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6D37C679">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14:paraId="7D4DCB61">
            <w:pPr>
              <w:widowControl/>
              <w:jc w:val="left"/>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rPr>
              <w:t>　</w:t>
            </w:r>
            <w:r>
              <w:rPr>
                <w:rFonts w:hint="eastAsia" w:ascii="仿宋_GB2312" w:eastAsia="仿宋_GB2312" w:cs="Calibri"/>
                <w:color w:val="000000"/>
                <w:kern w:val="0"/>
                <w:szCs w:val="21"/>
                <w:lang w:val="en-US" w:eastAsia="zh-CN"/>
              </w:rPr>
              <w:t xml:space="preserve">                           0</w:t>
            </w:r>
          </w:p>
        </w:tc>
      </w:tr>
    </w:tbl>
    <w:p w14:paraId="15769640">
      <w:pPr>
        <w:numPr>
          <w:ilvl w:val="0"/>
          <w:numId w:val="0"/>
        </w:numPr>
        <w:rPr>
          <w:rFonts w:hint="eastAsia"/>
        </w:rPr>
      </w:pPr>
    </w:p>
    <w:p w14:paraId="1DE12085">
      <w:pPr>
        <w:ind w:firstLine="640" w:firstLineChars="200"/>
        <w:jc w:val="left"/>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三、</w:t>
      </w:r>
      <w:r>
        <w:rPr>
          <w:rFonts w:hint="eastAsia" w:ascii="CESI黑体-GB2312" w:hAnsi="CESI黑体-GB2312" w:eastAsia="CESI黑体-GB2312" w:cs="CESI黑体-GB2312"/>
          <w:sz w:val="32"/>
          <w:szCs w:val="32"/>
        </w:rPr>
        <w:t>收到和处理政府信息公开申请情况</w:t>
      </w:r>
    </w:p>
    <w:tbl>
      <w:tblPr>
        <w:tblStyle w:val="6"/>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55E21E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14:paraId="377B0235">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14:paraId="71B46C9A">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noWrap w:val="0"/>
            <w:tcMar>
              <w:left w:w="108" w:type="dxa"/>
              <w:right w:w="108" w:type="dxa"/>
            </w:tcMar>
            <w:vAlign w:val="center"/>
          </w:tcPr>
          <w:p w14:paraId="2817276A">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14:paraId="3280C3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14:paraId="503D2332">
            <w:pPr>
              <w:jc w:val="center"/>
              <w:rPr>
                <w:rFonts w:ascii="仿宋_GB2312" w:hAnsi="Times New Roman" w:eastAsia="仿宋_GB2312"/>
                <w:szCs w:val="21"/>
              </w:rPr>
            </w:pPr>
          </w:p>
        </w:tc>
        <w:tc>
          <w:tcPr>
            <w:tcW w:w="829" w:type="dxa"/>
            <w:vMerge w:val="restart"/>
            <w:noWrap w:val="0"/>
            <w:tcMar>
              <w:left w:w="108" w:type="dxa"/>
              <w:right w:w="108" w:type="dxa"/>
            </w:tcMar>
            <w:vAlign w:val="center"/>
          </w:tcPr>
          <w:p w14:paraId="77C7B720">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noWrap w:val="0"/>
            <w:tcMar>
              <w:left w:w="108" w:type="dxa"/>
              <w:right w:w="108" w:type="dxa"/>
            </w:tcMar>
            <w:vAlign w:val="center"/>
          </w:tcPr>
          <w:p w14:paraId="1955F38A">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noWrap w:val="0"/>
            <w:tcMar>
              <w:left w:w="108" w:type="dxa"/>
              <w:right w:w="108" w:type="dxa"/>
            </w:tcMar>
            <w:vAlign w:val="center"/>
          </w:tcPr>
          <w:p w14:paraId="26328183">
            <w:pPr>
              <w:widowControl/>
              <w:jc w:val="center"/>
              <w:rPr>
                <w:rFonts w:ascii="黑体" w:hAnsi="黑体" w:eastAsia="黑体"/>
                <w:szCs w:val="21"/>
              </w:rPr>
            </w:pPr>
            <w:r>
              <w:rPr>
                <w:rFonts w:hint="eastAsia" w:ascii="黑体" w:hAnsi="黑体" w:eastAsia="黑体"/>
                <w:kern w:val="0"/>
                <w:szCs w:val="21"/>
              </w:rPr>
              <w:t>总计</w:t>
            </w:r>
          </w:p>
        </w:tc>
      </w:tr>
      <w:tr w14:paraId="1FE19F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14:paraId="1B618642">
            <w:pPr>
              <w:jc w:val="center"/>
              <w:rPr>
                <w:rFonts w:ascii="仿宋_GB2312" w:hAnsi="Times New Roman" w:eastAsia="仿宋_GB2312"/>
                <w:szCs w:val="21"/>
              </w:rPr>
            </w:pPr>
          </w:p>
        </w:tc>
        <w:tc>
          <w:tcPr>
            <w:tcW w:w="829" w:type="dxa"/>
            <w:vMerge w:val="continue"/>
            <w:noWrap w:val="0"/>
            <w:tcMar>
              <w:left w:w="108" w:type="dxa"/>
              <w:right w:w="108" w:type="dxa"/>
            </w:tcMar>
            <w:vAlign w:val="center"/>
          </w:tcPr>
          <w:p w14:paraId="360CBF9B">
            <w:pPr>
              <w:jc w:val="center"/>
              <w:rPr>
                <w:rFonts w:ascii="黑体" w:hAnsi="黑体" w:eastAsia="黑体"/>
                <w:szCs w:val="21"/>
              </w:rPr>
            </w:pPr>
          </w:p>
        </w:tc>
        <w:tc>
          <w:tcPr>
            <w:tcW w:w="567" w:type="dxa"/>
            <w:noWrap w:val="0"/>
            <w:tcMar>
              <w:left w:w="108" w:type="dxa"/>
              <w:right w:w="108" w:type="dxa"/>
            </w:tcMar>
            <w:vAlign w:val="center"/>
          </w:tcPr>
          <w:p w14:paraId="73E2075A">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67" w:type="dxa"/>
            <w:noWrap w:val="0"/>
            <w:tcMar>
              <w:left w:w="108" w:type="dxa"/>
              <w:right w:w="108" w:type="dxa"/>
            </w:tcMar>
            <w:vAlign w:val="center"/>
          </w:tcPr>
          <w:p w14:paraId="0043A1C7">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31" w:type="dxa"/>
            <w:noWrap w:val="0"/>
            <w:tcMar>
              <w:left w:w="108" w:type="dxa"/>
              <w:right w:w="108" w:type="dxa"/>
            </w:tcMar>
            <w:vAlign w:val="center"/>
          </w:tcPr>
          <w:p w14:paraId="0C73F974">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708" w:type="dxa"/>
            <w:noWrap w:val="0"/>
            <w:tcMar>
              <w:left w:w="108" w:type="dxa"/>
              <w:right w:w="108" w:type="dxa"/>
            </w:tcMar>
            <w:vAlign w:val="center"/>
          </w:tcPr>
          <w:p w14:paraId="2828F0BB">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noWrap w:val="0"/>
            <w:tcMar>
              <w:left w:w="108" w:type="dxa"/>
              <w:right w:w="108" w:type="dxa"/>
            </w:tcMar>
            <w:vAlign w:val="center"/>
          </w:tcPr>
          <w:p w14:paraId="0DF1E78A">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noWrap w:val="0"/>
            <w:tcMar>
              <w:left w:w="108" w:type="dxa"/>
              <w:right w:w="108" w:type="dxa"/>
            </w:tcMar>
            <w:vAlign w:val="center"/>
          </w:tcPr>
          <w:p w14:paraId="045A9C66">
            <w:pPr>
              <w:jc w:val="center"/>
              <w:rPr>
                <w:rFonts w:ascii="仿宋_GB2312" w:hAnsi="Times New Roman" w:eastAsia="仿宋_GB2312"/>
                <w:szCs w:val="21"/>
              </w:rPr>
            </w:pPr>
          </w:p>
        </w:tc>
      </w:tr>
      <w:tr w14:paraId="7AC347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23970AC0">
            <w:pPr>
              <w:widowControl/>
              <w:rPr>
                <w:rFonts w:ascii="黑体" w:hAnsi="黑体" w:eastAsia="黑体"/>
                <w:szCs w:val="21"/>
              </w:rPr>
            </w:pPr>
            <w:r>
              <w:rPr>
                <w:rFonts w:hint="eastAsia" w:ascii="黑体" w:hAnsi="黑体" w:eastAsia="黑体"/>
                <w:kern w:val="0"/>
                <w:szCs w:val="21"/>
              </w:rPr>
              <w:t>一、</w:t>
            </w:r>
            <w:bookmarkStart w:id="1" w:name="_Hlk66973412"/>
            <w:r>
              <w:rPr>
                <w:rFonts w:hint="eastAsia" w:ascii="黑体" w:hAnsi="黑体" w:eastAsia="黑体"/>
                <w:kern w:val="0"/>
                <w:szCs w:val="21"/>
              </w:rPr>
              <w:t>本年新收政府信息公开申请数量</w:t>
            </w:r>
            <w:bookmarkEnd w:id="1"/>
          </w:p>
        </w:tc>
        <w:tc>
          <w:tcPr>
            <w:tcW w:w="829" w:type="dxa"/>
            <w:noWrap w:val="0"/>
            <w:tcMar>
              <w:left w:w="108" w:type="dxa"/>
              <w:right w:w="108" w:type="dxa"/>
            </w:tcMar>
            <w:vAlign w:val="center"/>
          </w:tcPr>
          <w:p w14:paraId="2681022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821A5B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046A6F2">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2882B07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7BF3A2E">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E3BD4F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08632E2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429498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179BBF65">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noWrap w:val="0"/>
            <w:tcMar>
              <w:left w:w="108" w:type="dxa"/>
              <w:right w:w="108" w:type="dxa"/>
            </w:tcMar>
            <w:vAlign w:val="center"/>
          </w:tcPr>
          <w:p w14:paraId="4A4815BE">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2E8276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1EF51E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45A288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6A9C724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A1ADE4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64B57C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0469A2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14:paraId="659EDA0A">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noWrap w:val="0"/>
            <w:tcMar>
              <w:left w:w="108" w:type="dxa"/>
              <w:right w:w="108" w:type="dxa"/>
            </w:tcMar>
            <w:vAlign w:val="center"/>
          </w:tcPr>
          <w:p w14:paraId="5152ACB3">
            <w:pPr>
              <w:widowControl/>
              <w:rPr>
                <w:rFonts w:ascii="黑体" w:hAnsi="黑体" w:eastAsia="黑体"/>
                <w:szCs w:val="21"/>
              </w:rPr>
            </w:pPr>
            <w:r>
              <w:rPr>
                <w:rFonts w:hint="eastAsia" w:ascii="黑体" w:hAnsi="黑体" w:eastAsia="黑体"/>
                <w:kern w:val="0"/>
                <w:szCs w:val="21"/>
              </w:rPr>
              <w:t>（一）予以公开</w:t>
            </w:r>
          </w:p>
        </w:tc>
        <w:tc>
          <w:tcPr>
            <w:tcW w:w="829" w:type="dxa"/>
            <w:noWrap w:val="0"/>
            <w:tcMar>
              <w:left w:w="108" w:type="dxa"/>
              <w:right w:w="108" w:type="dxa"/>
            </w:tcMar>
            <w:vAlign w:val="center"/>
          </w:tcPr>
          <w:p w14:paraId="72E520A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358870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0FCC43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1A24CED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2A9CF3F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9D0264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018F7E4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52DA25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276F3874">
            <w:pPr>
              <w:rPr>
                <w:rFonts w:ascii="黑体" w:hAnsi="黑体" w:eastAsia="黑体"/>
                <w:szCs w:val="21"/>
              </w:rPr>
            </w:pPr>
          </w:p>
        </w:tc>
        <w:tc>
          <w:tcPr>
            <w:tcW w:w="4677" w:type="dxa"/>
            <w:gridSpan w:val="2"/>
            <w:noWrap w:val="0"/>
            <w:tcMar>
              <w:left w:w="108" w:type="dxa"/>
              <w:right w:w="108" w:type="dxa"/>
            </w:tcMar>
            <w:vAlign w:val="center"/>
          </w:tcPr>
          <w:p w14:paraId="4BD447D4">
            <w:pPr>
              <w:widowControl/>
              <w:rPr>
                <w:rFonts w:ascii="黑体" w:hAnsi="黑体" w:eastAsia="黑体"/>
                <w:szCs w:val="21"/>
              </w:rPr>
            </w:pPr>
            <w:r>
              <w:rPr>
                <w:rFonts w:hint="eastAsia" w:ascii="黑体" w:hAnsi="黑体" w:eastAsia="黑体"/>
                <w:kern w:val="0"/>
                <w:szCs w:val="21"/>
              </w:rPr>
              <w:t>（二）部分公开（</w:t>
            </w:r>
            <w:bookmarkStart w:id="2" w:name="_Hlk66973981"/>
            <w:r>
              <w:rPr>
                <w:rFonts w:hint="eastAsia" w:ascii="黑体" w:hAnsi="黑体" w:eastAsia="黑体"/>
                <w:kern w:val="0"/>
                <w:szCs w:val="21"/>
              </w:rPr>
              <w:t>区分处理的，只计这一情形，不计其他情形</w:t>
            </w:r>
            <w:bookmarkEnd w:id="2"/>
            <w:r>
              <w:rPr>
                <w:rFonts w:hint="eastAsia" w:ascii="黑体" w:hAnsi="黑体" w:eastAsia="黑体"/>
                <w:kern w:val="0"/>
                <w:szCs w:val="21"/>
              </w:rPr>
              <w:t>）</w:t>
            </w:r>
          </w:p>
        </w:tc>
        <w:tc>
          <w:tcPr>
            <w:tcW w:w="829" w:type="dxa"/>
            <w:noWrap w:val="0"/>
            <w:tcMar>
              <w:left w:w="108" w:type="dxa"/>
              <w:right w:w="108" w:type="dxa"/>
            </w:tcMar>
            <w:vAlign w:val="center"/>
          </w:tcPr>
          <w:p w14:paraId="29B3497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C21399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10595F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4CC7FE4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1BE5B88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EC6DFA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54D5411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4C1F3A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F30F4FF">
            <w:pPr>
              <w:rPr>
                <w:rFonts w:ascii="黑体" w:hAnsi="黑体" w:eastAsia="黑体"/>
                <w:szCs w:val="21"/>
              </w:rPr>
            </w:pPr>
          </w:p>
        </w:tc>
        <w:tc>
          <w:tcPr>
            <w:tcW w:w="1701" w:type="dxa"/>
            <w:vMerge w:val="restart"/>
            <w:noWrap w:val="0"/>
            <w:tcMar>
              <w:left w:w="108" w:type="dxa"/>
              <w:right w:w="108" w:type="dxa"/>
            </w:tcMar>
            <w:vAlign w:val="center"/>
          </w:tcPr>
          <w:p w14:paraId="7B2BF28D">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noWrap w:val="0"/>
            <w:tcMar>
              <w:left w:w="108" w:type="dxa"/>
              <w:right w:w="108" w:type="dxa"/>
            </w:tcMar>
            <w:vAlign w:val="center"/>
          </w:tcPr>
          <w:p w14:paraId="15A64946">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noWrap w:val="0"/>
            <w:tcMar>
              <w:left w:w="108" w:type="dxa"/>
              <w:right w:w="108" w:type="dxa"/>
            </w:tcMar>
            <w:vAlign w:val="center"/>
          </w:tcPr>
          <w:p w14:paraId="176E7DC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0B017F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E24B28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7F5B3A7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1EB6B21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717618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335F700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527CC9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DB4C367">
            <w:pPr>
              <w:rPr>
                <w:rFonts w:ascii="黑体" w:hAnsi="黑体" w:eastAsia="黑体"/>
                <w:szCs w:val="21"/>
              </w:rPr>
            </w:pPr>
          </w:p>
        </w:tc>
        <w:tc>
          <w:tcPr>
            <w:tcW w:w="1701" w:type="dxa"/>
            <w:vMerge w:val="continue"/>
            <w:noWrap w:val="0"/>
            <w:tcMar>
              <w:left w:w="108" w:type="dxa"/>
              <w:right w:w="108" w:type="dxa"/>
            </w:tcMar>
            <w:vAlign w:val="center"/>
          </w:tcPr>
          <w:p w14:paraId="582DE0E2">
            <w:pPr>
              <w:spacing w:line="200" w:lineRule="exact"/>
              <w:rPr>
                <w:rFonts w:ascii="黑体" w:hAnsi="黑体" w:eastAsia="黑体"/>
                <w:szCs w:val="21"/>
              </w:rPr>
            </w:pPr>
          </w:p>
        </w:tc>
        <w:tc>
          <w:tcPr>
            <w:tcW w:w="2976" w:type="dxa"/>
            <w:noWrap w:val="0"/>
            <w:tcMar>
              <w:left w:w="108" w:type="dxa"/>
              <w:right w:w="108" w:type="dxa"/>
            </w:tcMar>
            <w:vAlign w:val="center"/>
          </w:tcPr>
          <w:p w14:paraId="44382990">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3" w:name="_Hlk66974104"/>
            <w:r>
              <w:rPr>
                <w:rFonts w:hint="eastAsia" w:ascii="仿宋_GB2312" w:hAnsi="黑体" w:eastAsia="仿宋_GB2312"/>
                <w:kern w:val="0"/>
                <w:szCs w:val="21"/>
              </w:rPr>
              <w:t>其他法律行政法规禁止公开</w:t>
            </w:r>
            <w:bookmarkEnd w:id="3"/>
          </w:p>
        </w:tc>
        <w:tc>
          <w:tcPr>
            <w:tcW w:w="829" w:type="dxa"/>
            <w:noWrap w:val="0"/>
            <w:tcMar>
              <w:left w:w="108" w:type="dxa"/>
              <w:right w:w="108" w:type="dxa"/>
            </w:tcMar>
            <w:vAlign w:val="center"/>
          </w:tcPr>
          <w:p w14:paraId="68C2F30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05E4F8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F24420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A0E4E9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3522D8E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4DAC5D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0E1B330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7DD48C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34DAE36">
            <w:pPr>
              <w:rPr>
                <w:rFonts w:ascii="黑体" w:hAnsi="黑体" w:eastAsia="黑体"/>
                <w:szCs w:val="21"/>
              </w:rPr>
            </w:pPr>
          </w:p>
        </w:tc>
        <w:tc>
          <w:tcPr>
            <w:tcW w:w="1701" w:type="dxa"/>
            <w:vMerge w:val="continue"/>
            <w:noWrap w:val="0"/>
            <w:tcMar>
              <w:left w:w="108" w:type="dxa"/>
              <w:right w:w="108" w:type="dxa"/>
            </w:tcMar>
            <w:vAlign w:val="center"/>
          </w:tcPr>
          <w:p w14:paraId="218B499B">
            <w:pPr>
              <w:spacing w:line="200" w:lineRule="exact"/>
              <w:rPr>
                <w:rFonts w:ascii="黑体" w:hAnsi="黑体" w:eastAsia="黑体"/>
                <w:szCs w:val="21"/>
              </w:rPr>
            </w:pPr>
          </w:p>
        </w:tc>
        <w:tc>
          <w:tcPr>
            <w:tcW w:w="2976" w:type="dxa"/>
            <w:noWrap w:val="0"/>
            <w:tcMar>
              <w:left w:w="108" w:type="dxa"/>
              <w:right w:w="108" w:type="dxa"/>
            </w:tcMar>
            <w:vAlign w:val="center"/>
          </w:tcPr>
          <w:p w14:paraId="4A95816A">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noWrap w:val="0"/>
            <w:tcMar>
              <w:left w:w="108" w:type="dxa"/>
              <w:right w:w="108" w:type="dxa"/>
            </w:tcMar>
            <w:vAlign w:val="center"/>
          </w:tcPr>
          <w:p w14:paraId="4B8D733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8ED8E0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05E287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3970BCD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3EC0F2F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6EA377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0D391FD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0639FD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5B54AD1">
            <w:pPr>
              <w:rPr>
                <w:rFonts w:ascii="黑体" w:hAnsi="黑体" w:eastAsia="黑体"/>
                <w:szCs w:val="21"/>
              </w:rPr>
            </w:pPr>
          </w:p>
        </w:tc>
        <w:tc>
          <w:tcPr>
            <w:tcW w:w="1701" w:type="dxa"/>
            <w:vMerge w:val="continue"/>
            <w:noWrap w:val="0"/>
            <w:tcMar>
              <w:left w:w="108" w:type="dxa"/>
              <w:right w:w="108" w:type="dxa"/>
            </w:tcMar>
            <w:vAlign w:val="center"/>
          </w:tcPr>
          <w:p w14:paraId="4A868E10">
            <w:pPr>
              <w:spacing w:line="200" w:lineRule="exact"/>
              <w:rPr>
                <w:rFonts w:ascii="黑体" w:hAnsi="黑体" w:eastAsia="黑体"/>
                <w:szCs w:val="21"/>
              </w:rPr>
            </w:pPr>
          </w:p>
        </w:tc>
        <w:tc>
          <w:tcPr>
            <w:tcW w:w="2976" w:type="dxa"/>
            <w:noWrap w:val="0"/>
            <w:tcMar>
              <w:left w:w="108" w:type="dxa"/>
              <w:right w:w="108" w:type="dxa"/>
            </w:tcMar>
            <w:vAlign w:val="center"/>
          </w:tcPr>
          <w:p w14:paraId="159A2773">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4" w:name="_Hlk66974290"/>
            <w:r>
              <w:rPr>
                <w:rFonts w:hint="eastAsia" w:ascii="仿宋_GB2312" w:hAnsi="黑体" w:eastAsia="仿宋_GB2312"/>
                <w:kern w:val="0"/>
                <w:szCs w:val="21"/>
              </w:rPr>
              <w:t>保护第三方合法权益</w:t>
            </w:r>
            <w:bookmarkEnd w:id="4"/>
          </w:p>
        </w:tc>
        <w:tc>
          <w:tcPr>
            <w:tcW w:w="829" w:type="dxa"/>
            <w:noWrap w:val="0"/>
            <w:tcMar>
              <w:left w:w="108" w:type="dxa"/>
              <w:right w:w="108" w:type="dxa"/>
            </w:tcMar>
            <w:vAlign w:val="center"/>
          </w:tcPr>
          <w:p w14:paraId="296F933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858F3C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1D8F97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58F6BDA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4C9B66F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777E22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58381E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69D313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F2D8B2D">
            <w:pPr>
              <w:rPr>
                <w:rFonts w:ascii="黑体" w:hAnsi="黑体" w:eastAsia="黑体"/>
                <w:szCs w:val="21"/>
              </w:rPr>
            </w:pPr>
          </w:p>
        </w:tc>
        <w:tc>
          <w:tcPr>
            <w:tcW w:w="1701" w:type="dxa"/>
            <w:vMerge w:val="continue"/>
            <w:noWrap w:val="0"/>
            <w:tcMar>
              <w:left w:w="108" w:type="dxa"/>
              <w:right w:w="108" w:type="dxa"/>
            </w:tcMar>
            <w:vAlign w:val="center"/>
          </w:tcPr>
          <w:p w14:paraId="616C2C8D">
            <w:pPr>
              <w:spacing w:line="200" w:lineRule="exact"/>
              <w:rPr>
                <w:rFonts w:ascii="黑体" w:hAnsi="黑体" w:eastAsia="黑体"/>
                <w:szCs w:val="21"/>
              </w:rPr>
            </w:pPr>
          </w:p>
        </w:tc>
        <w:tc>
          <w:tcPr>
            <w:tcW w:w="2976" w:type="dxa"/>
            <w:noWrap w:val="0"/>
            <w:tcMar>
              <w:left w:w="108" w:type="dxa"/>
              <w:right w:w="108" w:type="dxa"/>
            </w:tcMar>
            <w:vAlign w:val="center"/>
          </w:tcPr>
          <w:p w14:paraId="69E31306">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noWrap w:val="0"/>
            <w:tcMar>
              <w:left w:w="108" w:type="dxa"/>
              <w:right w:w="108" w:type="dxa"/>
            </w:tcMar>
            <w:vAlign w:val="center"/>
          </w:tcPr>
          <w:p w14:paraId="48435E7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CFB08C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DB24F8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56A367F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6682442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D2222D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1FF1F55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5BFE65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6258636">
            <w:pPr>
              <w:rPr>
                <w:rFonts w:ascii="黑体" w:hAnsi="黑体" w:eastAsia="黑体"/>
                <w:szCs w:val="21"/>
              </w:rPr>
            </w:pPr>
          </w:p>
        </w:tc>
        <w:tc>
          <w:tcPr>
            <w:tcW w:w="1701" w:type="dxa"/>
            <w:vMerge w:val="continue"/>
            <w:noWrap w:val="0"/>
            <w:tcMar>
              <w:left w:w="108" w:type="dxa"/>
              <w:right w:w="108" w:type="dxa"/>
            </w:tcMar>
            <w:vAlign w:val="center"/>
          </w:tcPr>
          <w:p w14:paraId="37986B34">
            <w:pPr>
              <w:spacing w:line="200" w:lineRule="exact"/>
              <w:rPr>
                <w:rFonts w:ascii="黑体" w:hAnsi="黑体" w:eastAsia="黑体"/>
                <w:szCs w:val="21"/>
              </w:rPr>
            </w:pPr>
          </w:p>
        </w:tc>
        <w:tc>
          <w:tcPr>
            <w:tcW w:w="2976" w:type="dxa"/>
            <w:noWrap w:val="0"/>
            <w:tcMar>
              <w:left w:w="108" w:type="dxa"/>
              <w:right w:w="108" w:type="dxa"/>
            </w:tcMar>
            <w:vAlign w:val="center"/>
          </w:tcPr>
          <w:p w14:paraId="6292A452">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5" w:name="_Hlk66974555"/>
            <w:r>
              <w:rPr>
                <w:rFonts w:hint="eastAsia" w:ascii="仿宋_GB2312" w:hAnsi="黑体" w:eastAsia="仿宋_GB2312"/>
                <w:kern w:val="0"/>
                <w:szCs w:val="21"/>
              </w:rPr>
              <w:t>属于四类过程性信息</w:t>
            </w:r>
            <w:bookmarkEnd w:id="5"/>
          </w:p>
        </w:tc>
        <w:tc>
          <w:tcPr>
            <w:tcW w:w="829" w:type="dxa"/>
            <w:noWrap w:val="0"/>
            <w:tcMar>
              <w:left w:w="108" w:type="dxa"/>
              <w:right w:w="108" w:type="dxa"/>
            </w:tcMar>
            <w:vAlign w:val="center"/>
          </w:tcPr>
          <w:p w14:paraId="5D5F0A1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5429E8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1ABD44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3D2FBC3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FE94FE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9C4E33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5F65C44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2758DB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3982976">
            <w:pPr>
              <w:rPr>
                <w:rFonts w:ascii="黑体" w:hAnsi="黑体" w:eastAsia="黑体"/>
                <w:szCs w:val="21"/>
              </w:rPr>
            </w:pPr>
          </w:p>
        </w:tc>
        <w:tc>
          <w:tcPr>
            <w:tcW w:w="1701" w:type="dxa"/>
            <w:vMerge w:val="continue"/>
            <w:noWrap w:val="0"/>
            <w:tcMar>
              <w:left w:w="108" w:type="dxa"/>
              <w:right w:w="108" w:type="dxa"/>
            </w:tcMar>
            <w:vAlign w:val="center"/>
          </w:tcPr>
          <w:p w14:paraId="6C207BAD">
            <w:pPr>
              <w:spacing w:line="200" w:lineRule="exact"/>
              <w:rPr>
                <w:rFonts w:ascii="黑体" w:hAnsi="黑体" w:eastAsia="黑体"/>
                <w:szCs w:val="21"/>
              </w:rPr>
            </w:pPr>
          </w:p>
        </w:tc>
        <w:tc>
          <w:tcPr>
            <w:tcW w:w="2976" w:type="dxa"/>
            <w:noWrap w:val="0"/>
            <w:tcMar>
              <w:left w:w="108" w:type="dxa"/>
              <w:right w:w="108" w:type="dxa"/>
            </w:tcMar>
            <w:vAlign w:val="center"/>
          </w:tcPr>
          <w:p w14:paraId="3F2C7C2E">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noWrap w:val="0"/>
            <w:tcMar>
              <w:left w:w="108" w:type="dxa"/>
              <w:right w:w="108" w:type="dxa"/>
            </w:tcMar>
            <w:vAlign w:val="center"/>
          </w:tcPr>
          <w:p w14:paraId="275514E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BE4026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F94506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14339F2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1875AC7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8075A5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86EFC9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4217B9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18D57B7">
            <w:pPr>
              <w:rPr>
                <w:rFonts w:ascii="黑体" w:hAnsi="黑体" w:eastAsia="黑体"/>
                <w:szCs w:val="21"/>
              </w:rPr>
            </w:pPr>
          </w:p>
        </w:tc>
        <w:tc>
          <w:tcPr>
            <w:tcW w:w="1701" w:type="dxa"/>
            <w:vMerge w:val="continue"/>
            <w:noWrap w:val="0"/>
            <w:tcMar>
              <w:left w:w="108" w:type="dxa"/>
              <w:right w:w="108" w:type="dxa"/>
            </w:tcMar>
            <w:vAlign w:val="center"/>
          </w:tcPr>
          <w:p w14:paraId="2D8F162C">
            <w:pPr>
              <w:spacing w:line="200" w:lineRule="exact"/>
              <w:rPr>
                <w:rFonts w:ascii="黑体" w:hAnsi="黑体" w:eastAsia="黑体"/>
                <w:szCs w:val="21"/>
              </w:rPr>
            </w:pPr>
          </w:p>
        </w:tc>
        <w:tc>
          <w:tcPr>
            <w:tcW w:w="2976" w:type="dxa"/>
            <w:noWrap w:val="0"/>
            <w:tcMar>
              <w:left w:w="108" w:type="dxa"/>
              <w:right w:w="108" w:type="dxa"/>
            </w:tcMar>
            <w:vAlign w:val="center"/>
          </w:tcPr>
          <w:p w14:paraId="0B00B002">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6" w:name="_Hlk66975211"/>
            <w:r>
              <w:rPr>
                <w:rFonts w:hint="eastAsia" w:ascii="仿宋_GB2312" w:hAnsi="黑体" w:eastAsia="仿宋_GB2312"/>
                <w:kern w:val="0"/>
                <w:szCs w:val="21"/>
              </w:rPr>
              <w:t>属于行政查询事项</w:t>
            </w:r>
            <w:bookmarkEnd w:id="6"/>
          </w:p>
        </w:tc>
        <w:tc>
          <w:tcPr>
            <w:tcW w:w="829" w:type="dxa"/>
            <w:noWrap w:val="0"/>
            <w:tcMar>
              <w:left w:w="108" w:type="dxa"/>
              <w:right w:w="108" w:type="dxa"/>
            </w:tcMar>
            <w:vAlign w:val="center"/>
          </w:tcPr>
          <w:p w14:paraId="05E2FD9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7B51F4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3F3B53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36B739A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71028B3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043AEC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40715A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6A6FD7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0AFE688">
            <w:pPr>
              <w:rPr>
                <w:rFonts w:ascii="黑体" w:hAnsi="黑体" w:eastAsia="黑体"/>
                <w:szCs w:val="21"/>
              </w:rPr>
            </w:pPr>
          </w:p>
        </w:tc>
        <w:tc>
          <w:tcPr>
            <w:tcW w:w="1701" w:type="dxa"/>
            <w:vMerge w:val="restart"/>
            <w:noWrap w:val="0"/>
            <w:tcMar>
              <w:left w:w="108" w:type="dxa"/>
              <w:right w:w="108" w:type="dxa"/>
            </w:tcMar>
            <w:vAlign w:val="center"/>
          </w:tcPr>
          <w:p w14:paraId="30D64AFE">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noWrap w:val="0"/>
            <w:tcMar>
              <w:left w:w="108" w:type="dxa"/>
              <w:right w:w="108" w:type="dxa"/>
            </w:tcMar>
            <w:vAlign w:val="center"/>
          </w:tcPr>
          <w:p w14:paraId="08FBF6D9">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noWrap w:val="0"/>
            <w:tcMar>
              <w:left w:w="108" w:type="dxa"/>
              <w:right w:w="108" w:type="dxa"/>
            </w:tcMar>
            <w:vAlign w:val="center"/>
          </w:tcPr>
          <w:p w14:paraId="2144DD8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EE0A92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F1E8B8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78F6FC0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7537234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734FEF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8A577B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64E50A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E38B32C">
            <w:pPr>
              <w:rPr>
                <w:rFonts w:ascii="黑体" w:hAnsi="黑体" w:eastAsia="黑体"/>
                <w:szCs w:val="21"/>
              </w:rPr>
            </w:pPr>
          </w:p>
        </w:tc>
        <w:tc>
          <w:tcPr>
            <w:tcW w:w="1701" w:type="dxa"/>
            <w:vMerge w:val="continue"/>
            <w:noWrap w:val="0"/>
            <w:tcMar>
              <w:left w:w="108" w:type="dxa"/>
              <w:right w:w="108" w:type="dxa"/>
            </w:tcMar>
            <w:vAlign w:val="center"/>
          </w:tcPr>
          <w:p w14:paraId="5FEC1A6D">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14:paraId="35EDB273">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7" w:name="_Hlk66975392"/>
            <w:r>
              <w:rPr>
                <w:rFonts w:hint="eastAsia" w:ascii="仿宋_GB2312" w:hAnsi="黑体" w:eastAsia="仿宋_GB2312"/>
                <w:kern w:val="0"/>
                <w:szCs w:val="21"/>
              </w:rPr>
              <w:t>没有现成信息需要另行制作</w:t>
            </w:r>
            <w:bookmarkEnd w:id="7"/>
          </w:p>
        </w:tc>
        <w:tc>
          <w:tcPr>
            <w:tcW w:w="829" w:type="dxa"/>
            <w:noWrap w:val="0"/>
            <w:tcMar>
              <w:left w:w="108" w:type="dxa"/>
              <w:right w:w="108" w:type="dxa"/>
            </w:tcMar>
            <w:vAlign w:val="center"/>
          </w:tcPr>
          <w:p w14:paraId="6327E56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B38DA3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86B615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4D379A6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06A9E1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349525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59A8DD3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39E910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C489893">
            <w:pPr>
              <w:rPr>
                <w:rFonts w:ascii="黑体" w:hAnsi="黑体" w:eastAsia="黑体"/>
                <w:szCs w:val="21"/>
              </w:rPr>
            </w:pPr>
          </w:p>
        </w:tc>
        <w:tc>
          <w:tcPr>
            <w:tcW w:w="1701" w:type="dxa"/>
            <w:vMerge w:val="continue"/>
            <w:noWrap w:val="0"/>
            <w:tcMar>
              <w:left w:w="108" w:type="dxa"/>
              <w:right w:w="108" w:type="dxa"/>
            </w:tcMar>
            <w:vAlign w:val="center"/>
          </w:tcPr>
          <w:p w14:paraId="6950CED1">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14:paraId="47EBAC7F">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8" w:name="_Hlk66975466"/>
            <w:r>
              <w:rPr>
                <w:rFonts w:hint="eastAsia" w:ascii="仿宋_GB2312" w:hAnsi="黑体" w:eastAsia="仿宋_GB2312"/>
                <w:kern w:val="0"/>
                <w:szCs w:val="21"/>
              </w:rPr>
              <w:t>补正后申请内容仍不明确</w:t>
            </w:r>
            <w:bookmarkEnd w:id="8"/>
          </w:p>
        </w:tc>
        <w:tc>
          <w:tcPr>
            <w:tcW w:w="829" w:type="dxa"/>
            <w:noWrap w:val="0"/>
            <w:tcMar>
              <w:left w:w="108" w:type="dxa"/>
              <w:right w:w="108" w:type="dxa"/>
            </w:tcMar>
            <w:vAlign w:val="center"/>
          </w:tcPr>
          <w:p w14:paraId="4F21D5F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325780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A98FB5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4598EED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62EE563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FA41E3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578B142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1E8C42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0267A5D">
            <w:pPr>
              <w:rPr>
                <w:rFonts w:ascii="黑体" w:hAnsi="黑体" w:eastAsia="黑体"/>
                <w:szCs w:val="21"/>
              </w:rPr>
            </w:pPr>
          </w:p>
        </w:tc>
        <w:tc>
          <w:tcPr>
            <w:tcW w:w="1701" w:type="dxa"/>
            <w:vMerge w:val="restart"/>
            <w:noWrap w:val="0"/>
            <w:tcMar>
              <w:left w:w="108" w:type="dxa"/>
              <w:right w:w="108" w:type="dxa"/>
            </w:tcMar>
            <w:vAlign w:val="center"/>
          </w:tcPr>
          <w:p w14:paraId="7B2C3BA4">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noWrap w:val="0"/>
            <w:tcMar>
              <w:left w:w="108" w:type="dxa"/>
              <w:right w:w="108" w:type="dxa"/>
            </w:tcMar>
            <w:vAlign w:val="center"/>
          </w:tcPr>
          <w:p w14:paraId="28B493E1">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9" w:name="_Hlk66975537"/>
            <w:r>
              <w:rPr>
                <w:rFonts w:hint="eastAsia" w:ascii="仿宋_GB2312" w:hAnsi="黑体" w:eastAsia="仿宋_GB2312"/>
                <w:kern w:val="0"/>
                <w:szCs w:val="21"/>
              </w:rPr>
              <w:t>信访举报投诉类申请</w:t>
            </w:r>
            <w:bookmarkEnd w:id="9"/>
          </w:p>
        </w:tc>
        <w:tc>
          <w:tcPr>
            <w:tcW w:w="829" w:type="dxa"/>
            <w:noWrap w:val="0"/>
            <w:tcMar>
              <w:left w:w="108" w:type="dxa"/>
              <w:right w:w="108" w:type="dxa"/>
            </w:tcMar>
            <w:vAlign w:val="center"/>
          </w:tcPr>
          <w:p w14:paraId="6ADF5AE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4FC62A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8DF6B0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4255EF5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8496AD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90AFE4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FDA68B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3A8BA8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55427CF">
            <w:pPr>
              <w:rPr>
                <w:rFonts w:ascii="黑体" w:hAnsi="黑体" w:eastAsia="黑体"/>
                <w:szCs w:val="21"/>
              </w:rPr>
            </w:pPr>
          </w:p>
        </w:tc>
        <w:tc>
          <w:tcPr>
            <w:tcW w:w="1701" w:type="dxa"/>
            <w:vMerge w:val="continue"/>
            <w:noWrap w:val="0"/>
            <w:tcMar>
              <w:left w:w="108" w:type="dxa"/>
              <w:right w:w="108" w:type="dxa"/>
            </w:tcMar>
            <w:vAlign w:val="center"/>
          </w:tcPr>
          <w:p w14:paraId="45E63130">
            <w:pPr>
              <w:spacing w:line="200" w:lineRule="exact"/>
              <w:rPr>
                <w:rFonts w:ascii="黑体" w:hAnsi="黑体" w:eastAsia="黑体"/>
                <w:szCs w:val="21"/>
              </w:rPr>
            </w:pPr>
          </w:p>
        </w:tc>
        <w:tc>
          <w:tcPr>
            <w:tcW w:w="2976" w:type="dxa"/>
            <w:noWrap w:val="0"/>
            <w:tcMar>
              <w:left w:w="108" w:type="dxa"/>
              <w:right w:w="108" w:type="dxa"/>
            </w:tcMar>
            <w:vAlign w:val="center"/>
          </w:tcPr>
          <w:p w14:paraId="3B48DE4B">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noWrap w:val="0"/>
            <w:tcMar>
              <w:left w:w="108" w:type="dxa"/>
              <w:right w:w="108" w:type="dxa"/>
            </w:tcMar>
            <w:vAlign w:val="center"/>
          </w:tcPr>
          <w:p w14:paraId="6526238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EEF1D6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B79825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1AAABF7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14B8795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F5007E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1B42377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28A21B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9BE4530">
            <w:pPr>
              <w:rPr>
                <w:rFonts w:ascii="黑体" w:hAnsi="黑体" w:eastAsia="黑体"/>
                <w:szCs w:val="21"/>
              </w:rPr>
            </w:pPr>
          </w:p>
        </w:tc>
        <w:tc>
          <w:tcPr>
            <w:tcW w:w="1701" w:type="dxa"/>
            <w:vMerge w:val="continue"/>
            <w:noWrap w:val="0"/>
            <w:tcMar>
              <w:left w:w="108" w:type="dxa"/>
              <w:right w:w="108" w:type="dxa"/>
            </w:tcMar>
            <w:vAlign w:val="center"/>
          </w:tcPr>
          <w:p w14:paraId="62BFEE03">
            <w:pPr>
              <w:spacing w:line="200" w:lineRule="exact"/>
              <w:rPr>
                <w:rFonts w:ascii="黑体" w:hAnsi="黑体" w:eastAsia="黑体"/>
                <w:szCs w:val="21"/>
              </w:rPr>
            </w:pPr>
          </w:p>
        </w:tc>
        <w:tc>
          <w:tcPr>
            <w:tcW w:w="2976" w:type="dxa"/>
            <w:noWrap w:val="0"/>
            <w:tcMar>
              <w:left w:w="108" w:type="dxa"/>
              <w:right w:w="108" w:type="dxa"/>
            </w:tcMar>
            <w:vAlign w:val="center"/>
          </w:tcPr>
          <w:p w14:paraId="103E2580">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noWrap w:val="0"/>
            <w:tcMar>
              <w:left w:w="108" w:type="dxa"/>
              <w:right w:w="108" w:type="dxa"/>
            </w:tcMar>
            <w:vAlign w:val="center"/>
          </w:tcPr>
          <w:p w14:paraId="7C59628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2EF3CB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94D137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4FAB4A6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42A58F1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D9A8EF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63FBA25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468415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14:paraId="40837ADD">
            <w:pPr>
              <w:rPr>
                <w:rFonts w:ascii="黑体" w:hAnsi="黑体" w:eastAsia="黑体"/>
                <w:szCs w:val="21"/>
              </w:rPr>
            </w:pPr>
          </w:p>
        </w:tc>
        <w:tc>
          <w:tcPr>
            <w:tcW w:w="1701" w:type="dxa"/>
            <w:vMerge w:val="continue"/>
            <w:noWrap w:val="0"/>
            <w:tcMar>
              <w:left w:w="108" w:type="dxa"/>
              <w:right w:w="108" w:type="dxa"/>
            </w:tcMar>
            <w:vAlign w:val="center"/>
          </w:tcPr>
          <w:p w14:paraId="482FECAB">
            <w:pPr>
              <w:spacing w:line="200" w:lineRule="exact"/>
              <w:rPr>
                <w:rFonts w:ascii="黑体" w:hAnsi="黑体" w:eastAsia="黑体"/>
                <w:szCs w:val="21"/>
              </w:rPr>
            </w:pPr>
          </w:p>
        </w:tc>
        <w:tc>
          <w:tcPr>
            <w:tcW w:w="2976" w:type="dxa"/>
            <w:noWrap w:val="0"/>
            <w:tcMar>
              <w:left w:w="108" w:type="dxa"/>
              <w:right w:w="108" w:type="dxa"/>
            </w:tcMar>
            <w:vAlign w:val="center"/>
          </w:tcPr>
          <w:p w14:paraId="65059337">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noWrap w:val="0"/>
            <w:tcMar>
              <w:left w:w="108" w:type="dxa"/>
              <w:right w:w="108" w:type="dxa"/>
            </w:tcMar>
            <w:vAlign w:val="center"/>
          </w:tcPr>
          <w:p w14:paraId="563FC1A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B12357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35B3EF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7F0A9E1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1A25A1D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105CE2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881D39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6D5DD0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5B0C2558">
            <w:pPr>
              <w:rPr>
                <w:rFonts w:ascii="黑体" w:hAnsi="黑体" w:eastAsia="黑体"/>
                <w:szCs w:val="21"/>
              </w:rPr>
            </w:pPr>
          </w:p>
        </w:tc>
        <w:tc>
          <w:tcPr>
            <w:tcW w:w="1701" w:type="dxa"/>
            <w:vMerge w:val="continue"/>
            <w:noWrap w:val="0"/>
            <w:tcMar>
              <w:left w:w="108" w:type="dxa"/>
              <w:right w:w="108" w:type="dxa"/>
            </w:tcMar>
            <w:vAlign w:val="center"/>
          </w:tcPr>
          <w:p w14:paraId="477DC426">
            <w:pPr>
              <w:spacing w:line="200" w:lineRule="exact"/>
              <w:rPr>
                <w:rFonts w:ascii="黑体" w:hAnsi="黑体" w:eastAsia="黑体"/>
                <w:szCs w:val="21"/>
              </w:rPr>
            </w:pPr>
          </w:p>
        </w:tc>
        <w:tc>
          <w:tcPr>
            <w:tcW w:w="2976" w:type="dxa"/>
            <w:noWrap w:val="0"/>
            <w:tcMar>
              <w:left w:w="108" w:type="dxa"/>
              <w:right w:w="108" w:type="dxa"/>
            </w:tcMar>
            <w:vAlign w:val="center"/>
          </w:tcPr>
          <w:p w14:paraId="1B2C1F9B">
            <w:pPr>
              <w:widowControl/>
              <w:spacing w:line="300" w:lineRule="exact"/>
              <w:rPr>
                <w:rFonts w:ascii="仿宋_GB2312" w:hAnsi="黑体" w:eastAsia="仿宋_GB2312"/>
                <w:szCs w:val="21"/>
              </w:rPr>
            </w:pPr>
            <w:r>
              <w:rPr>
                <w:rFonts w:hint="eastAsia" w:ascii="仿宋_GB2312" w:hAnsi="黑体" w:eastAsia="仿宋_GB2312"/>
                <w:kern w:val="0"/>
                <w:szCs w:val="21"/>
              </w:rPr>
              <w:t>5.要求行政机关确认或重新出具已获取信息</w:t>
            </w:r>
          </w:p>
        </w:tc>
        <w:tc>
          <w:tcPr>
            <w:tcW w:w="829" w:type="dxa"/>
            <w:noWrap w:val="0"/>
            <w:tcMar>
              <w:left w:w="108" w:type="dxa"/>
              <w:right w:w="108" w:type="dxa"/>
            </w:tcMar>
            <w:vAlign w:val="center"/>
          </w:tcPr>
          <w:p w14:paraId="4C25A22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836D2C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8512EB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4A8586A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158863F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A2F19E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144E566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131B20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6B12E2A6">
            <w:pPr>
              <w:rPr>
                <w:rFonts w:ascii="黑体" w:hAnsi="黑体" w:eastAsia="黑体"/>
                <w:szCs w:val="21"/>
              </w:rPr>
            </w:pPr>
          </w:p>
        </w:tc>
        <w:tc>
          <w:tcPr>
            <w:tcW w:w="1701" w:type="dxa"/>
            <w:vMerge w:val="restart"/>
            <w:noWrap w:val="0"/>
            <w:tcMar>
              <w:left w:w="108" w:type="dxa"/>
              <w:right w:w="108" w:type="dxa"/>
            </w:tcMar>
            <w:vAlign w:val="center"/>
          </w:tcPr>
          <w:p w14:paraId="62270BCD">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noWrap w:val="0"/>
            <w:vAlign w:val="center"/>
          </w:tcPr>
          <w:p w14:paraId="62F02EDB">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noWrap w:val="0"/>
            <w:tcMar>
              <w:left w:w="108" w:type="dxa"/>
              <w:right w:w="108" w:type="dxa"/>
            </w:tcMar>
            <w:vAlign w:val="center"/>
          </w:tcPr>
          <w:p w14:paraId="75E6BE6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A6CD05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15B2ED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4DD2A17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9530D9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3421C1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7C7E2D6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654616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66BC9DE6">
            <w:pPr>
              <w:rPr>
                <w:rFonts w:ascii="黑体" w:hAnsi="黑体" w:eastAsia="黑体"/>
                <w:szCs w:val="21"/>
              </w:rPr>
            </w:pPr>
          </w:p>
        </w:tc>
        <w:tc>
          <w:tcPr>
            <w:tcW w:w="1701" w:type="dxa"/>
            <w:vMerge w:val="continue"/>
            <w:noWrap w:val="0"/>
            <w:tcMar>
              <w:left w:w="108" w:type="dxa"/>
              <w:right w:w="108" w:type="dxa"/>
            </w:tcMar>
            <w:vAlign w:val="center"/>
          </w:tcPr>
          <w:p w14:paraId="2D1AF1B1">
            <w:pPr>
              <w:widowControl/>
              <w:spacing w:line="300" w:lineRule="exact"/>
              <w:rPr>
                <w:rFonts w:ascii="黑体" w:hAnsi="黑体" w:eastAsia="黑体"/>
                <w:kern w:val="0"/>
                <w:szCs w:val="21"/>
              </w:rPr>
            </w:pPr>
          </w:p>
        </w:tc>
        <w:tc>
          <w:tcPr>
            <w:tcW w:w="2976" w:type="dxa"/>
            <w:noWrap w:val="0"/>
            <w:vAlign w:val="center"/>
          </w:tcPr>
          <w:p w14:paraId="518D6ED9">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noWrap w:val="0"/>
            <w:tcMar>
              <w:left w:w="108" w:type="dxa"/>
              <w:right w:w="108" w:type="dxa"/>
            </w:tcMar>
            <w:vAlign w:val="center"/>
          </w:tcPr>
          <w:p w14:paraId="4ED55E2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08433E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2C331A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6A17E9C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6B5203F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10693E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6AA2E8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48F4F2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29B51C9F">
            <w:pPr>
              <w:rPr>
                <w:rFonts w:ascii="黑体" w:hAnsi="黑体" w:eastAsia="黑体"/>
                <w:szCs w:val="21"/>
              </w:rPr>
            </w:pPr>
          </w:p>
        </w:tc>
        <w:tc>
          <w:tcPr>
            <w:tcW w:w="1701" w:type="dxa"/>
            <w:vMerge w:val="continue"/>
            <w:noWrap w:val="0"/>
            <w:tcMar>
              <w:left w:w="108" w:type="dxa"/>
              <w:right w:w="108" w:type="dxa"/>
            </w:tcMar>
            <w:vAlign w:val="center"/>
          </w:tcPr>
          <w:p w14:paraId="7726A691">
            <w:pPr>
              <w:widowControl/>
              <w:spacing w:line="300" w:lineRule="exact"/>
              <w:rPr>
                <w:rFonts w:ascii="黑体" w:hAnsi="黑体" w:eastAsia="黑体"/>
                <w:kern w:val="0"/>
                <w:szCs w:val="21"/>
              </w:rPr>
            </w:pPr>
          </w:p>
        </w:tc>
        <w:tc>
          <w:tcPr>
            <w:tcW w:w="2976" w:type="dxa"/>
            <w:noWrap w:val="0"/>
            <w:vAlign w:val="center"/>
          </w:tcPr>
          <w:p w14:paraId="4EAD2147">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829" w:type="dxa"/>
            <w:noWrap w:val="0"/>
            <w:tcMar>
              <w:left w:w="108" w:type="dxa"/>
              <w:right w:w="108" w:type="dxa"/>
            </w:tcMar>
            <w:vAlign w:val="center"/>
          </w:tcPr>
          <w:p w14:paraId="3F16C5A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3360DB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4076FE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0E5BA8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3DBE5AC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2B5FB6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E0CD73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201D1A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5703DD45">
            <w:pPr>
              <w:rPr>
                <w:rFonts w:ascii="黑体" w:hAnsi="黑体" w:eastAsia="黑体"/>
                <w:szCs w:val="21"/>
              </w:rPr>
            </w:pPr>
          </w:p>
        </w:tc>
        <w:tc>
          <w:tcPr>
            <w:tcW w:w="4677" w:type="dxa"/>
            <w:gridSpan w:val="2"/>
            <w:noWrap w:val="0"/>
            <w:tcMar>
              <w:left w:w="108" w:type="dxa"/>
              <w:right w:w="108" w:type="dxa"/>
            </w:tcMar>
            <w:vAlign w:val="center"/>
          </w:tcPr>
          <w:p w14:paraId="35FCC65C">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noWrap w:val="0"/>
            <w:tcMar>
              <w:left w:w="108" w:type="dxa"/>
              <w:right w:w="108" w:type="dxa"/>
            </w:tcMar>
            <w:vAlign w:val="center"/>
          </w:tcPr>
          <w:p w14:paraId="20DC2371">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0206AB2">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4EE727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567D71C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44CE57C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482456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609DC37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498CC3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14:paraId="3AC035DB">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noWrap w:val="0"/>
            <w:tcMar>
              <w:left w:w="108" w:type="dxa"/>
              <w:right w:w="108" w:type="dxa"/>
            </w:tcMar>
            <w:vAlign w:val="center"/>
          </w:tcPr>
          <w:p w14:paraId="2FDD2A63">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67414DA">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39540E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199356D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6853C56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E84CDA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753B49C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bl>
    <w:p w14:paraId="42BDE1AE">
      <w:pPr>
        <w:ind w:firstLine="640" w:firstLineChars="200"/>
        <w:jc w:val="left"/>
        <w:rPr>
          <w:rFonts w:hint="eastAsia" w:ascii="CESI黑体-GB2312" w:hAnsi="CESI黑体-GB2312" w:eastAsia="CESI黑体-GB2312" w:cs="CESI黑体-GB2312"/>
          <w:sz w:val="32"/>
          <w:szCs w:val="32"/>
          <w:lang w:eastAsia="zh-CN"/>
        </w:rPr>
      </w:pPr>
    </w:p>
    <w:p w14:paraId="2D30BCAE">
      <w:pPr>
        <w:ind w:firstLine="640" w:firstLineChars="200"/>
        <w:jc w:val="left"/>
        <w:rPr>
          <w:rFonts w:hint="eastAsia" w:ascii="CESI黑体-GB2312" w:hAnsi="CESI黑体-GB2312" w:eastAsia="CESI黑体-GB2312" w:cs="CESI黑体-GB2312"/>
          <w:sz w:val="32"/>
          <w:szCs w:val="32"/>
          <w:lang w:eastAsia="zh-CN"/>
        </w:rPr>
      </w:pPr>
    </w:p>
    <w:p w14:paraId="4A978D76">
      <w:pPr>
        <w:ind w:firstLine="640" w:firstLineChars="200"/>
        <w:jc w:val="left"/>
        <w:rPr>
          <w:rFonts w:hint="eastAsia" w:ascii="CESI黑体-GB2312" w:hAnsi="CESI黑体-GB2312" w:eastAsia="CESI黑体-GB2312" w:cs="CESI黑体-GB2312"/>
          <w:sz w:val="32"/>
          <w:szCs w:val="32"/>
          <w:lang w:eastAsia="zh-CN"/>
        </w:rPr>
      </w:pPr>
    </w:p>
    <w:p w14:paraId="18BD7263">
      <w:pPr>
        <w:ind w:firstLine="640" w:firstLineChars="200"/>
        <w:jc w:val="left"/>
        <w:rPr>
          <w:rFonts w:hint="eastAsia" w:ascii="CESI黑体-GB2312" w:hAnsi="CESI黑体-GB2312" w:eastAsia="CESI黑体-GB2312" w:cs="CESI黑体-GB2312"/>
          <w:sz w:val="32"/>
          <w:szCs w:val="32"/>
          <w:lang w:eastAsia="zh-CN"/>
        </w:rPr>
      </w:pPr>
    </w:p>
    <w:p w14:paraId="1D83DCF3">
      <w:pPr>
        <w:ind w:firstLine="640" w:firstLineChars="200"/>
        <w:jc w:val="left"/>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四、</w:t>
      </w:r>
      <w:r>
        <w:rPr>
          <w:rFonts w:hint="eastAsia" w:ascii="CESI黑体-GB2312" w:hAnsi="CESI黑体-GB2312" w:eastAsia="CESI黑体-GB2312" w:cs="CESI黑体-GB2312"/>
          <w:sz w:val="32"/>
          <w:szCs w:val="32"/>
        </w:rPr>
        <w:t>政府信息公开行政复议、行政诉讼情况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455D10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798AD54">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5DAD01A2">
            <w:pPr>
              <w:widowControl/>
              <w:jc w:val="center"/>
              <w:rPr>
                <w:rFonts w:ascii="黑体" w:hAnsi="黑体" w:eastAsia="黑体"/>
              </w:rPr>
            </w:pPr>
            <w:r>
              <w:rPr>
                <w:rFonts w:ascii="黑体" w:hAnsi="黑体" w:eastAsia="黑体"/>
                <w:kern w:val="0"/>
                <w:sz w:val="20"/>
                <w:szCs w:val="20"/>
              </w:rPr>
              <w:t>行政诉讼</w:t>
            </w:r>
          </w:p>
        </w:tc>
      </w:tr>
      <w:tr w14:paraId="0EA786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6E02582F">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14:paraId="40B49940">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14:paraId="0EE882FF">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14191BE4">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58843E2C">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14:paraId="3BF21696">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1C375261">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3702850B">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60BF9383">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77DA86D4">
            <w:pPr>
              <w:widowControl/>
              <w:jc w:val="center"/>
              <w:rPr>
                <w:rFonts w:ascii="黑体" w:hAnsi="黑体" w:eastAsia="黑体"/>
              </w:rPr>
            </w:pPr>
            <w:bookmarkStart w:id="10" w:name="_Hlk67039688"/>
            <w:r>
              <w:rPr>
                <w:rFonts w:ascii="黑体" w:hAnsi="黑体" w:eastAsia="黑体"/>
                <w:kern w:val="0"/>
                <w:sz w:val="20"/>
                <w:szCs w:val="20"/>
              </w:rPr>
              <w:t>复议后起诉</w:t>
            </w:r>
            <w:bookmarkEnd w:id="10"/>
          </w:p>
        </w:tc>
      </w:tr>
      <w:tr w14:paraId="6B0B55C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7F8126CC">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14:paraId="4285B5A0">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1FEA3971">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7EB8DA4B">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5AAF15ED">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612BB71D">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4204E40">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F8A7893">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14:paraId="5452D59B">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788509F">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14:paraId="773075D3">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720215B">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AEB32DF">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014B551">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14:paraId="6E79BED2">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792F142">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14:paraId="1732EC67">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D2786A8">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3D8964D">
            <w:pPr>
              <w:widowControl/>
              <w:jc w:val="center"/>
              <w:rPr>
                <w:rFonts w:ascii="黑体" w:hAnsi="黑体" w:eastAsia="黑体"/>
              </w:rPr>
            </w:pPr>
            <w:r>
              <w:rPr>
                <w:rFonts w:ascii="黑体" w:hAnsi="黑体" w:eastAsia="黑体"/>
                <w:kern w:val="0"/>
                <w:sz w:val="20"/>
                <w:szCs w:val="20"/>
              </w:rPr>
              <w:t>总计</w:t>
            </w:r>
          </w:p>
        </w:tc>
      </w:tr>
      <w:tr w14:paraId="4B152B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922F514">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0DEE2B4A">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6A5D2C5C">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4ADF8511">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14:paraId="4DCBE43B">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12825794">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25B59A2">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031D18D4">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0156C7A">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1A3BFF6">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5B51F33">
            <w:pPr>
              <w:widowControl/>
              <w:spacing w:after="180"/>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D13E4F5">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0D3D7467">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173C82F9">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0D59DE65">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r>
    </w:tbl>
    <w:p w14:paraId="15B64ADC">
      <w:pPr>
        <w:pStyle w:val="2"/>
        <w:numPr>
          <w:ilvl w:val="0"/>
          <w:numId w:val="0"/>
        </w:numPr>
        <w:spacing w:before="0" w:after="0" w:line="240" w:lineRule="auto"/>
        <w:ind w:firstLine="640" w:firstLineChars="200"/>
        <w:rPr>
          <w:rFonts w:hint="eastAsia" w:ascii="CESI黑体-GB2312" w:hAnsi="CESI黑体-GB2312" w:eastAsia="CESI黑体-GB2312" w:cs="CESI黑体-GB2312"/>
          <w:b w:val="0"/>
          <w:bCs w:val="0"/>
        </w:rPr>
      </w:pPr>
      <w:r>
        <w:rPr>
          <w:rFonts w:hint="eastAsia" w:ascii="CESI黑体-GB2312" w:hAnsi="CESI黑体-GB2312" w:eastAsia="CESI黑体-GB2312" w:cs="CESI黑体-GB2312"/>
          <w:b w:val="0"/>
          <w:bCs w:val="0"/>
          <w:lang w:eastAsia="zh-CN"/>
        </w:rPr>
        <w:t>五、</w:t>
      </w:r>
      <w:r>
        <w:rPr>
          <w:rFonts w:hint="eastAsia" w:ascii="CESI黑体-GB2312" w:hAnsi="CESI黑体-GB2312" w:eastAsia="CESI黑体-GB2312" w:cs="CESI黑体-GB2312"/>
          <w:b w:val="0"/>
          <w:bCs w:val="0"/>
        </w:rPr>
        <w:t>存在的主要问题及改进情况</w:t>
      </w:r>
    </w:p>
    <w:p w14:paraId="6C4E85B7">
      <w:pPr>
        <w:pStyle w:val="4"/>
        <w:ind w:firstLine="643" w:firstLineChars="200"/>
        <w:outlineLvl w:val="9"/>
        <w:rPr>
          <w:rFonts w:hint="eastAsia" w:ascii="CESI楷体-GB2312" w:hAnsi="CESI楷体-GB2312" w:eastAsia="CESI楷体-GB2312" w:cs="CESI楷体-GB2312"/>
          <w:b/>
          <w:bCs/>
          <w:kern w:val="2"/>
          <w:sz w:val="32"/>
          <w:szCs w:val="32"/>
          <w:lang w:val="en-US" w:eastAsia="zh-CN" w:bidi="ar-SA"/>
        </w:rPr>
      </w:pPr>
      <w:r>
        <w:rPr>
          <w:rFonts w:hint="eastAsia" w:ascii="CESI楷体-GB2312" w:hAnsi="CESI楷体-GB2312" w:eastAsia="CESI楷体-GB2312" w:cs="CESI楷体-GB2312"/>
          <w:b/>
          <w:bCs/>
          <w:kern w:val="2"/>
          <w:sz w:val="32"/>
          <w:szCs w:val="32"/>
          <w:lang w:val="en-US" w:eastAsia="zh-CN" w:bidi="ar-SA"/>
        </w:rPr>
        <w:t>（一）存在的主要问题</w:t>
      </w:r>
    </w:p>
    <w:p w14:paraId="0F0A7011">
      <w:pPr>
        <w:ind w:firstLine="640" w:firstLineChars="200"/>
        <w:rPr>
          <w:rFonts w:hint="eastAsia" w:ascii="仿宋_GB2312" w:hAnsi="文星仿宋" w:eastAsia="仿宋_GB2312"/>
          <w:sz w:val="32"/>
          <w:szCs w:val="32"/>
          <w:lang w:val="en-US" w:eastAsia="zh-CN"/>
        </w:rPr>
      </w:pPr>
      <w:r>
        <w:rPr>
          <w:rFonts w:hint="eastAsia" w:ascii="仿宋_GB2312" w:hAnsi="文星仿宋" w:eastAsia="仿宋_GB2312"/>
          <w:sz w:val="32"/>
          <w:szCs w:val="32"/>
          <w:lang w:val="en-US" w:eastAsia="zh-CN"/>
        </w:rPr>
        <w:t>2025年，斜店乡政府信息公开工作虽然稳步推进，但是在工作过程中还存在着一定的不足之处，主要表现在：一是政府信息公开业务的培训工作有待进一步加强。二是政府信息公开的质量有待进一步提高。</w:t>
      </w:r>
    </w:p>
    <w:p w14:paraId="1C7B86D2">
      <w:pPr>
        <w:pStyle w:val="4"/>
        <w:ind w:firstLine="643" w:firstLineChars="200"/>
        <w:rPr>
          <w:rFonts w:hint="eastAsia" w:ascii="CESI楷体-GB2312" w:hAnsi="CESI楷体-GB2312" w:eastAsia="CESI楷体-GB2312" w:cs="CESI楷体-GB2312"/>
          <w:b/>
          <w:bCs/>
          <w:kern w:val="2"/>
          <w:sz w:val="32"/>
          <w:szCs w:val="32"/>
          <w:lang w:val="en-US" w:eastAsia="zh-CN" w:bidi="ar-SA"/>
        </w:rPr>
      </w:pPr>
      <w:r>
        <w:rPr>
          <w:rFonts w:hint="eastAsia" w:ascii="CESI楷体-GB2312" w:hAnsi="CESI楷体-GB2312" w:eastAsia="CESI楷体-GB2312" w:cs="CESI楷体-GB2312"/>
          <w:b/>
          <w:bCs/>
          <w:kern w:val="2"/>
          <w:sz w:val="32"/>
          <w:szCs w:val="32"/>
          <w:lang w:val="en-US" w:eastAsia="zh-CN" w:bidi="ar-SA"/>
        </w:rPr>
        <w:t>（二）改进情况</w:t>
      </w:r>
    </w:p>
    <w:p w14:paraId="1F2CE17C">
      <w:pPr>
        <w:ind w:firstLine="640" w:firstLineChars="200"/>
        <w:rPr>
          <w:rFonts w:hint="eastAsia" w:ascii="仿宋_GB2312" w:hAnsi="文星仿宋" w:eastAsia="仿宋_GB2312"/>
          <w:sz w:val="32"/>
          <w:szCs w:val="32"/>
          <w:lang w:val="en-US" w:eastAsia="zh-CN"/>
        </w:rPr>
      </w:pPr>
      <w:r>
        <w:rPr>
          <w:rFonts w:hint="eastAsia" w:ascii="仿宋_GB2312" w:hAnsi="文星仿宋" w:eastAsia="仿宋_GB2312"/>
          <w:sz w:val="32"/>
          <w:szCs w:val="32"/>
          <w:lang w:val="en-US" w:eastAsia="zh-CN"/>
        </w:rPr>
        <w:t>一是加强业务培训，提升专业水平。组织工作人员及各科室相关人员开展信息公开业务学习培训，不断提升政务公开工作人员的政策理解能力和专业素养，保障信息公开工作规范有序开展。</w:t>
      </w:r>
    </w:p>
    <w:p w14:paraId="486F342A">
      <w:pPr>
        <w:ind w:firstLine="640" w:firstLineChars="200"/>
        <w:rPr>
          <w:rFonts w:hint="eastAsia" w:ascii="仿宋_GB2312" w:hAnsi="文星仿宋" w:eastAsia="仿宋_GB2312"/>
          <w:sz w:val="32"/>
          <w:szCs w:val="32"/>
          <w:lang w:val="en-US" w:eastAsia="zh-CN"/>
        </w:rPr>
      </w:pPr>
      <w:r>
        <w:rPr>
          <w:rFonts w:hint="eastAsia" w:ascii="仿宋_GB2312" w:hAnsi="文星仿宋" w:eastAsia="仿宋_GB2312"/>
          <w:sz w:val="32"/>
          <w:szCs w:val="32"/>
          <w:lang w:val="en-US" w:eastAsia="zh-CN"/>
        </w:rPr>
        <w:t>二是围绕重点领域，提升公开质量。围绕重点领域公开，聚焦群众关注与需求，深化政务公开内容，及时将上级文件精神、重大决策部署等进行发布与解读，不断提升信息公开的质量。</w:t>
      </w:r>
    </w:p>
    <w:p w14:paraId="07A316E2">
      <w:pPr>
        <w:pStyle w:val="2"/>
        <w:numPr>
          <w:ilvl w:val="0"/>
          <w:numId w:val="0"/>
        </w:numPr>
        <w:spacing w:before="0" w:after="0" w:line="240" w:lineRule="auto"/>
        <w:ind w:firstLine="640" w:firstLineChars="200"/>
        <w:rPr>
          <w:rFonts w:hint="eastAsia" w:ascii="CESI黑体-GB2312" w:hAnsi="CESI黑体-GB2312" w:eastAsia="CESI黑体-GB2312" w:cs="CESI黑体-GB2312"/>
          <w:b w:val="0"/>
          <w:bCs w:val="0"/>
        </w:rPr>
      </w:pPr>
      <w:r>
        <w:rPr>
          <w:rFonts w:hint="eastAsia" w:ascii="CESI黑体-GB2312" w:hAnsi="CESI黑体-GB2312" w:eastAsia="CESI黑体-GB2312" w:cs="CESI黑体-GB2312"/>
          <w:b w:val="0"/>
          <w:bCs w:val="0"/>
          <w:lang w:eastAsia="zh-CN"/>
        </w:rPr>
        <w:t>六、</w:t>
      </w:r>
      <w:r>
        <w:rPr>
          <w:rFonts w:hint="eastAsia" w:ascii="CESI黑体-GB2312" w:hAnsi="CESI黑体-GB2312" w:eastAsia="CESI黑体-GB2312" w:cs="CESI黑体-GB2312"/>
          <w:b w:val="0"/>
          <w:bCs w:val="0"/>
        </w:rPr>
        <w:t>其他需要报告的事项</w:t>
      </w:r>
    </w:p>
    <w:p w14:paraId="5BEEDC5D">
      <w:pPr>
        <w:ind w:firstLine="643"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（一）政府信息公开信息处理费收取情况</w:t>
      </w:r>
    </w:p>
    <w:p w14:paraId="0D05903E">
      <w:pPr>
        <w:ind w:firstLine="640" w:firstLineChars="200"/>
        <w:rPr>
          <w:rFonts w:hint="eastAsia" w:ascii="仿宋_GB2312" w:eastAsia="仿宋_GB2312"/>
          <w:sz w:val="32"/>
          <w:szCs w:val="32"/>
          <w:lang w:eastAsia="zh-CN"/>
        </w:rPr>
      </w:pPr>
      <w:r>
        <w:rPr>
          <w:rFonts w:hint="eastAsia" w:ascii="仿宋_GB2312" w:hAnsi="文星仿宋" w:eastAsia="仿宋_GB2312"/>
          <w:sz w:val="32"/>
          <w:szCs w:val="32"/>
          <w:lang w:eastAsia="zh-CN"/>
        </w:rPr>
        <w:t>认真落实</w:t>
      </w:r>
      <w:r>
        <w:rPr>
          <w:rFonts w:hint="eastAsia" w:ascii="仿宋_GB2312" w:hAnsi="文星仿宋" w:eastAsia="仿宋_GB2312"/>
          <w:sz w:val="32"/>
          <w:szCs w:val="32"/>
        </w:rPr>
        <w:t>《国务院办公厅关于印发&lt;政府信息公开信息处理费管理办法&gt;的通知》（国办函〔2020〕109号）和《山东省人民政府办公厅关于做好政府信息公开信息处理费管理工作有关事项的通知》（鲁政办字〔2020〕179号）规定，</w:t>
      </w:r>
      <w:r>
        <w:rPr>
          <w:rFonts w:hint="eastAsia" w:ascii="仿宋_GB2312" w:eastAsia="仿宋_GB2312"/>
          <w:sz w:val="32"/>
          <w:szCs w:val="32"/>
          <w:lang w:eastAsia="zh-CN"/>
        </w:rPr>
        <w:t>本年度政府信息公开未收取信息处理费。</w:t>
      </w:r>
    </w:p>
    <w:p w14:paraId="6E26AD4C">
      <w:pPr>
        <w:ind w:firstLine="643"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（二）落实年度政务公开工作要点情况</w:t>
      </w:r>
    </w:p>
    <w:p w14:paraId="7CE8FD8A">
      <w:pPr>
        <w:keepNext w:val="0"/>
        <w:keepLines w:val="0"/>
        <w:pageBreakBefore w:val="0"/>
        <w:widowControl w:val="0"/>
        <w:kinsoku/>
        <w:wordWrap w:val="0"/>
        <w:overflowPunct/>
        <w:topLinePunct w:val="0"/>
        <w:autoSpaceDE/>
        <w:autoSpaceDN/>
        <w:bidi w:val="0"/>
        <w:adjustRightInd/>
        <w:snapToGrid/>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严格贯彻《冠县人民政府办公室关于公布202</w:t>
      </w:r>
      <w:r>
        <w:rPr>
          <w:rFonts w:hint="eastAsia" w:ascii="仿宋_GB2312" w:eastAsia="仿宋_GB2312"/>
          <w:color w:val="auto"/>
          <w:sz w:val="32"/>
          <w:szCs w:val="32"/>
          <w:lang w:val="en-US" w:eastAsia="zh-CN"/>
        </w:rPr>
        <w:t>5</w:t>
      </w:r>
      <w:r>
        <w:rPr>
          <w:rFonts w:hint="eastAsia" w:ascii="仿宋_GB2312" w:eastAsia="仿宋_GB2312"/>
          <w:color w:val="auto"/>
          <w:sz w:val="32"/>
          <w:szCs w:val="32"/>
          <w:lang w:eastAsia="zh-CN"/>
        </w:rPr>
        <w:t>年政务公开重点工作任务分工的通知》要求，对照通知要求，健全主动公开体系，提升信息发布质效，打造多元公开渠道，实现信息精准直达，同时加强培训监督，提升业务专业素养和服务水平，</w:t>
      </w:r>
      <w:r>
        <w:rPr>
          <w:rFonts w:hint="eastAsia" w:ascii="仿宋_GB2312" w:eastAsia="仿宋_GB2312"/>
          <w:color w:val="auto"/>
          <w:sz w:val="32"/>
          <w:szCs w:val="32"/>
          <w:lang w:val="en-US" w:eastAsia="zh-CN"/>
        </w:rPr>
        <w:t>更好地满足群众需求，推动政务公开工作再上新台阶。</w:t>
      </w:r>
    </w:p>
    <w:p w14:paraId="199E35D5">
      <w:pPr>
        <w:ind w:firstLine="643"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（三）人大代表建议和政协提案办理结果公开情况</w:t>
      </w:r>
    </w:p>
    <w:p w14:paraId="78EEB500">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2025年未收到建议提案</w:t>
      </w:r>
      <w:r>
        <w:rPr>
          <w:rFonts w:hint="eastAsia" w:ascii="仿宋_GB2312" w:eastAsia="仿宋_GB2312"/>
          <w:sz w:val="32"/>
          <w:szCs w:val="32"/>
          <w:lang w:eastAsia="zh-CN"/>
        </w:rPr>
        <w:t>。</w:t>
      </w:r>
    </w:p>
    <w:p w14:paraId="2B1064BA">
      <w:pPr>
        <w:ind w:firstLine="643"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（四）政务公开工作创新情况</w:t>
      </w:r>
    </w:p>
    <w:p w14:paraId="58F336B1">
      <w:pPr>
        <w:ind w:firstLine="640" w:firstLineChars="200"/>
        <w:jc w:val="both"/>
        <w:rPr>
          <w:rFonts w:hint="eastAsia" w:ascii="仿宋_GB2312" w:eastAsia="仿宋_GB2312"/>
          <w:color w:val="auto"/>
          <w:sz w:val="32"/>
          <w:szCs w:val="32"/>
          <w:lang w:eastAsia="zh-CN"/>
        </w:rPr>
      </w:pPr>
      <w:r>
        <w:rPr>
          <w:rFonts w:hint="eastAsia" w:ascii="仿宋_GB2312" w:hAnsi="仿宋_GB2312" w:eastAsia="仿宋_GB2312" w:cs="仿宋_GB2312"/>
          <w:sz w:val="32"/>
          <w:szCs w:val="32"/>
          <w:lang w:val="en-US" w:eastAsia="zh-CN"/>
        </w:rPr>
        <w:t>为进一步增进政府与群众之间的互信，切实提升提升政务服务满意度，</w:t>
      </w:r>
      <w:r>
        <w:rPr>
          <w:rFonts w:hint="eastAsia" w:ascii="仿宋_GB2312" w:eastAsia="仿宋_GB2312"/>
          <w:color w:val="auto"/>
          <w:sz w:val="32"/>
          <w:szCs w:val="32"/>
          <w:lang w:val="en-US" w:eastAsia="zh-CN"/>
        </w:rPr>
        <w:t>今年9</w:t>
      </w:r>
      <w:r>
        <w:rPr>
          <w:rFonts w:hint="eastAsia" w:ascii="仿宋_GB2312" w:eastAsia="仿宋_GB2312"/>
          <w:color w:val="auto"/>
          <w:sz w:val="32"/>
          <w:szCs w:val="32"/>
          <w:lang w:eastAsia="zh-CN"/>
        </w:rPr>
        <w:t>月份，斜店乡</w:t>
      </w:r>
      <w:r>
        <w:rPr>
          <w:rFonts w:hint="eastAsia" w:ascii="仿宋_GB2312" w:eastAsia="仿宋_GB2312"/>
          <w:color w:val="auto"/>
          <w:sz w:val="32"/>
          <w:szCs w:val="32"/>
          <w:lang w:val="en-US" w:eastAsia="zh-CN"/>
        </w:rPr>
        <w:t>开展</w:t>
      </w:r>
      <w:r>
        <w:rPr>
          <w:rFonts w:hint="eastAsia" w:ascii="仿宋_GB2312" w:eastAsia="仿宋_GB2312"/>
          <w:color w:val="auto"/>
          <w:sz w:val="32"/>
          <w:szCs w:val="32"/>
          <w:lang w:eastAsia="zh-CN"/>
        </w:rPr>
        <w:t>“政府开放日”活动，邀请群众代表、</w:t>
      </w:r>
      <w:r>
        <w:rPr>
          <w:rFonts w:hint="eastAsia" w:ascii="仿宋_GB2312" w:eastAsia="仿宋_GB2312"/>
          <w:color w:val="auto"/>
          <w:sz w:val="32"/>
          <w:szCs w:val="32"/>
          <w:lang w:val="en-US" w:eastAsia="zh-CN"/>
        </w:rPr>
        <w:t>村支部书记及</w:t>
      </w:r>
      <w:r>
        <w:rPr>
          <w:rFonts w:hint="eastAsia" w:ascii="仿宋_GB2312" w:eastAsia="仿宋_GB2312"/>
          <w:color w:val="auto"/>
          <w:sz w:val="32"/>
          <w:szCs w:val="32"/>
          <w:lang w:eastAsia="zh-CN"/>
        </w:rPr>
        <w:t>“两代表一委员”等人员共同参观便民服务中心，并召开座谈会，参与人员围绕优化办事流程、加强政策宣传解读、提升服务意识等方面，提出了相关的意见和建议。</w:t>
      </w:r>
    </w:p>
    <w:p w14:paraId="64D8C129">
      <w:pPr>
        <w:jc w:val="both"/>
        <w:rPr>
          <w:rFonts w:hint="eastAsia"/>
          <w:sz w:val="32"/>
          <w:szCs w:val="32"/>
          <w:lang w:val="en-US" w:eastAsia="zh-CN"/>
        </w:rPr>
      </w:pPr>
      <w:r>
        <w:rPr>
          <w:rFonts w:hint="eastAsia"/>
          <w:sz w:val="32"/>
          <w:szCs w:val="32"/>
          <w:lang w:val="en-US" w:eastAsia="zh-CN"/>
        </w:rPr>
        <w:t xml:space="preserve">    </w:t>
      </w:r>
      <w:r>
        <w:rPr>
          <w:rFonts w:hint="default"/>
          <w:sz w:val="32"/>
          <w:szCs w:val="32"/>
          <w:lang w:val="en-US" w:eastAsia="zh-CN"/>
        </w:rPr>
        <w:drawing>
          <wp:inline distT="0" distB="0" distL="114300" distR="114300">
            <wp:extent cx="2203450" cy="1653540"/>
            <wp:effectExtent l="0" t="0" r="6350" b="3810"/>
            <wp:docPr id="4" name="图片 13" descr="ce2cd9efc356e65d64ade0fc89cd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3" descr="ce2cd9efc356e65d64ade0fc89cd329"/>
                    <pic:cNvPicPr>
                      <a:picLocks noChangeAspect="1"/>
                    </pic:cNvPicPr>
                  </pic:nvPicPr>
                  <pic:blipFill>
                    <a:blip r:embed="rId8"/>
                    <a:stretch>
                      <a:fillRect/>
                    </a:stretch>
                  </pic:blipFill>
                  <pic:spPr>
                    <a:xfrm>
                      <a:off x="0" y="0"/>
                      <a:ext cx="2203450" cy="1653540"/>
                    </a:xfrm>
                    <a:prstGeom prst="rect">
                      <a:avLst/>
                    </a:prstGeom>
                    <a:noFill/>
                    <a:ln>
                      <a:noFill/>
                    </a:ln>
                  </pic:spPr>
                </pic:pic>
              </a:graphicData>
            </a:graphic>
          </wp:inline>
        </w:drawing>
      </w:r>
      <w:r>
        <w:rPr>
          <w:rFonts w:hint="default"/>
          <w:sz w:val="32"/>
          <w:szCs w:val="32"/>
          <w:lang w:val="en-US" w:eastAsia="zh-CN"/>
        </w:rPr>
        <w:drawing>
          <wp:inline distT="0" distB="0" distL="114300" distR="114300">
            <wp:extent cx="2230120" cy="1663700"/>
            <wp:effectExtent l="0" t="0" r="17780" b="12700"/>
            <wp:docPr id="5" name="图片 14" descr="186383f15b2bc5bc7e1130c1fa371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4" descr="186383f15b2bc5bc7e1130c1fa3716e"/>
                    <pic:cNvPicPr>
                      <a:picLocks noChangeAspect="1"/>
                    </pic:cNvPicPr>
                  </pic:nvPicPr>
                  <pic:blipFill>
                    <a:blip r:embed="rId9"/>
                    <a:stretch>
                      <a:fillRect/>
                    </a:stretch>
                  </pic:blipFill>
                  <pic:spPr>
                    <a:xfrm>
                      <a:off x="0" y="0"/>
                      <a:ext cx="2230120" cy="1663700"/>
                    </a:xfrm>
                    <a:prstGeom prst="rect">
                      <a:avLst/>
                    </a:prstGeom>
                    <a:noFill/>
                    <a:ln>
                      <a:noFill/>
                    </a:ln>
                  </pic:spPr>
                </pic:pic>
              </a:graphicData>
            </a:graphic>
          </wp:inline>
        </w:drawing>
      </w:r>
    </w:p>
    <w:p w14:paraId="13FECC72">
      <w:pPr>
        <w:ind w:firstLine="643"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（五）政府信息公开年度报告数据统计需要说明的事项</w:t>
      </w:r>
    </w:p>
    <w:p w14:paraId="5868B15D">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w:t>
      </w:r>
      <w:r>
        <w:rPr>
          <w:rFonts w:hint="eastAsia" w:ascii="仿宋_GB2312" w:eastAsia="仿宋_GB2312"/>
          <w:sz w:val="32"/>
          <w:szCs w:val="32"/>
          <w:lang w:eastAsia="zh-CN"/>
        </w:rPr>
        <w:t>本年度报告中所列数据统计期限从</w:t>
      </w:r>
      <w:r>
        <w:rPr>
          <w:rFonts w:hint="eastAsia" w:ascii="仿宋_GB2312" w:eastAsia="仿宋_GB2312"/>
          <w:sz w:val="32"/>
          <w:szCs w:val="32"/>
          <w:lang w:val="en-US" w:eastAsia="zh-CN"/>
        </w:rPr>
        <w:t>2025年1月1日到12月31日止。</w:t>
      </w:r>
    </w:p>
    <w:p w14:paraId="185042AE">
      <w:pPr>
        <w:pStyle w:val="5"/>
        <w:shd w:val="clear" w:color="auto" w:fill="FFFFFF"/>
        <w:spacing w:beforeAutospacing="0" w:afterAutospacing="0" w:line="600" w:lineRule="exact"/>
        <w:ind w:firstLine="640" w:firstLineChars="200"/>
        <w:jc w:val="both"/>
        <w:rPr>
          <w:rFonts w:ascii="仿宋_GB2312" w:hAnsi="Times New Roman" w:eastAsia="仿宋_GB2312" w:cs="仿宋_GB2312"/>
          <w:sz w:val="32"/>
          <w:szCs w:val="32"/>
          <w:shd w:val="clear" w:color="auto" w:fill="FFFFFF"/>
        </w:rPr>
      </w:pPr>
      <w:r>
        <w:rPr>
          <w:rFonts w:ascii="仿宋_GB2312" w:hAnsi="Times New Roman" w:eastAsia="仿宋_GB2312" w:cs="仿宋_GB2312"/>
          <w:sz w:val="32"/>
          <w:szCs w:val="32"/>
          <w:shd w:val="clear" w:color="auto" w:fill="FFFFFF"/>
        </w:rPr>
        <w:t>2</w:t>
      </w:r>
      <w:r>
        <w:rPr>
          <w:rFonts w:hint="eastAsia" w:ascii="仿宋_GB2312" w:hAnsi="Times New Roman" w:eastAsia="仿宋_GB2312" w:cs="仿宋_GB2312"/>
          <w:sz w:val="32"/>
          <w:szCs w:val="32"/>
          <w:shd w:val="clear" w:color="auto" w:fill="FFFFFF"/>
          <w:lang w:val="en-US" w:eastAsia="zh-CN"/>
        </w:rPr>
        <w:t>.</w:t>
      </w:r>
      <w:r>
        <w:rPr>
          <w:rFonts w:hint="eastAsia" w:ascii="仿宋_GB2312" w:hAnsi="Times New Roman" w:eastAsia="仿宋_GB2312" w:cs="仿宋_GB2312"/>
          <w:sz w:val="32"/>
          <w:szCs w:val="32"/>
          <w:shd w:val="clear" w:color="auto" w:fill="FFFFFF"/>
        </w:rPr>
        <w:t>行政许可数量、行政处罚和行政强制数量，包括已公开和依法未公开的全部处理决定。</w:t>
      </w:r>
    </w:p>
    <w:p w14:paraId="7DE59D4E">
      <w:pPr>
        <w:pStyle w:val="5"/>
        <w:shd w:val="clear" w:color="auto" w:fill="FFFFFF"/>
        <w:spacing w:beforeAutospacing="0" w:afterAutospacing="0" w:line="600" w:lineRule="exact"/>
        <w:ind w:firstLine="640" w:firstLineChars="200"/>
        <w:jc w:val="both"/>
        <w:rPr>
          <w:rFonts w:ascii="仿宋_GB2312" w:hAnsi="Times New Roman" w:eastAsia="仿宋_GB2312"/>
          <w:sz w:val="32"/>
          <w:szCs w:val="32"/>
          <w:shd w:val="clear" w:color="auto" w:fill="FFFFFF"/>
        </w:rPr>
      </w:pPr>
      <w:r>
        <w:rPr>
          <w:rFonts w:ascii="仿宋_GB2312" w:hAnsi="Times New Roman" w:eastAsia="仿宋_GB2312" w:cs="仿宋_GB2312"/>
          <w:sz w:val="32"/>
          <w:szCs w:val="32"/>
          <w:shd w:val="clear" w:color="auto" w:fill="FFFFFF"/>
        </w:rPr>
        <w:t>3</w:t>
      </w:r>
      <w:r>
        <w:rPr>
          <w:rFonts w:hint="eastAsia" w:ascii="仿宋_GB2312" w:hAnsi="Times New Roman" w:eastAsia="仿宋_GB2312" w:cs="仿宋_GB2312"/>
          <w:sz w:val="32"/>
          <w:szCs w:val="32"/>
          <w:shd w:val="clear" w:color="auto" w:fill="FFFFFF"/>
          <w:lang w:val="en-US" w:eastAsia="zh-CN"/>
        </w:rPr>
        <w:t>.</w:t>
      </w:r>
      <w:r>
        <w:rPr>
          <w:rFonts w:hint="eastAsia" w:ascii="仿宋_GB2312" w:hAnsi="Times New Roman" w:eastAsia="仿宋_GB2312" w:cs="仿宋_GB2312"/>
          <w:sz w:val="32"/>
          <w:szCs w:val="32"/>
          <w:shd w:val="clear" w:color="auto" w:fill="FFFFFF"/>
        </w:rPr>
        <w:t>行政复议机关作为共同被告的行政诉讼案件，只计算原行为主体的案件数量，不计算行政复议机关的案件数量。</w:t>
      </w:r>
    </w:p>
    <w:p w14:paraId="5A7FF07C">
      <w:pPr>
        <w:keepNext w:val="0"/>
        <w:keepLines w:val="0"/>
        <w:pageBreakBefore w:val="0"/>
        <w:widowControl w:val="0"/>
        <w:kinsoku/>
        <w:wordWrap/>
        <w:overflowPunct/>
        <w:topLinePunct w:val="0"/>
        <w:autoSpaceDE/>
        <w:autoSpaceDN/>
        <w:bidi w:val="0"/>
        <w:adjustRightInd/>
        <w:snapToGrid/>
        <w:spacing w:line="580" w:lineRule="exact"/>
        <w:ind w:firstLine="616" w:firstLineChars="200"/>
        <w:textAlignment w:val="auto"/>
        <w:rPr>
          <w:rFonts w:ascii="仿宋_GB2312" w:eastAsia="仿宋_GB2312"/>
          <w:spacing w:val="-6"/>
          <w:sz w:val="32"/>
          <w:szCs w:val="32"/>
        </w:rPr>
      </w:pPr>
    </w:p>
    <w:p w14:paraId="43C07454">
      <w:pPr>
        <w:keepNext w:val="0"/>
        <w:keepLines w:val="0"/>
        <w:pageBreakBefore w:val="0"/>
        <w:widowControl w:val="0"/>
        <w:kinsoku/>
        <w:wordWrap/>
        <w:overflowPunct/>
        <w:topLinePunct w:val="0"/>
        <w:autoSpaceDE/>
        <w:autoSpaceDN/>
        <w:bidi w:val="0"/>
        <w:adjustRightInd/>
        <w:snapToGrid/>
        <w:spacing w:line="580" w:lineRule="exact"/>
        <w:ind w:firstLine="616" w:firstLineChars="200"/>
        <w:textAlignment w:val="auto"/>
        <w:rPr>
          <w:rFonts w:ascii="仿宋_GB2312" w:eastAsia="仿宋_GB2312"/>
          <w:spacing w:val="-6"/>
          <w:sz w:val="32"/>
          <w:szCs w:val="32"/>
        </w:rPr>
      </w:pPr>
    </w:p>
    <w:p w14:paraId="28AFE3DE">
      <w:pPr>
        <w:keepNext w:val="0"/>
        <w:keepLines w:val="0"/>
        <w:pageBreakBefore w:val="0"/>
        <w:widowControl w:val="0"/>
        <w:kinsoku/>
        <w:wordWrap/>
        <w:overflowPunct/>
        <w:topLinePunct w:val="0"/>
        <w:autoSpaceDE/>
        <w:autoSpaceDN/>
        <w:bidi w:val="0"/>
        <w:adjustRightInd/>
        <w:snapToGrid/>
        <w:spacing w:line="580" w:lineRule="exact"/>
        <w:ind w:firstLine="616" w:firstLineChars="200"/>
        <w:textAlignment w:val="auto"/>
        <w:rPr>
          <w:rFonts w:ascii="仿宋_GB2312" w:eastAsia="仿宋_GB2312"/>
          <w:spacing w:val="-6"/>
          <w:sz w:val="32"/>
          <w:szCs w:val="32"/>
        </w:rPr>
      </w:pPr>
      <w:bookmarkStart w:id="11" w:name="_GoBack"/>
      <w:bookmarkEnd w:id="11"/>
    </w:p>
    <w:p w14:paraId="544BACFE">
      <w:pPr>
        <w:keepNext w:val="0"/>
        <w:keepLines w:val="0"/>
        <w:pageBreakBefore w:val="0"/>
        <w:widowControl w:val="0"/>
        <w:kinsoku/>
        <w:wordWrap/>
        <w:overflowPunct/>
        <w:topLinePunct w:val="0"/>
        <w:autoSpaceDE/>
        <w:autoSpaceDN/>
        <w:bidi w:val="0"/>
        <w:adjustRightInd/>
        <w:snapToGrid/>
        <w:spacing w:line="580" w:lineRule="exact"/>
        <w:ind w:firstLine="616" w:firstLineChars="200"/>
        <w:textAlignment w:val="auto"/>
        <w:rPr>
          <w:rFonts w:ascii="仿宋_GB2312" w:eastAsia="仿宋_GB2312"/>
          <w:spacing w:val="-6"/>
          <w:sz w:val="32"/>
          <w:szCs w:val="32"/>
        </w:rPr>
      </w:pPr>
    </w:p>
    <w:p w14:paraId="219884AE">
      <w:pPr>
        <w:keepNext w:val="0"/>
        <w:keepLines w:val="0"/>
        <w:pageBreakBefore w:val="0"/>
        <w:widowControl w:val="0"/>
        <w:kinsoku/>
        <w:wordWrap/>
        <w:overflowPunct/>
        <w:topLinePunct w:val="0"/>
        <w:autoSpaceDE/>
        <w:autoSpaceDN/>
        <w:bidi w:val="0"/>
        <w:adjustRightInd/>
        <w:snapToGrid/>
        <w:spacing w:line="580" w:lineRule="exact"/>
        <w:ind w:firstLine="616" w:firstLineChars="200"/>
        <w:textAlignment w:val="auto"/>
        <w:rPr>
          <w:rFonts w:ascii="仿宋_GB2312" w:eastAsia="仿宋_GB2312"/>
          <w:spacing w:val="-6"/>
          <w:sz w:val="32"/>
          <w:szCs w:val="32"/>
        </w:rPr>
      </w:pPr>
    </w:p>
    <w:p w14:paraId="2CC187B1">
      <w:pPr>
        <w:keepNext w:val="0"/>
        <w:keepLines w:val="0"/>
        <w:pageBreakBefore w:val="0"/>
        <w:widowControl w:val="0"/>
        <w:kinsoku/>
        <w:wordWrap/>
        <w:overflowPunct/>
        <w:topLinePunct w:val="0"/>
        <w:autoSpaceDE/>
        <w:autoSpaceDN/>
        <w:bidi w:val="0"/>
        <w:adjustRightInd/>
        <w:snapToGrid/>
        <w:spacing w:line="580" w:lineRule="exact"/>
        <w:ind w:firstLine="616" w:firstLineChars="200"/>
        <w:textAlignment w:val="auto"/>
        <w:rPr>
          <w:rFonts w:ascii="仿宋_GB2312" w:eastAsia="仿宋_GB2312"/>
          <w:spacing w:val="-6"/>
          <w:sz w:val="32"/>
          <w:szCs w:val="32"/>
        </w:rPr>
      </w:pPr>
    </w:p>
    <w:p w14:paraId="48565E85">
      <w:pPr>
        <w:keepNext w:val="0"/>
        <w:keepLines w:val="0"/>
        <w:pageBreakBefore w:val="0"/>
        <w:widowControl w:val="0"/>
        <w:kinsoku/>
        <w:wordWrap/>
        <w:overflowPunct/>
        <w:topLinePunct w:val="0"/>
        <w:autoSpaceDE/>
        <w:autoSpaceDN/>
        <w:bidi w:val="0"/>
        <w:adjustRightInd/>
        <w:snapToGrid/>
        <w:spacing w:line="580" w:lineRule="exact"/>
        <w:ind w:firstLine="616" w:firstLineChars="200"/>
        <w:textAlignment w:val="auto"/>
        <w:rPr>
          <w:rFonts w:ascii="仿宋_GB2312" w:eastAsia="仿宋_GB2312"/>
          <w:spacing w:val="-6"/>
          <w:sz w:val="32"/>
          <w:szCs w:val="32"/>
        </w:rPr>
      </w:pPr>
    </w:p>
    <w:p w14:paraId="1D382DAD">
      <w:pPr>
        <w:keepNext w:val="0"/>
        <w:keepLines w:val="0"/>
        <w:pageBreakBefore w:val="0"/>
        <w:widowControl w:val="0"/>
        <w:kinsoku/>
        <w:wordWrap/>
        <w:overflowPunct/>
        <w:topLinePunct w:val="0"/>
        <w:autoSpaceDE/>
        <w:autoSpaceDN/>
        <w:bidi w:val="0"/>
        <w:adjustRightInd/>
        <w:snapToGrid/>
        <w:spacing w:line="580" w:lineRule="exact"/>
        <w:ind w:firstLine="616" w:firstLineChars="200"/>
        <w:textAlignment w:val="auto"/>
        <w:rPr>
          <w:rFonts w:ascii="仿宋_GB2312" w:eastAsia="仿宋_GB2312"/>
          <w:spacing w:val="-6"/>
          <w:sz w:val="32"/>
          <w:szCs w:val="32"/>
        </w:rPr>
      </w:pPr>
    </w:p>
    <w:p w14:paraId="648F73CC">
      <w:pPr>
        <w:keepNext w:val="0"/>
        <w:keepLines w:val="0"/>
        <w:pageBreakBefore w:val="0"/>
        <w:widowControl w:val="0"/>
        <w:kinsoku/>
        <w:wordWrap/>
        <w:overflowPunct/>
        <w:topLinePunct w:val="0"/>
        <w:autoSpaceDE/>
        <w:autoSpaceDN/>
        <w:bidi w:val="0"/>
        <w:adjustRightInd/>
        <w:snapToGrid/>
        <w:spacing w:line="580" w:lineRule="exact"/>
        <w:ind w:firstLine="616" w:firstLineChars="200"/>
        <w:textAlignment w:val="auto"/>
        <w:rPr>
          <w:rFonts w:ascii="仿宋_GB2312" w:eastAsia="仿宋_GB2312"/>
          <w:spacing w:val="-6"/>
          <w:sz w:val="32"/>
          <w:szCs w:val="32"/>
        </w:rPr>
      </w:pPr>
    </w:p>
    <w:p w14:paraId="3690E5E8">
      <w:pPr>
        <w:keepNext w:val="0"/>
        <w:keepLines w:val="0"/>
        <w:pageBreakBefore w:val="0"/>
        <w:widowControl w:val="0"/>
        <w:kinsoku/>
        <w:wordWrap/>
        <w:overflowPunct/>
        <w:topLinePunct w:val="0"/>
        <w:autoSpaceDE/>
        <w:autoSpaceDN/>
        <w:bidi w:val="0"/>
        <w:adjustRightInd/>
        <w:snapToGrid/>
        <w:spacing w:line="580" w:lineRule="exact"/>
        <w:ind w:firstLine="616" w:firstLineChars="200"/>
        <w:textAlignment w:val="auto"/>
        <w:rPr>
          <w:rFonts w:ascii="仿宋_GB2312" w:eastAsia="仿宋_GB2312"/>
          <w:spacing w:val="-6"/>
          <w:sz w:val="32"/>
          <w:szCs w:val="32"/>
        </w:rPr>
      </w:pPr>
    </w:p>
    <w:p w14:paraId="40D51888">
      <w:pPr>
        <w:keepNext w:val="0"/>
        <w:keepLines w:val="0"/>
        <w:pageBreakBefore w:val="0"/>
        <w:widowControl w:val="0"/>
        <w:kinsoku/>
        <w:wordWrap/>
        <w:overflowPunct/>
        <w:topLinePunct w:val="0"/>
        <w:autoSpaceDE/>
        <w:autoSpaceDN/>
        <w:bidi w:val="0"/>
        <w:adjustRightInd/>
        <w:snapToGrid/>
        <w:spacing w:line="580" w:lineRule="exact"/>
        <w:ind w:firstLine="616" w:firstLineChars="200"/>
        <w:textAlignment w:val="auto"/>
        <w:rPr>
          <w:rFonts w:ascii="仿宋_GB2312" w:eastAsia="仿宋_GB2312"/>
          <w:spacing w:val="-6"/>
          <w:sz w:val="32"/>
          <w:szCs w:val="32"/>
        </w:rPr>
      </w:pPr>
    </w:p>
    <w:p w14:paraId="1EA52F38">
      <w:pPr>
        <w:keepNext w:val="0"/>
        <w:keepLines w:val="0"/>
        <w:pageBreakBefore w:val="0"/>
        <w:widowControl w:val="0"/>
        <w:kinsoku/>
        <w:wordWrap/>
        <w:overflowPunct/>
        <w:topLinePunct w:val="0"/>
        <w:autoSpaceDE/>
        <w:autoSpaceDN/>
        <w:bidi w:val="0"/>
        <w:adjustRightInd/>
        <w:snapToGrid/>
        <w:spacing w:line="580" w:lineRule="exact"/>
        <w:ind w:firstLine="616" w:firstLineChars="200"/>
        <w:textAlignment w:val="auto"/>
        <w:rPr>
          <w:rFonts w:ascii="仿宋_GB2312" w:eastAsia="仿宋_GB2312"/>
          <w:spacing w:val="-6"/>
          <w:sz w:val="32"/>
          <w:szCs w:val="32"/>
        </w:rPr>
      </w:pPr>
    </w:p>
    <w:p w14:paraId="1786D360">
      <w:pPr>
        <w:keepNext w:val="0"/>
        <w:keepLines w:val="0"/>
        <w:pageBreakBefore w:val="0"/>
        <w:widowControl w:val="0"/>
        <w:kinsoku/>
        <w:wordWrap/>
        <w:overflowPunct/>
        <w:topLinePunct w:val="0"/>
        <w:autoSpaceDE/>
        <w:autoSpaceDN/>
        <w:bidi w:val="0"/>
        <w:adjustRightInd/>
        <w:snapToGrid/>
        <w:spacing w:line="580" w:lineRule="exact"/>
        <w:ind w:firstLine="616" w:firstLineChars="200"/>
        <w:textAlignment w:val="auto"/>
        <w:rPr>
          <w:rFonts w:ascii="仿宋_GB2312" w:eastAsia="仿宋_GB2312"/>
          <w:spacing w:val="-6"/>
          <w:sz w:val="32"/>
          <w:szCs w:val="32"/>
        </w:rPr>
      </w:pPr>
    </w:p>
    <w:p w14:paraId="00E0BE0B">
      <w:pPr>
        <w:keepNext w:val="0"/>
        <w:keepLines w:val="0"/>
        <w:pageBreakBefore w:val="0"/>
        <w:widowControl w:val="0"/>
        <w:kinsoku/>
        <w:wordWrap/>
        <w:overflowPunct/>
        <w:topLinePunct w:val="0"/>
        <w:autoSpaceDE/>
        <w:autoSpaceDN/>
        <w:bidi w:val="0"/>
        <w:adjustRightInd/>
        <w:snapToGrid/>
        <w:spacing w:line="580" w:lineRule="exact"/>
        <w:ind w:firstLine="616" w:firstLineChars="200"/>
        <w:textAlignment w:val="auto"/>
        <w:rPr>
          <w:rFonts w:ascii="仿宋_GB2312" w:eastAsia="仿宋_GB2312"/>
          <w:spacing w:val="-6"/>
          <w:sz w:val="32"/>
          <w:szCs w:val="32"/>
        </w:rPr>
      </w:pPr>
    </w:p>
    <w:p w14:paraId="3206A85F">
      <w:pPr>
        <w:keepNext w:val="0"/>
        <w:keepLines w:val="0"/>
        <w:pageBreakBefore w:val="0"/>
        <w:widowControl w:val="0"/>
        <w:kinsoku/>
        <w:wordWrap/>
        <w:overflowPunct/>
        <w:topLinePunct w:val="0"/>
        <w:autoSpaceDE/>
        <w:autoSpaceDN/>
        <w:bidi w:val="0"/>
        <w:adjustRightInd/>
        <w:snapToGrid/>
        <w:spacing w:line="580" w:lineRule="exact"/>
        <w:ind w:firstLine="616" w:firstLineChars="200"/>
        <w:textAlignment w:val="auto"/>
        <w:rPr>
          <w:rFonts w:ascii="仿宋_GB2312" w:eastAsia="仿宋_GB2312"/>
          <w:spacing w:val="-6"/>
          <w:sz w:val="32"/>
          <w:szCs w:val="32"/>
        </w:rPr>
      </w:pPr>
    </w:p>
    <w:p w14:paraId="412BC5F3">
      <w:pPr>
        <w:keepNext w:val="0"/>
        <w:keepLines w:val="0"/>
        <w:pageBreakBefore w:val="0"/>
        <w:widowControl w:val="0"/>
        <w:kinsoku/>
        <w:wordWrap/>
        <w:overflowPunct/>
        <w:topLinePunct w:val="0"/>
        <w:autoSpaceDE/>
        <w:autoSpaceDN/>
        <w:bidi w:val="0"/>
        <w:adjustRightInd/>
        <w:snapToGrid/>
        <w:spacing w:line="580" w:lineRule="exact"/>
        <w:ind w:firstLine="616" w:firstLineChars="200"/>
        <w:textAlignment w:val="auto"/>
        <w:rPr>
          <w:rFonts w:hint="eastAsia" w:ascii="仿宋_GB2312" w:eastAsia="仿宋_GB2312"/>
          <w:spacing w:val="-6"/>
          <w:sz w:val="32"/>
          <w:szCs w:val="32"/>
          <w:lang w:val="en-US" w:eastAsia="zh-CN"/>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CESI小标宋-GB2312">
    <w:altName w:val="宋体"/>
    <w:panose1 w:val="02000500000000000000"/>
    <w:charset w:val="86"/>
    <w:family w:val="auto"/>
    <w:pitch w:val="default"/>
    <w:sig w:usb0="00000000" w:usb1="00000000" w:usb2="00000010" w:usb3="00000000" w:csb0="0004000F" w:csb1="00000000"/>
  </w:font>
  <w:font w:name="仿宋_GB2312">
    <w:panose1 w:val="02010609030101010101"/>
    <w:charset w:val="86"/>
    <w:family w:val="decorative"/>
    <w:pitch w:val="default"/>
    <w:sig w:usb0="00000001" w:usb1="080E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CESI楷体-GB2312">
    <w:altName w:val="楷体_GB2312"/>
    <w:panose1 w:val="02000500000000000000"/>
    <w:charset w:val="86"/>
    <w:family w:val="auto"/>
    <w:pitch w:val="default"/>
    <w:sig w:usb0="00000000" w:usb1="00000000" w:usb2="00000012" w:usb3="00000000" w:csb0="0004000F" w:csb1="00000000"/>
  </w:font>
  <w:font w:name="微软雅黑">
    <w:panose1 w:val="020B0503020204020204"/>
    <w:charset w:val="86"/>
    <w:family w:val="swiss"/>
    <w:pitch w:val="variable"/>
    <w:sig w:usb0="80000287" w:usb1="2ACF3C50" w:usb2="00000016" w:usb3="00000000" w:csb0="0004001F" w:csb1="00000000"/>
  </w:font>
  <w:font w:name="汉仪中等线简">
    <w:altName w:val="宋体"/>
    <w:panose1 w:val="02010600000101010101"/>
    <w:charset w:val="86"/>
    <w:family w:val="modern"/>
    <w:pitch w:val="default"/>
    <w:sig w:usb0="00000000" w:usb1="00000000" w:usb2="00000002" w:usb3="00000000" w:csb0="00040000" w:csb1="00000000"/>
  </w:font>
  <w:font w:name="楷体_GB2312">
    <w:panose1 w:val="02010609030101010101"/>
    <w:charset w:val="86"/>
    <w:family w:val="decorative"/>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文星仿宋">
    <w:altName w:val="仿宋"/>
    <w:panose1 w:val="00000000000000000000"/>
    <w:charset w:val="00"/>
    <w:family w:val="auto"/>
    <w:pitch w:val="default"/>
    <w:sig w:usb0="00000000" w:usb1="00000000" w:usb2="00000000" w:usb3="00000000" w:csb0="00040001" w:csb1="00000000"/>
  </w:font>
  <w:font w:name="方正仿宋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6E81F">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1E3AFD">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8Kz6jdAQAAvgMAAA4AAAAAAAAA&#10;AQAgAAAAHgEAAGRycy9lMm9Eb2MueG1sUEsFBgAAAAAGAAYAWQEAAG0FAAAAAA==&#10;">
              <v:fill on="f" focussize="0,0"/>
              <v:stroke on="f"/>
              <v:imagedata o:title=""/>
              <o:lock v:ext="edit" aspectratio="f"/>
              <v:textbox inset="0mm,0mm,0mm,0mm" style="mso-fit-shape-to-text:t;">
                <w:txbxContent>
                  <w:p w14:paraId="1A1E3AFD">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300017"/>
    <w:multiLevelType w:val="singleLevel"/>
    <w:tmpl w:val="54300017"/>
    <w:lvl w:ilvl="0" w:tentative="0">
      <w:start w:val="4"/>
      <w:numFmt w:val="chineseCounting"/>
      <w:suff w:val="nothing"/>
      <w:lvlText w:val="（%1）"/>
      <w:lvlJc w:val="left"/>
      <w:rPr>
        <w:rFonts w:hint="eastAsia"/>
      </w:rPr>
    </w:lvl>
  </w:abstractNum>
  <w:abstractNum w:abstractNumId="1">
    <w:nsid w:val="71479142"/>
    <w:multiLevelType w:val="singleLevel"/>
    <w:tmpl w:val="71479142"/>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iYzI2MWM0NWFiMWQ2ODljYjk4YzY5MTQxZGNlN2IifQ=="/>
  </w:docVars>
  <w:rsids>
    <w:rsidRoot w:val="7FEF658B"/>
    <w:rsid w:val="09BFAE49"/>
    <w:rsid w:val="0B7D1D96"/>
    <w:rsid w:val="0FFD0A9A"/>
    <w:rsid w:val="142C2025"/>
    <w:rsid w:val="15AF50A8"/>
    <w:rsid w:val="163F2C2D"/>
    <w:rsid w:val="168B019E"/>
    <w:rsid w:val="17BFEB6D"/>
    <w:rsid w:val="17CD8F2E"/>
    <w:rsid w:val="1CF523BA"/>
    <w:rsid w:val="1D7F0271"/>
    <w:rsid w:val="1FD5D705"/>
    <w:rsid w:val="25ED1779"/>
    <w:rsid w:val="25FE3D80"/>
    <w:rsid w:val="2BFFECDA"/>
    <w:rsid w:val="2C594969"/>
    <w:rsid w:val="2D07E0AC"/>
    <w:rsid w:val="2D571051"/>
    <w:rsid w:val="2D7F721F"/>
    <w:rsid w:val="2FAF9428"/>
    <w:rsid w:val="2FDF6090"/>
    <w:rsid w:val="30FFC5AF"/>
    <w:rsid w:val="35F5F7BD"/>
    <w:rsid w:val="36ED2F5F"/>
    <w:rsid w:val="38754646"/>
    <w:rsid w:val="3BCE3EB9"/>
    <w:rsid w:val="3BD38DA5"/>
    <w:rsid w:val="3BFF0F2E"/>
    <w:rsid w:val="3CAB10C6"/>
    <w:rsid w:val="3D1B60F2"/>
    <w:rsid w:val="3DBF5A2C"/>
    <w:rsid w:val="3DFE2019"/>
    <w:rsid w:val="3DFF2151"/>
    <w:rsid w:val="3DFF6C3A"/>
    <w:rsid w:val="3E7A39E2"/>
    <w:rsid w:val="3EBA999F"/>
    <w:rsid w:val="3EF757ED"/>
    <w:rsid w:val="3EF79DD7"/>
    <w:rsid w:val="3EFB272A"/>
    <w:rsid w:val="3EFE9921"/>
    <w:rsid w:val="3EFF3A68"/>
    <w:rsid w:val="3F7B21EB"/>
    <w:rsid w:val="3F9D550D"/>
    <w:rsid w:val="3FBD6D2A"/>
    <w:rsid w:val="3FC78B58"/>
    <w:rsid w:val="3FDF0794"/>
    <w:rsid w:val="3FE999B0"/>
    <w:rsid w:val="3FEE2C70"/>
    <w:rsid w:val="3FF750D2"/>
    <w:rsid w:val="3FFE923C"/>
    <w:rsid w:val="3FFEA9BE"/>
    <w:rsid w:val="3FFF1B85"/>
    <w:rsid w:val="3FFFD654"/>
    <w:rsid w:val="3FFFD794"/>
    <w:rsid w:val="43FF2EF7"/>
    <w:rsid w:val="47BFD4FF"/>
    <w:rsid w:val="4BF5763D"/>
    <w:rsid w:val="4CF3BA75"/>
    <w:rsid w:val="4D5B5553"/>
    <w:rsid w:val="4D7FA9EA"/>
    <w:rsid w:val="4EFF75C3"/>
    <w:rsid w:val="4FAC3C80"/>
    <w:rsid w:val="4FBECA11"/>
    <w:rsid w:val="51E54756"/>
    <w:rsid w:val="51FED7AB"/>
    <w:rsid w:val="53030707"/>
    <w:rsid w:val="53EF3D66"/>
    <w:rsid w:val="53F493FF"/>
    <w:rsid w:val="544FEB14"/>
    <w:rsid w:val="553A8547"/>
    <w:rsid w:val="55EA121A"/>
    <w:rsid w:val="57DF68D6"/>
    <w:rsid w:val="57FF96B1"/>
    <w:rsid w:val="5A570386"/>
    <w:rsid w:val="5B5BAFEC"/>
    <w:rsid w:val="5BFCC93E"/>
    <w:rsid w:val="5C4A1F98"/>
    <w:rsid w:val="5DE33500"/>
    <w:rsid w:val="5DEF253B"/>
    <w:rsid w:val="5DFB2BCB"/>
    <w:rsid w:val="5E7FA522"/>
    <w:rsid w:val="5ED33E19"/>
    <w:rsid w:val="5ED5AFFA"/>
    <w:rsid w:val="5EECA290"/>
    <w:rsid w:val="5EEFD745"/>
    <w:rsid w:val="5EFA7CCD"/>
    <w:rsid w:val="5F7E52F8"/>
    <w:rsid w:val="5F8F8379"/>
    <w:rsid w:val="5FBDD6D2"/>
    <w:rsid w:val="5FBEDD70"/>
    <w:rsid w:val="5FD46F61"/>
    <w:rsid w:val="5FEE129C"/>
    <w:rsid w:val="5FF6D530"/>
    <w:rsid w:val="60FFB723"/>
    <w:rsid w:val="628F4EA0"/>
    <w:rsid w:val="62E1223B"/>
    <w:rsid w:val="66BB7986"/>
    <w:rsid w:val="677EB821"/>
    <w:rsid w:val="67A7F5CE"/>
    <w:rsid w:val="67B5DDFC"/>
    <w:rsid w:val="67CF50FE"/>
    <w:rsid w:val="67F759EC"/>
    <w:rsid w:val="6BBFA990"/>
    <w:rsid w:val="6BF78F55"/>
    <w:rsid w:val="6BFFC3DB"/>
    <w:rsid w:val="6C3D09B7"/>
    <w:rsid w:val="6C7F5D64"/>
    <w:rsid w:val="6CE31F8D"/>
    <w:rsid w:val="6DDCA9AA"/>
    <w:rsid w:val="6DE7C9C6"/>
    <w:rsid w:val="6DF2E1CE"/>
    <w:rsid w:val="6DFEA2C1"/>
    <w:rsid w:val="6EBF73E3"/>
    <w:rsid w:val="6ED7CCDE"/>
    <w:rsid w:val="6EF4C2E7"/>
    <w:rsid w:val="6F37D775"/>
    <w:rsid w:val="6FBB27F8"/>
    <w:rsid w:val="6FBF0D38"/>
    <w:rsid w:val="6FE333A2"/>
    <w:rsid w:val="6FEE42C7"/>
    <w:rsid w:val="6FF330EE"/>
    <w:rsid w:val="6FFD68DA"/>
    <w:rsid w:val="72CFD79F"/>
    <w:rsid w:val="743D6E53"/>
    <w:rsid w:val="757F11AD"/>
    <w:rsid w:val="75F77CD4"/>
    <w:rsid w:val="767B5FE7"/>
    <w:rsid w:val="76AA3DDE"/>
    <w:rsid w:val="775EB7B1"/>
    <w:rsid w:val="77CA8C2E"/>
    <w:rsid w:val="77E2226A"/>
    <w:rsid w:val="77FEB9F5"/>
    <w:rsid w:val="77FFBC28"/>
    <w:rsid w:val="7A093C36"/>
    <w:rsid w:val="7A659252"/>
    <w:rsid w:val="7A7F311F"/>
    <w:rsid w:val="7A7F43F2"/>
    <w:rsid w:val="7AE7E0F8"/>
    <w:rsid w:val="7AFF42DA"/>
    <w:rsid w:val="7B5AB41D"/>
    <w:rsid w:val="7BCF7B60"/>
    <w:rsid w:val="7BD783A9"/>
    <w:rsid w:val="7BE5A58A"/>
    <w:rsid w:val="7BEC260E"/>
    <w:rsid w:val="7BED0E57"/>
    <w:rsid w:val="7BFE7A63"/>
    <w:rsid w:val="7BFF0E94"/>
    <w:rsid w:val="7BFF5E57"/>
    <w:rsid w:val="7C6E4FA9"/>
    <w:rsid w:val="7C779C33"/>
    <w:rsid w:val="7CDF3DBD"/>
    <w:rsid w:val="7CEDB899"/>
    <w:rsid w:val="7CFF7EE1"/>
    <w:rsid w:val="7D74B766"/>
    <w:rsid w:val="7D873C6A"/>
    <w:rsid w:val="7DFF0B4D"/>
    <w:rsid w:val="7E6F71AF"/>
    <w:rsid w:val="7E7135BF"/>
    <w:rsid w:val="7E7F3052"/>
    <w:rsid w:val="7EBF93D3"/>
    <w:rsid w:val="7EE56A34"/>
    <w:rsid w:val="7EED5D03"/>
    <w:rsid w:val="7EEF5AF8"/>
    <w:rsid w:val="7EF95957"/>
    <w:rsid w:val="7F13F6CF"/>
    <w:rsid w:val="7F6FD504"/>
    <w:rsid w:val="7F73E18E"/>
    <w:rsid w:val="7F75EFE6"/>
    <w:rsid w:val="7F79716C"/>
    <w:rsid w:val="7F8E3466"/>
    <w:rsid w:val="7FBFAEB4"/>
    <w:rsid w:val="7FEF658B"/>
    <w:rsid w:val="7FFF27F7"/>
    <w:rsid w:val="7FFFB5D4"/>
    <w:rsid w:val="7FFFC456"/>
    <w:rsid w:val="85BC9B61"/>
    <w:rsid w:val="8BB95354"/>
    <w:rsid w:val="8D78DC5A"/>
    <w:rsid w:val="91E93E2F"/>
    <w:rsid w:val="956D85C9"/>
    <w:rsid w:val="97EF4932"/>
    <w:rsid w:val="9B7FC383"/>
    <w:rsid w:val="9CEF00A8"/>
    <w:rsid w:val="9D9797CC"/>
    <w:rsid w:val="9DA30073"/>
    <w:rsid w:val="9EAFAA5D"/>
    <w:rsid w:val="9FFF0F55"/>
    <w:rsid w:val="A7FCE885"/>
    <w:rsid w:val="A7FFB25D"/>
    <w:rsid w:val="A9DABC93"/>
    <w:rsid w:val="AA0F8F88"/>
    <w:rsid w:val="AFCFC30E"/>
    <w:rsid w:val="B2E9B92F"/>
    <w:rsid w:val="B6B5480E"/>
    <w:rsid w:val="B77FA11B"/>
    <w:rsid w:val="B7C8F05D"/>
    <w:rsid w:val="BA7B23C6"/>
    <w:rsid w:val="BB7FCE6F"/>
    <w:rsid w:val="BBF92763"/>
    <w:rsid w:val="BC99AAB2"/>
    <w:rsid w:val="BCDAB567"/>
    <w:rsid w:val="BDB7618B"/>
    <w:rsid w:val="BDFFFE4E"/>
    <w:rsid w:val="BE7F16D8"/>
    <w:rsid w:val="BEFEC590"/>
    <w:rsid w:val="BEFF4B1A"/>
    <w:rsid w:val="BEFF91CF"/>
    <w:rsid w:val="BF470EE9"/>
    <w:rsid w:val="BFBA06E8"/>
    <w:rsid w:val="BFDB1BD3"/>
    <w:rsid w:val="BFDE7FE6"/>
    <w:rsid w:val="BFFFA3C3"/>
    <w:rsid w:val="BFFFF9DE"/>
    <w:rsid w:val="CD7FCE29"/>
    <w:rsid w:val="CDDE6BA6"/>
    <w:rsid w:val="CEED47EB"/>
    <w:rsid w:val="CF3DEF47"/>
    <w:rsid w:val="CF7D592E"/>
    <w:rsid w:val="CFEDAE56"/>
    <w:rsid w:val="CFFF7263"/>
    <w:rsid w:val="D3E7E68F"/>
    <w:rsid w:val="D3FDE46D"/>
    <w:rsid w:val="D6BDA0FD"/>
    <w:rsid w:val="D7359B72"/>
    <w:rsid w:val="D7379F0F"/>
    <w:rsid w:val="D7B98E93"/>
    <w:rsid w:val="D7DEF8C9"/>
    <w:rsid w:val="D7F5A054"/>
    <w:rsid w:val="D7FBEBB9"/>
    <w:rsid w:val="D9AF3344"/>
    <w:rsid w:val="D9FFB875"/>
    <w:rsid w:val="DB1F8E78"/>
    <w:rsid w:val="DB76A610"/>
    <w:rsid w:val="DBD7ADD7"/>
    <w:rsid w:val="DBFA1478"/>
    <w:rsid w:val="DD6FDAA3"/>
    <w:rsid w:val="DDC5C86D"/>
    <w:rsid w:val="DEED708E"/>
    <w:rsid w:val="DEFDD219"/>
    <w:rsid w:val="DEFE3B35"/>
    <w:rsid w:val="DF1BD31B"/>
    <w:rsid w:val="DF9A698D"/>
    <w:rsid w:val="DF9CD2A4"/>
    <w:rsid w:val="DFEB4B44"/>
    <w:rsid w:val="DFEE4FA3"/>
    <w:rsid w:val="DFF2682B"/>
    <w:rsid w:val="DFF30864"/>
    <w:rsid w:val="DFF37627"/>
    <w:rsid w:val="DFF9E35E"/>
    <w:rsid w:val="DFFE574B"/>
    <w:rsid w:val="DFFE9125"/>
    <w:rsid w:val="E19FAC9C"/>
    <w:rsid w:val="EB7DFB4E"/>
    <w:rsid w:val="EB9F4F9F"/>
    <w:rsid w:val="EBAA24F9"/>
    <w:rsid w:val="EBBBC8EE"/>
    <w:rsid w:val="ED3E1A38"/>
    <w:rsid w:val="EDFD693B"/>
    <w:rsid w:val="EFA4C132"/>
    <w:rsid w:val="EFF63DBB"/>
    <w:rsid w:val="F0D310D9"/>
    <w:rsid w:val="F18F2102"/>
    <w:rsid w:val="F1BD59D0"/>
    <w:rsid w:val="F25B21BC"/>
    <w:rsid w:val="F37D58FD"/>
    <w:rsid w:val="F37D7D33"/>
    <w:rsid w:val="F3FEE081"/>
    <w:rsid w:val="F4CF5228"/>
    <w:rsid w:val="F57F64D6"/>
    <w:rsid w:val="F5ED3CA1"/>
    <w:rsid w:val="F67F67ED"/>
    <w:rsid w:val="F6AF652A"/>
    <w:rsid w:val="F75F7171"/>
    <w:rsid w:val="F77FAC29"/>
    <w:rsid w:val="F7B7D272"/>
    <w:rsid w:val="F7F7000F"/>
    <w:rsid w:val="F7F75A83"/>
    <w:rsid w:val="F7FDFC43"/>
    <w:rsid w:val="F7FF23C3"/>
    <w:rsid w:val="F7FFC80F"/>
    <w:rsid w:val="F8FF947A"/>
    <w:rsid w:val="F972EDE1"/>
    <w:rsid w:val="FAF751A0"/>
    <w:rsid w:val="FAFDB593"/>
    <w:rsid w:val="FB743BE6"/>
    <w:rsid w:val="FBCEBB90"/>
    <w:rsid w:val="FBD3B083"/>
    <w:rsid w:val="FBF3231B"/>
    <w:rsid w:val="FBFB032A"/>
    <w:rsid w:val="FBFFBC43"/>
    <w:rsid w:val="FCFB435D"/>
    <w:rsid w:val="FD1D5D8B"/>
    <w:rsid w:val="FD1D8327"/>
    <w:rsid w:val="FD5F7B13"/>
    <w:rsid w:val="FDBEBB72"/>
    <w:rsid w:val="FDFFA346"/>
    <w:rsid w:val="FE734873"/>
    <w:rsid w:val="FE73510B"/>
    <w:rsid w:val="FEBDF147"/>
    <w:rsid w:val="FED2D094"/>
    <w:rsid w:val="FEDEB4CA"/>
    <w:rsid w:val="FEE63162"/>
    <w:rsid w:val="FEEDCFAA"/>
    <w:rsid w:val="FEF79DFC"/>
    <w:rsid w:val="FEFB1139"/>
    <w:rsid w:val="FEFEE4AF"/>
    <w:rsid w:val="FEFF4951"/>
    <w:rsid w:val="FF2FA6E5"/>
    <w:rsid w:val="FF5C5AE4"/>
    <w:rsid w:val="FF724A99"/>
    <w:rsid w:val="FF737244"/>
    <w:rsid w:val="FFAE1F37"/>
    <w:rsid w:val="FFB76AB9"/>
    <w:rsid w:val="FFBE0763"/>
    <w:rsid w:val="FFBF25AE"/>
    <w:rsid w:val="FFD970A3"/>
    <w:rsid w:val="FFDB7C45"/>
    <w:rsid w:val="FFF45F86"/>
    <w:rsid w:val="FFF662DE"/>
    <w:rsid w:val="FFFD433D"/>
    <w:rsid w:val="FFFD6089"/>
    <w:rsid w:val="FFFE85DA"/>
    <w:rsid w:val="FFFF17DF"/>
    <w:rsid w:val="FFFF34C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next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szCs w:val="24"/>
    </w:rPr>
  </w:style>
  <w:style w:type="character" w:styleId="8">
    <w:name w:val="Strong"/>
    <w:basedOn w:val="7"/>
    <w:qFormat/>
    <w:uiPriority w:val="0"/>
    <w:rPr>
      <w:b/>
    </w:rPr>
  </w:style>
  <w:style w:type="character" w:styleId="9">
    <w:name w:val="Hyperlink"/>
    <w:basedOn w:val="7"/>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oleObject" Target="/home/admin/Desktop/&#22270;&#24418;&#21046;&#20316;&#34920;&#2668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baseline="0">
                <a:solidFill>
                  <a:srgbClr val="404040">
                    <a:lumMod val="75000"/>
                    <a:lumOff val="25000"/>
                  </a:srgb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r>
              <a:t>政府网站主动公开信息</a:t>
            </a:r>
          </a:p>
        </c:rich>
      </c:tx>
      <c:layout/>
      <c:overlay val="0"/>
      <c:spPr>
        <a:noFill/>
        <a:ln>
          <a:noFill/>
        </a:ln>
        <a:effectLst/>
      </c:spPr>
    </c:title>
    <c:autoTitleDeleted val="0"/>
    <c:plotArea>
      <c:layout/>
      <c:pieChart>
        <c:varyColors val="1"/>
        <c:ser>
          <c:idx val="1"/>
          <c:order val="0"/>
          <c:tx>
            <c:strRef>
              <c:f>[图形制作表格.xlsx]Sheet1!$F$8</c:f>
              <c:strCache>
                <c:ptCount val="1"/>
                <c:pt idx="0">
                  <c:v>总数</c:v>
                </c:pt>
              </c:strCache>
            </c:strRef>
          </c:tx>
          <c:spPr/>
          <c:explosion val="0"/>
          <c:dPt>
            <c:idx val="0"/>
            <c:bubble3D val="0"/>
            <c:spPr>
              <a:solidFill>
                <a:srgbClr val="4F81BD"/>
              </a:solidFill>
              <a:ln>
                <a:solidFill>
                  <a:srgbClr val="FFFFFF"/>
                </a:solidFill>
              </a:ln>
              <a:effectLst/>
            </c:spPr>
          </c:dPt>
          <c:dPt>
            <c:idx val="1"/>
            <c:bubble3D val="0"/>
            <c:spPr>
              <a:solidFill>
                <a:srgbClr val="C0504D"/>
              </a:solidFill>
              <a:ln>
                <a:solidFill>
                  <a:srgbClr val="FFFFFF"/>
                </a:solidFill>
              </a:ln>
              <a:effectLst/>
            </c:spPr>
          </c:dPt>
          <c:dPt>
            <c:idx val="2"/>
            <c:bubble3D val="0"/>
            <c:spPr>
              <a:solidFill>
                <a:srgbClr val="9BBB59"/>
              </a:solidFill>
              <a:ln>
                <a:solidFill>
                  <a:srgbClr val="FFFFFF"/>
                </a:solidFill>
              </a:ln>
              <a:effectLst/>
            </c:spPr>
          </c:dPt>
          <c:dPt>
            <c:idx val="3"/>
            <c:bubble3D val="0"/>
            <c:spPr>
              <a:solidFill>
                <a:srgbClr val="8064A2"/>
              </a:solidFill>
              <a:ln>
                <a:solidFill>
                  <a:srgbClr val="FFFFFF"/>
                </a:solidFill>
              </a:ln>
              <a:effectLst/>
            </c:spPr>
          </c:dPt>
          <c:dPt>
            <c:idx val="4"/>
            <c:bubble3D val="0"/>
            <c:spPr>
              <a:solidFill>
                <a:srgbClr val="4BACC6"/>
              </a:solidFill>
              <a:ln>
                <a:solidFill>
                  <a:srgbClr val="FFFFFF"/>
                </a:solidFill>
              </a:ln>
              <a:effectLst/>
            </c:spPr>
          </c:dPt>
          <c:dPt>
            <c:idx val="5"/>
            <c:bubble3D val="0"/>
            <c:spPr>
              <a:solidFill>
                <a:srgbClr val="F79646"/>
              </a:solidFill>
              <a:ln>
                <a:solidFill>
                  <a:srgbClr val="FFFFFF"/>
                </a:solidFill>
              </a:ln>
              <a:effectLst/>
            </c:spPr>
          </c:dPt>
          <c:dPt>
            <c:idx val="6"/>
            <c:bubble3D val="0"/>
            <c:spPr>
              <a:solidFill>
                <a:srgbClr val="2C4D75">
                  <a:lumMod val="60000"/>
                </a:srgbClr>
              </a:solidFill>
              <a:ln>
                <a:solidFill>
                  <a:srgbClr val="FFFFFF"/>
                </a:solidFill>
              </a:ln>
              <a:effectLst/>
            </c:spPr>
          </c:dPt>
          <c:dPt>
            <c:idx val="7"/>
            <c:bubble3D val="0"/>
            <c:spPr>
              <a:solidFill>
                <a:srgbClr val="772C2A">
                  <a:lumMod val="60000"/>
                </a:srgbClr>
              </a:solidFill>
              <a:ln>
                <a:solidFill>
                  <a:srgbClr val="FFFFFF"/>
                </a:solidFill>
              </a:ln>
              <a:effectLst/>
            </c:spPr>
          </c:dPt>
          <c:dPt>
            <c:idx val="8"/>
            <c:bubble3D val="0"/>
            <c:spPr>
              <a:solidFill>
                <a:srgbClr val="5F7530">
                  <a:lumMod val="60000"/>
                </a:srgbClr>
              </a:solidFill>
              <a:ln>
                <a:solidFill>
                  <a:srgbClr val="FFFFFF"/>
                </a:solidFill>
              </a:ln>
              <a:effectLst/>
            </c:spPr>
          </c:dPt>
          <c:dPt>
            <c:idx val="9"/>
            <c:bubble3D val="0"/>
            <c:spPr>
              <a:solidFill>
                <a:srgbClr val="4D3B62">
                  <a:lumMod val="60000"/>
                </a:srgbClr>
              </a:solidFill>
              <a:ln>
                <a:solidFill>
                  <a:srgbClr val="FFFFFF"/>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lumMod val="75000"/>
                        <a:lumOff val="25000"/>
                      </a:srgb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[图形制作表格.xlsx]Sheet1!$E$9:$E$18</c:f>
              <c:strCache>
                <c:ptCount val="10"/>
                <c:pt idx="0">
                  <c:v>政策文件</c:v>
                </c:pt>
                <c:pt idx="1">
                  <c:v>财政信息</c:v>
                </c:pt>
                <c:pt idx="2">
                  <c:v>行政执法公示</c:v>
                </c:pt>
                <c:pt idx="3">
                  <c:v>基础建设</c:v>
                </c:pt>
                <c:pt idx="4">
                  <c:v>通知公告</c:v>
                </c:pt>
                <c:pt idx="5">
                  <c:v>组织管理</c:v>
                </c:pt>
                <c:pt idx="6">
                  <c:v>法治政府建设报告</c:v>
                </c:pt>
                <c:pt idx="7">
                  <c:v>镇街动态</c:v>
                </c:pt>
                <c:pt idx="8">
                  <c:v>政府信息公开指南</c:v>
                </c:pt>
                <c:pt idx="9">
                  <c:v>涉农领域补贴</c:v>
                </c:pt>
              </c:strCache>
            </c:strRef>
          </c:cat>
          <c:val>
            <c:numRef>
              <c:f>[图形制作表格.xlsx]Sheet1!$F$9:$F$18</c:f>
              <c:numCache>
                <c:formatCode>General</c:formatCode>
                <c:ptCount val="10"/>
                <c:pt idx="0">
                  <c:v>1</c:v>
                </c:pt>
                <c:pt idx="1">
                  <c:v>2</c:v>
                </c:pt>
                <c:pt idx="2">
                  <c:v>7</c:v>
                </c:pt>
                <c:pt idx="3">
                  <c:v>2</c:v>
                </c:pt>
                <c:pt idx="4">
                  <c:v>2</c:v>
                </c:pt>
                <c:pt idx="5">
                  <c:v>1</c:v>
                </c:pt>
                <c:pt idx="6">
                  <c:v>1</c:v>
                </c:pt>
                <c:pt idx="7">
                  <c:v>7</c:v>
                </c:pt>
                <c:pt idx="8">
                  <c:v>1</c:v>
                </c:pt>
                <c:pt idx="9">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forceAA="0"/>
        <a:lstStyle/>
        <a:p>
          <a:pPr>
            <a:defRPr lang="zh-CN" sz="900" b="0" i="0" u="none" strike="noStrike" kern="1200" baseline="0">
              <a:solidFill>
                <a:srgbClr val="404040">
                  <a:lumMod val="75000"/>
                  <a:lumOff val="25000"/>
                </a:srgb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legend>
    <c:plotVisOnly val="1"/>
    <c:dispBlanksAs val="gap"/>
    <c:showDLblsOverMax val="0"/>
    <c:extLst>
      <c:ext uri="{0b15fc19-7d7d-44ad-8c2d-2c3a37ce22c3}">
        <chartProps xmlns="https://web.wps.cn/et/2018/main" chartId="{ce6b2a5e-1a2c-4c97-a937-9c01d3dbf536}"/>
      </c:ext>
    </c:extLst>
  </c:chart>
  <c:spPr>
    <a:solidFill>
      <a:srgbClr val="FFFFFF"/>
    </a:solidFill>
    <a:ln w="9525" cap="flat" cmpd="sng" algn="ctr">
      <a:solidFill>
        <a:srgbClr val="808080">
          <a:lumMod val="50000"/>
          <a:lumOff val="50000"/>
          <a:alpha val="25000"/>
        </a:srgbClr>
      </a:solidFill>
      <a:round/>
    </a:ln>
    <a:effectLst/>
  </c:spPr>
  <c:txPr>
    <a:bodyPr/>
    <a:lstStyle/>
    <a:p>
      <a:pPr>
        <a:defRPr lang="zh-CN">
          <a:solidFill>
            <a:srgbClr val="404040">
              <a:lumMod val="75000"/>
              <a:lumOff val="25000"/>
            </a:srgb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10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rgbClr val="000000"/>
    </cs:fontRef>
    <cs:spPr>
      <a:ln>
        <a:solidFill>
          <a:srgbClr val="FFFFFF"/>
        </a:solidFill>
      </a:ln>
      <a:effectLst/>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E6E6E6">
            <a:lumMod val="902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404040">
        <a:lumMod val="75000"/>
        <a:lumOff val="25000"/>
      </a:srgbClr>
    </cs:fontRef>
    <cs:defRPr sz="1400" b="1" kern="120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rgbClr val="FFFFFF"/>
      </a:solidFill>
      <a:gradFill>
        <a:gsLst>
          <a:gs pos="0">
            <a:srgbClr val="FFFFFF">
              <a:lumOff val="17500"/>
            </a:srgbClr>
          </a:gs>
          <a:gs pos="100000">
            <a:srgbClr val="FFFFFF"/>
          </a:gs>
        </a:gsLst>
        <a:lin ang="2700000" scaled="0"/>
      </a:gradFill>
      <a:gradFill>
        <a:gsLst>
          <a:gs pos="0">
            <a:srgbClr val="FFFFFF">
              <a:hueOff val="-2520000"/>
            </a:srgbClr>
          </a:gs>
          <a:gs pos="100000">
            <a:srgbClr val="FFFFFF"/>
          </a:gs>
        </a:gsLst>
        <a:lin ang="2700000" scaled="0"/>
      </a:gradFill>
    </a:fillStyleLst>
    <a:lnStyleLst>
      <a:ln w="12700" cap="flat" cmpd="sng" algn="ctr">
        <a:solidFill>
          <a:srgbClr val="FFFFFF"/>
        </a:solidFill>
        <a:prstDash val="solid"/>
        <a:miter lim="800000"/>
      </a:ln>
      <a:ln w="12700" cap="flat" cmpd="sng" algn="ctr">
        <a:solidFill>
          <a:srgbClr val="FFFFFF"/>
        </a:solidFill>
        <a:prstDash val="solid"/>
        <a:miter lim="800000"/>
      </a:ln>
      <a:ln w="12700" cap="flat" cmpd="sng" algn="ctr">
        <a:gradFill>
          <a:gsLst>
            <a:gs pos="0">
              <a:srgbClr val="FFFFFF">
                <a:hueOff val="-4200000"/>
              </a:srgbClr>
            </a:gs>
            <a:gs pos="100000">
              <a:srgbClr val="FFFFFF"/>
            </a:gs>
          </a:gsLst>
          <a:lin ang="2700000" scaled="1"/>
        </a:gradFill>
        <a:prstDash val="solid"/>
        <a:miter lim="800000"/>
      </a:ln>
    </a:lnStyleLst>
    <a:effectStyleLst>
      <a:effectStyle>
        <a:effectLst>
          <a:outerShdw blurRad="101600" dist="50800" dir="5400000" algn="ctr" rotWithShape="0">
            <a:srgbClr val="FFFFFF">
              <a:alpha val="60000"/>
            </a:srgb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rgbClr val="FFFFFF"/>
      </a:solidFill>
      <a:solidFill>
        <a:srgbClr val="FFFFFF">
          <a:tint val="95000"/>
          <a:satMod val="170000"/>
        </a:srgbClr>
      </a:solidFill>
      <a:gradFill rotWithShape="1">
        <a:gsLst>
          <a:gs pos="0">
            <a:srgbClr val="FFFFFF">
              <a:tint val="93000"/>
              <a:satMod val="150000"/>
              <a:shade val="98000"/>
              <a:lumMod val="102000"/>
            </a:srgbClr>
          </a:gs>
          <a:gs pos="50000">
            <a:srgbClr val="FBFBFB">
              <a:tint val="98000"/>
              <a:satMod val="130000"/>
              <a:shade val="90000"/>
              <a:lumMod val="103000"/>
            </a:srgbClr>
          </a:gs>
          <a:gs pos="100000">
            <a:srgbClr val="D0D0D0">
              <a:shade val="63000"/>
              <a:satMod val="120000"/>
            </a:srgb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2896</Words>
  <Characters>3038</Characters>
  <Lines>0</Lines>
  <Paragraphs>0</Paragraphs>
  <TotalTime>21</TotalTime>
  <ScaleCrop>false</ScaleCrop>
  <LinksUpToDate>false</LinksUpToDate>
  <CharactersWithSpaces>3130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2022-01-11T09:11:00Z</dcterms:created>
  <dc:creator>user</dc:creator>
  <cp:lastModifiedBy>cookie</cp:lastModifiedBy>
  <dcterms:modified xsi:type="dcterms:W3CDTF">2026-01-20T02:43:10Z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657E7A4CB663C8A4E0A26969D6D0F26A_43</vt:lpwstr>
  </property>
  <property fmtid="{D5CDD505-2E9C-101B-9397-08002B2CF9AE}" pid="4" name="KSOTemplateDocerSaveRecord">
    <vt:lpwstr>eyJoZGlkIjoiYmFiYzI2MWM0NWFiMWQ2ODljYjk4YzY5MTQxZGNlN2IiLCJ1c2VySWQiOiI0MjIyMzUzNjYifQ==</vt:lpwstr>
  </property>
</Properties>
</file>