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D4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eastAsia="zh-CN"/>
        </w:rPr>
        <w:t>冠县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北馆陶镇人民政府2025年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</w:rPr>
        <w:t>政府信息公开工作年度报告</w:t>
      </w:r>
    </w:p>
    <w:p w14:paraId="23E44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报告根据《中华人民共和国政府信息公开条例》（以下简称《条例》）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《国务院办公厅政府信息与政务公开办公室关于印发&lt;中华人民共和国政府信息公开工作年度报告格式&gt;的通知》（国办公开办函〔2021〕30号）相关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要求编制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，全文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包括总体情况、主动公开政府信息情况、收到和处理政府信息公开申请情况、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因政府信息公开工作被申请行政复议和提起行政诉讼情况、政府信息公开工作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存在的主要问题及改进情况、其他需要报告的事项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等六个部分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bookmarkStart w:id="0" w:name="_Hlk67405801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本年度报告中所列数据统计期限从202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年1月1日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12月31日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。本年度报告电子版可从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冠县人民政府网站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（http://www.guanxian.gov.cn/）下载。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需进一步咨询了解相关信息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，请与冠县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北馆陶镇人民政府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地址：山东省聊城市冠县北馆陶镇东街村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；邮编：252524；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0635-5670000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箱: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gxbgtzbangongshi@lc.shandong.cn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）。</w:t>
      </w:r>
    </w:p>
    <w:p w14:paraId="313531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  <w:t>总体情况</w:t>
      </w:r>
    </w:p>
    <w:p w14:paraId="568E84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2025年，冠县北馆陶镇人民政府严格贯彻新修订《政府信息公开条例》，坚持以公开为常态、不公开为例外，恪守公正、公平、合法、便民原则，加大公开力度、提升公开实效，聚焦民生关切与履职重点及时公开政府信息，健全工作机制、严把审核关口，线上线下渠道联动，切实维护公众知情权、参与权与监督权，全年公开工作规范有序、零违规。</w:t>
      </w:r>
    </w:p>
    <w:p w14:paraId="68D976BF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CESI楷体-GB2312" w:hAnsi="CESI楷体-GB2312" w:eastAsia="CESI楷体-GB2312" w:cs="CESI楷体-GB2312"/>
          <w:b/>
          <w:bCs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</w:rPr>
        <w:t>主动公开</w:t>
      </w:r>
    </w:p>
    <w:p w14:paraId="158A23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2025年，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通过冠县人民政府网站主动公开发布政府信息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20条，主要包括行政执法总体情况、工业集聚区跟踪检测报告、部门决算等方面信息。</w:t>
      </w:r>
    </w:p>
    <w:p w14:paraId="5DD024B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  <w:t>（二）</w:t>
      </w: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</w:rPr>
        <w:t>依申请公开</w:t>
      </w:r>
    </w:p>
    <w:p w14:paraId="567CADFF">
      <w:pPr>
        <w:ind w:firstLine="640" w:firstLineChars="200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汉仪中等线简"/>
          <w:sz w:val="32"/>
          <w:szCs w:val="32"/>
          <w:lang w:eastAsia="zh-CN"/>
        </w:rPr>
        <w:t>202</w:t>
      </w:r>
      <w:r>
        <w:rPr>
          <w:rFonts w:hint="eastAsia" w:ascii="仿宋_GB2312" w:eastAsia="仿宋_GB2312" w:cs="汉仪中等线简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汉仪中等线简"/>
          <w:sz w:val="32"/>
          <w:szCs w:val="32"/>
          <w:lang w:eastAsia="zh-CN"/>
        </w:rPr>
        <w:t>，共受理政府信息公开申请</w:t>
      </w:r>
      <w:r>
        <w:rPr>
          <w:rFonts w:hint="eastAsia" w:ascii="仿宋_GB2312" w:eastAsia="仿宋_GB2312" w:cs="汉仪中等线简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汉仪中等线简"/>
          <w:sz w:val="32"/>
          <w:szCs w:val="32"/>
          <w:lang w:eastAsia="zh-CN"/>
        </w:rPr>
        <w:t>件。本年度答复政府信息公开申请</w:t>
      </w:r>
      <w:r>
        <w:rPr>
          <w:rFonts w:hint="eastAsia" w:ascii="仿宋_GB2312" w:eastAsia="仿宋_GB2312" w:cs="汉仪中等线简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汉仪中等线简"/>
          <w:sz w:val="32"/>
          <w:szCs w:val="32"/>
          <w:lang w:eastAsia="zh-CN"/>
        </w:rPr>
        <w:t>件。全年未发生因政府信息公开被行政复议、提起行政诉讼情况。</w:t>
      </w:r>
    </w:p>
    <w:p w14:paraId="0CBA5D4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  <w:t>（三）</w:t>
      </w: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</w:rPr>
        <w:t>政府信息管理</w:t>
      </w:r>
    </w:p>
    <w:p w14:paraId="52BB719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eastAsia="仿宋_GB2312" w:cs="汉仪中等线简"/>
          <w:sz w:val="32"/>
          <w:szCs w:val="32"/>
          <w:lang w:val="en-US" w:eastAsia="zh-CN"/>
        </w:rPr>
        <w:t>健全完善政府信息管理制度，建立健全动态调整机制，按需优化管理流程。规范推进信息集成发布，严格落实保密审查制度，精准推送各类信息，升级智能查询功能，强化信息管理与高效利用，全面提升政府信息管理规范化、精细化水平。</w:t>
      </w:r>
    </w:p>
    <w:p w14:paraId="7E09BDA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  <w:t>（</w:t>
      </w: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  <w:t>四）</w:t>
      </w: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  <w:t>政府信息公开平台建设</w:t>
      </w:r>
    </w:p>
    <w:p w14:paraId="53756D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推进政府信息公开平台标准化建设，夯实平台信息发布核心功能，确保权威信息及政策解读内容及时、全面、精准对外发布。在政务公开体验区配套设置政府公报阅览点与信息查询服务点，聚焦民政救助、医疗保险、养老保险、退役军人事务等民生重点领域，梳理政策受理条件、明晰办事流程，编制印发明白纸与宣传海报，持续拓宽信息公开渠道、提升公开实效，保障群众便捷查阅使用，推动政府信息推送实现精准化、便捷化、高效化。</w:t>
      </w:r>
    </w:p>
    <w:p w14:paraId="2FD20C93">
      <w:pPr>
        <w:pStyle w:val="2"/>
        <w:rPr>
          <w:rFonts w:hint="eastAsia"/>
        </w:rPr>
      </w:pPr>
    </w:p>
    <w:p w14:paraId="5E405D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both"/>
        <w:textAlignment w:val="auto"/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685665" cy="2962910"/>
            <wp:effectExtent l="0" t="0" r="8255" b="8890"/>
            <wp:docPr id="1" name="图片 1" descr="微信图片_20260115151622_59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115151622_591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566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bookmarkStart w:id="11" w:name="_GoBack"/>
      <w:bookmarkEnd w:id="11"/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  <w:t>（</w:t>
      </w: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val="en-US" w:eastAsia="zh-CN"/>
        </w:rPr>
        <w:t>五）</w:t>
      </w: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  <w:t>监督保障</w:t>
      </w:r>
    </w:p>
    <w:p w14:paraId="14E79D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健全政务公开工作监督指导体系，规范人员机构设置及调整，常态化开展业务培训提升履职能力，将工作纳入考核管理，主动接受社会评议，严格落实责任追究，全面筑牢政府信息公开工作落地保障。</w:t>
      </w:r>
    </w:p>
    <w:p w14:paraId="7CA63902">
      <w:pPr>
        <w:pStyle w:val="3"/>
        <w:numPr>
          <w:ilvl w:val="0"/>
          <w:numId w:val="1"/>
        </w:numPr>
        <w:spacing w:before="0" w:after="0" w:line="240" w:lineRule="auto"/>
        <w:ind w:left="0" w:leftChars="0" w:firstLine="640" w:firstLineChars="200"/>
        <w:rPr>
          <w:rFonts w:hint="eastAsi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</w:rPr>
        <w:t>主动公开政府信息情况</w:t>
      </w:r>
    </w:p>
    <w:p w14:paraId="33131EBD">
      <w:pPr>
        <w:rPr>
          <w:rFonts w:hint="eastAsia"/>
        </w:rPr>
      </w:pPr>
    </w:p>
    <w:tbl>
      <w:tblPr>
        <w:tblStyle w:val="5"/>
        <w:tblpPr w:leftFromText="180" w:rightFromText="180" w:vertAnchor="text" w:horzAnchor="page" w:tblpXSpec="center" w:tblpY="596"/>
        <w:tblOverlap w:val="never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0627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492A422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1222D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4E32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1A2C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D1DF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850F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7AA4A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3ED9B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D4401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90618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CABE4B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02DC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DAE04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01F3C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11338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8BC802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68DC3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BCE607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00B83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D394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766C6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6D088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E6EFE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C78ED17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6CDFD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26B3E40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7BA15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3B7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69529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62334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7F48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5C7D76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2DBCC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67D95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1227EF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9A50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0336CA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587F1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2C08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611C7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4FC13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BF4B9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55CBEC0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1EE8FA7A">
      <w:pPr>
        <w:numPr>
          <w:ilvl w:val="0"/>
          <w:numId w:val="0"/>
        </w:numPr>
        <w:rPr>
          <w:rFonts w:hint="eastAsia"/>
        </w:rPr>
      </w:pPr>
    </w:p>
    <w:p w14:paraId="4220824A">
      <w:pPr>
        <w:ind w:firstLine="640" w:firstLineChars="200"/>
        <w:jc w:val="left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三、</w:t>
      </w:r>
      <w:r>
        <w:rPr>
          <w:rFonts w:hint="eastAsia" w:ascii="CESI黑体-GB2312" w:hAnsi="CESI黑体-GB2312" w:eastAsia="CESI黑体-GB2312" w:cs="CESI黑体-GB2312"/>
          <w:sz w:val="32"/>
          <w:szCs w:val="32"/>
        </w:rPr>
        <w:t>收到和处理政府信息公开申请情况</w:t>
      </w:r>
    </w:p>
    <w:tbl>
      <w:tblPr>
        <w:tblStyle w:val="5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14:paraId="4A74E0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B13672A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38A0179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098FF372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42E49E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722079A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E72851E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53333668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4AD9328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62624E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EAEAFCB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3976DC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4EC2BA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D8C37FE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25EA55BB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77D3943D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97E4A08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0ED5950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6F4E96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467A579C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5FD1A368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7B36718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AE06F9F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1E9A0DB7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36AE2015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1ADF9B9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33412665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3F85E4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5D234BEB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73C37FE9"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39706C1"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9536FEB"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403A9E38"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6D2F4FCE"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D8AE96B"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5AA59606"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781414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29A6F01"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432279D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6A83D3A2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67CBC9C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36C404F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A8FCFEF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01B482E6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832578E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1AF30671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6F49B3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F34534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42DA9FE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1D31D974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BD4EFC2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3E12653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05303844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11A603CD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365FCA0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4486195E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B09A5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B46FB4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4CAC06E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16857CD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136823D6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0AB6398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CCCB888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561EFE7A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4483D9B6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1351436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33B32EA9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6BB88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5EAA2BD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2862749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61B8456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5220A700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7112927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DD33AFF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6424E637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4E6D3EB1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6555E8E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4EAF1AB7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5F4858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16C4BC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6DB1C90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87B9BEE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2F98DFB5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D0FE95C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AA8F228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17D63E66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648C1FA1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BB144CB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49E30F8C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893F9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4101F9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8B021C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98B22B5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65EC421E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38323F3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921190C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FD01DF2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38719A5B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5572705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2E455363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7E4872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41CBC7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381E87C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C624170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0BB08BF1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9D87815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5DA5376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649E0C56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6B19ECB3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595B270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1FC79CB8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4ABA59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778A5F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B3AAE9D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E79C47F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28F3B82A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F28DD3D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E2E722A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64B1FAD3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51E94EF8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19C8D28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28E1530F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37BAEB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10B1EB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CB385B3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3752202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6BCD60D1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AEC1A82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B22C9FD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49F09163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3D8F7019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F0CDBCA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0E681FF4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69A884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DD6608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FCD7395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68C83D9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5CB7C8D9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C7F7FF1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E2210A9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FB2AEAE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326282D0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8C03180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02220CAA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4F8C22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18D75D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4200E1C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C1CA6A1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759EDFDF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5013B9C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7667222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0FD8077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665DC44E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071FA3C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4907AD08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4B0F02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782E97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C9050F9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4090320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1EF2BFEA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30C470D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3748087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48398B8B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3F2E457F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BF1B80F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6206ACCF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46C371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859E8D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0D40E1C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7D8B179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18BF9D1F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68DF975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7FEC2B3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280B082C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5E300CF3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D9F24B2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3A890744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78710C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11D2F5D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00EE876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F30ABAE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110C82CF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EB1B648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2838575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06936D27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074B8D1A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54A40E6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77CB330D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367D0F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A60A02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BC533C3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CB84F11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5F0140DC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847393D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67BB77F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34864BBE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7E4C162B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115EC6D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1BA65D09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52E07B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F286B9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065D8D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2BA850D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77AFB54F"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7E7C126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7BA1B13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68974090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43FD80F1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A6C49FF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6039CA05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5614D9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A22135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2D5B3DE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AA5DCC1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06AFB8FE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1B4D8F7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2167AFE9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5D4007C7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76F4793A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E23976B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446EEB6A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1A4121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14A368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436808D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B189C43">
            <w:pPr>
              <w:widowControl/>
              <w:spacing w:line="3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5A93F4B8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C934358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55A86A6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3D2B6DE0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54E803C9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6C405CD5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52FE1DFF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15B96A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DAE375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DFD7389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 w14:paraId="2BFCE580"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1911E659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1FDF559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93FF1B8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4E379624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5FC10980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C554371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67AD3573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4BE64B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77A0A92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800CF7F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6E294986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2AD28316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2D55E9F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823483C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725F3580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33B75B36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B564A1A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5A06446C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68A31F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CDA01B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C035681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168DF813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0C0D377E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7A980F02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9233DE2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347AB558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2C92CF26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D97DBA3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0DF52980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0F5C6E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FC354B4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4CDE924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0ED6898B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0C97A1F5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5F73E8ED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4459F454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4D9F09C2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0C0C7E9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44DA11BD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 w14:paraId="28910A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5375A55E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noWrap w:val="0"/>
            <w:tcMar>
              <w:left w:w="108" w:type="dxa"/>
              <w:right w:w="108" w:type="dxa"/>
            </w:tcMar>
            <w:vAlign w:val="center"/>
          </w:tcPr>
          <w:p w14:paraId="5517E014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1AC57854"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34CF0ED6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noWrap w:val="0"/>
            <w:tcMar>
              <w:left w:w="108" w:type="dxa"/>
              <w:right w:w="108" w:type="dxa"/>
            </w:tcMar>
            <w:vAlign w:val="center"/>
          </w:tcPr>
          <w:p w14:paraId="17D820DE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noWrap w:val="0"/>
            <w:tcMar>
              <w:left w:w="108" w:type="dxa"/>
              <w:right w:w="108" w:type="dxa"/>
            </w:tcMar>
            <w:vAlign w:val="center"/>
          </w:tcPr>
          <w:p w14:paraId="4D23FF3E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noWrap w:val="0"/>
            <w:tcMar>
              <w:left w:w="108" w:type="dxa"/>
              <w:right w:w="108" w:type="dxa"/>
            </w:tcMar>
            <w:vAlign w:val="center"/>
          </w:tcPr>
          <w:p w14:paraId="43BD1DDA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noWrap w:val="0"/>
            <w:tcMar>
              <w:left w:w="108" w:type="dxa"/>
              <w:right w:w="108" w:type="dxa"/>
            </w:tcMar>
            <w:vAlign w:val="center"/>
          </w:tcPr>
          <w:p w14:paraId="5580C131"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 w14:paraId="3A5B560E">
      <w:pPr>
        <w:ind w:firstLine="640" w:firstLineChars="200"/>
        <w:jc w:val="left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四、</w:t>
      </w:r>
      <w:r>
        <w:rPr>
          <w:rFonts w:hint="eastAsia" w:ascii="CESI黑体-GB2312" w:hAnsi="CESI黑体-GB2312" w:eastAsia="CESI黑体-GB2312" w:cs="CESI黑体-GB2312"/>
          <w:sz w:val="32"/>
          <w:szCs w:val="32"/>
        </w:rPr>
        <w:t>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6A5FF7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9B8778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0CC2AD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4B4AF3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5892DA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2EA07654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3B61BB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3A517D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0F1BC3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38303D19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7107EA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125DBAB6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36DC2B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65B36E">
            <w:pPr>
              <w:widowControl/>
              <w:jc w:val="center"/>
              <w:rPr>
                <w:rFonts w:ascii="黑体" w:hAnsi="黑体" w:eastAsia="黑体"/>
              </w:rPr>
            </w:pPr>
            <w:bookmarkStart w:id="10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 w14:paraId="11A04F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744C88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CBE3D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0D0ECF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49141B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08259C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37C8D9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092219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2D3CD7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796DFA46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040826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716F1F31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963D9D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6469A7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F0F6F0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1D68E864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3D2BF0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59394C13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E98E6A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DEB020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4FE506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D8C539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CFF53E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AC3B8D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E6431B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86D943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9C9D88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719046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2B896E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A66DB5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42DDC5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6B6ED2">
            <w:pPr>
              <w:widowControl/>
              <w:spacing w:after="180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EAB763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86FB7B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433B27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AA23AF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40D514BF">
      <w:pPr>
        <w:pStyle w:val="3"/>
        <w:numPr>
          <w:ilvl w:val="0"/>
          <w:numId w:val="0"/>
        </w:numPr>
        <w:spacing w:before="0" w:after="0" w:line="240" w:lineRule="auto"/>
        <w:ind w:firstLine="640" w:firstLineChars="200"/>
        <w:rPr>
          <w:rFonts w:hint="eastAsia" w:ascii="CESI黑体-GB2312" w:hAnsi="CESI黑体-GB2312" w:eastAsia="CESI黑体-GB2312" w:cs="CESI黑体-GB2312"/>
          <w:b w:val="0"/>
          <w:bCs w:val="0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lang w:eastAsia="zh-CN"/>
        </w:rPr>
        <w:t>五、</w:t>
      </w:r>
      <w:r>
        <w:rPr>
          <w:rFonts w:hint="eastAsia" w:ascii="CESI黑体-GB2312" w:hAnsi="CESI黑体-GB2312" w:eastAsia="CESI黑体-GB2312" w:cs="CESI黑体-GB2312"/>
          <w:b w:val="0"/>
          <w:bCs w:val="0"/>
        </w:rPr>
        <w:t>存在的主要问题及改进情况</w:t>
      </w:r>
    </w:p>
    <w:p w14:paraId="70B924E9">
      <w:pPr>
        <w:pStyle w:val="2"/>
        <w:ind w:firstLine="643" w:firstLineChars="200"/>
        <w:outlineLvl w:val="9"/>
        <w:rPr>
          <w:rFonts w:hint="eastAsia" w:ascii="CESI楷体-GB2312" w:hAnsi="CESI楷体-GB2312" w:eastAsia="CESI楷体-GB2312" w:cs="CESI楷体-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ESI楷体-GB2312" w:hAnsi="CESI楷体-GB2312" w:eastAsia="CESI楷体-GB2312" w:cs="CESI楷体-GB2312"/>
          <w:b/>
          <w:bCs/>
          <w:kern w:val="2"/>
          <w:sz w:val="32"/>
          <w:szCs w:val="32"/>
          <w:lang w:val="en-US" w:eastAsia="zh-CN" w:bidi="ar-SA"/>
        </w:rPr>
        <w:t>（一）存在的主要问题</w:t>
      </w:r>
    </w:p>
    <w:p w14:paraId="1280AAEA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一是政府信息公开渠道单一，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过度依赖政府网站，政务新媒体、基层线下阵地利用不足，特殊群体获取信息不便。</w:t>
      </w:r>
    </w:p>
    <w:p w14:paraId="444F5CFD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二是政府信息公开发布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形式传统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以文字、静态图片为主，缺乏可视化载体，政策解读晦涩，群众理解难。​</w:t>
      </w:r>
    </w:p>
    <w:p w14:paraId="2B200582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三是政府信息公开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互动缺失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侧重 “政府供给”，民生细节公开不充分，无有效反馈闭环，群众诉求难回应。</w:t>
      </w:r>
    </w:p>
    <w:p w14:paraId="69106A39">
      <w:pPr>
        <w:pStyle w:val="2"/>
        <w:ind w:firstLine="643" w:firstLineChars="200"/>
        <w:rPr>
          <w:rFonts w:hint="eastAsia" w:ascii="CESI楷体-GB2312" w:hAnsi="CESI楷体-GB2312" w:eastAsia="CESI楷体-GB2312" w:cs="CESI楷体-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ESI楷体-GB2312" w:hAnsi="CESI楷体-GB2312" w:eastAsia="CESI楷体-GB2312" w:cs="CESI楷体-GB2312"/>
          <w:b/>
          <w:bCs/>
          <w:kern w:val="2"/>
          <w:sz w:val="32"/>
          <w:szCs w:val="32"/>
          <w:lang w:val="en-US" w:eastAsia="zh-CN" w:bidi="ar-SA"/>
        </w:rPr>
        <w:t>（二）改进情况</w:t>
      </w:r>
    </w:p>
    <w:p w14:paraId="20CE09C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420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是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拓宽公开渠道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 xml:space="preserve">优化政府网站核心功能，激活政务新媒体矩阵，建强基层线下阵地，为特殊群体提供上门讲解、语音播报等专属服务，打通信息公开最后一公里。 </w:t>
      </w:r>
    </w:p>
    <w:p w14:paraId="5439183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420"/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是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 xml:space="preserve">创新发布形式突破文字、静态图局限，多用图解、短视频等可视化载体，政策解读通俗化、场景化，配套问答手册与宣讲直播，让群众看得懂、能领会。 </w:t>
      </w:r>
    </w:p>
    <w:p w14:paraId="11AC516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420"/>
        <w:rPr>
          <w:rFonts w:ascii="仿宋_GB2312" w:eastAsia="仿宋_GB2312"/>
          <w:sz w:val="32"/>
          <w:szCs w:val="32"/>
          <w:u w:val="none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是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健全互动闭环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从单向供给转向供需对接，细化民生领域公开颗粒度，搭建互动平台，明确反馈时限与责任主体，形成“公开—咨询—回应—改进”全链条，保障诉求有回音。</w:t>
      </w:r>
    </w:p>
    <w:p w14:paraId="3B12751C">
      <w:pPr>
        <w:pStyle w:val="3"/>
        <w:numPr>
          <w:ilvl w:val="0"/>
          <w:numId w:val="0"/>
        </w:numPr>
        <w:spacing w:before="0" w:after="0" w:line="240" w:lineRule="auto"/>
        <w:ind w:firstLine="640" w:firstLineChars="200"/>
        <w:rPr>
          <w:rFonts w:hint="eastAsia" w:ascii="CESI黑体-GB2312" w:hAnsi="CESI黑体-GB2312" w:eastAsia="CESI黑体-GB2312" w:cs="CESI黑体-GB2312"/>
          <w:b w:val="0"/>
          <w:bCs w:val="0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lang w:eastAsia="zh-CN"/>
        </w:rPr>
        <w:t>六、</w:t>
      </w:r>
      <w:r>
        <w:rPr>
          <w:rFonts w:hint="eastAsia" w:ascii="CESI黑体-GB2312" w:hAnsi="CESI黑体-GB2312" w:eastAsia="CESI黑体-GB2312" w:cs="CESI黑体-GB2312"/>
          <w:b w:val="0"/>
          <w:bCs w:val="0"/>
        </w:rPr>
        <w:t>其他需要报告的事项</w:t>
      </w:r>
    </w:p>
    <w:p w14:paraId="1E065EBD">
      <w:pPr>
        <w:ind w:firstLine="643" w:firstLineChars="200"/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  <w:t>（一）政府信息公开信息处理费收取情况</w:t>
      </w:r>
    </w:p>
    <w:p w14:paraId="09DA039F">
      <w:pPr>
        <w:ind w:firstLine="640" w:firstLineChars="200"/>
        <w:rPr>
          <w:rFonts w:hint="eastAsia" w:ascii="仿宋_GB2312" w:hAnsi="文星仿宋" w:eastAsia="仿宋_GB2312"/>
          <w:sz w:val="32"/>
          <w:szCs w:val="32"/>
          <w:lang w:eastAsia="zh-CN"/>
        </w:rPr>
      </w:pPr>
      <w:r>
        <w:rPr>
          <w:rFonts w:hint="eastAsia" w:ascii="仿宋_GB2312" w:hAnsi="文星仿宋" w:eastAsia="仿宋_GB2312"/>
          <w:sz w:val="32"/>
          <w:szCs w:val="32"/>
          <w:lang w:eastAsia="zh-CN"/>
        </w:rPr>
        <w:t>严格遵照《国务院办公厅关于印发&lt;政府信息公开信息处理费管理办法&gt;的通知》（国办函〔2020〕109号）及山东省人民政府办公厅《关于做好政府信息公开信息处理费管理工作有关事项的通知》（鲁政办字〔2020〕179号）相关要求执行，本年度政府信息公开工作中未产生信息处理费相关收取事项。</w:t>
      </w:r>
    </w:p>
    <w:p w14:paraId="16D63D0B">
      <w:pPr>
        <w:ind w:firstLine="643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  <w:t>（二）落实年度政务公开工作要点情况</w:t>
      </w:r>
    </w:p>
    <w:p w14:paraId="28045776">
      <w:pPr>
        <w:ind w:firstLine="640" w:firstLineChars="200"/>
        <w:rPr>
          <w:rFonts w:hint="eastAsia" w:ascii="仿宋_GB2312" w:hAnsi="文星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文星仿宋" w:eastAsia="仿宋_GB2312"/>
          <w:sz w:val="32"/>
          <w:szCs w:val="32"/>
          <w:lang w:val="en-US" w:eastAsia="zh-CN"/>
        </w:rPr>
        <w:t>严格落实《冠县人民政府办公室关于2025年政务公开重点工作任务分工的通知》要求，将方案明确的工作任务细化分解至各责任办公室，依规及时、精准、高质量完成职责内信息公开，保障政府信息常态化规范公开。</w:t>
      </w:r>
    </w:p>
    <w:p w14:paraId="48DE0CC6">
      <w:pPr>
        <w:ind w:firstLine="643" w:firstLineChars="200"/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  <w:t>（三）人大代表建议和政协提案办理结果公开情况</w:t>
      </w:r>
    </w:p>
    <w:p w14:paraId="58FCB858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2025年本机关未收到人大代表建议和政协提案。</w:t>
      </w:r>
    </w:p>
    <w:p w14:paraId="3B0FEE2A">
      <w:pPr>
        <w:ind w:firstLine="643" w:firstLineChars="200"/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  <w:t>（四）政务公开工作创新情况</w:t>
      </w:r>
    </w:p>
    <w:p w14:paraId="4236A261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2025年9月22日上午，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北馆陶镇人民政府以“公开聊亮·政开冠靓”为主题，精心组织“政府开放日”活动。</w:t>
      </w:r>
      <w:r>
        <w:rPr>
          <w:rFonts w:hint="eastAsia" w:ascii="仿宋_GB2312" w:eastAsia="仿宋_GB2312"/>
          <w:sz w:val="32"/>
          <w:szCs w:val="32"/>
          <w:lang w:eastAsia="zh-CN"/>
        </w:rPr>
        <w:t>邀请镇人大代表、政协委员、群众代表等10余人走进镇便民服务中心，通过沉浸式体验与深度交流，全面展示政务服务创新成果，广泛吸纳社情民意。</w:t>
      </w:r>
    </w:p>
    <w:p w14:paraId="3226EDEF">
      <w:pPr>
        <w:ind w:firstLine="640" w:firstLineChars="200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代表们先后实地察看“民政服务窗口”“退役军人服务窗口”“人才就业窗口”“养老保险窗口”“医疗保障窗口”“计生窗口”，并在政务公开体验区驻足体验——通过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翻阅实物公开资料、操作电子化查询平台，亲身感受政务信息公开的便捷性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201B9A56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镇便民服务中心负责同志向代表们系统介绍了中心创新推出的“业务联办”“帮办代办”等特色服务模式，深入讲解各项举措如何简化办事流程、提升服务效率。</w:t>
      </w:r>
    </w:p>
    <w:p w14:paraId="294EC57C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代表们对便民服务中心的工作给予高度评价与充分肯定，同时围绕法律援助覆盖面拓展、耕地保护政策落地、“互联网+政务服务”功能优化、老年人及特殊群体诉求保障等关键问题积极建言献策。针对代表们提出的疑问，中心负责同志逐一耐心解答，对建设性意见建议详细记录、分类梳理，明确将其纳入后续工作改进清单。</w:t>
      </w:r>
    </w:p>
    <w:p w14:paraId="30DC99BC">
      <w:pPr>
        <w:ind w:firstLine="643" w:firstLineChars="200"/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</w:pPr>
      <w:r>
        <w:rPr>
          <w:rFonts w:hint="eastAsia" w:ascii="CESI楷体-GB2312" w:hAnsi="CESI楷体-GB2312" w:eastAsia="CESI楷体-GB2312" w:cs="CESI楷体-GB2312"/>
          <w:b/>
          <w:bCs/>
          <w:sz w:val="32"/>
          <w:szCs w:val="32"/>
          <w:lang w:eastAsia="zh-CN"/>
        </w:rPr>
        <w:t>（五）政府信息公开年度报告数据统计需要说明的事项</w:t>
      </w:r>
    </w:p>
    <w:p w14:paraId="1880DCF6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本年度报告中所列数据统计期限从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2025年1月1日到12月31日止。</w:t>
      </w:r>
    </w:p>
    <w:p w14:paraId="1F96D799">
      <w:pPr>
        <w:pStyle w:val="4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hAnsi="Times New Roman" w:eastAsia="仿宋_GB2312" w:cs="仿宋_GB2312"/>
          <w:sz w:val="32"/>
          <w:szCs w:val="32"/>
          <w:shd w:val="clear" w:color="auto" w:fill="FFFFFF"/>
        </w:rPr>
        <w:t>2</w:t>
      </w:r>
      <w:r>
        <w:rPr>
          <w:rFonts w:hint="eastAsia" w:ascii="仿宋_GB2312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Times New Roman" w:eastAsia="仿宋_GB2312" w:cs="仿宋_GB2312"/>
          <w:sz w:val="32"/>
          <w:szCs w:val="32"/>
          <w:shd w:val="clear" w:color="auto" w:fill="FFFFFF"/>
        </w:rPr>
        <w:t>行政许可数量、行政处罚和行政强制数量，包括已公开和依法未公开的全部处理决定。</w:t>
      </w:r>
    </w:p>
    <w:p w14:paraId="7649F9DF">
      <w:pPr>
        <w:pStyle w:val="4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仿宋_GB2312" w:hAnsi="Times New Roman" w:eastAsia="仿宋_GB2312"/>
          <w:sz w:val="32"/>
          <w:szCs w:val="32"/>
          <w:shd w:val="clear" w:color="auto" w:fill="FFFFFF"/>
        </w:rPr>
      </w:pPr>
      <w:r>
        <w:rPr>
          <w:rFonts w:ascii="仿宋_GB2312" w:hAnsi="Times New Roman" w:eastAsia="仿宋_GB2312" w:cs="仿宋_GB2312"/>
          <w:sz w:val="32"/>
          <w:szCs w:val="32"/>
          <w:shd w:val="clear" w:color="auto" w:fill="FFFFFF"/>
        </w:rPr>
        <w:t>3</w:t>
      </w:r>
      <w:r>
        <w:rPr>
          <w:rFonts w:hint="eastAsia" w:ascii="仿宋_GB2312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Times New Roman" w:eastAsia="仿宋_GB2312" w:cs="仿宋_GB2312"/>
          <w:sz w:val="32"/>
          <w:szCs w:val="32"/>
          <w:shd w:val="clear" w:color="auto" w:fill="FFFFFF"/>
        </w:rPr>
        <w:t>行政复议机关作为共同被告的行政诉讼案件，只计算原行为主体的案件数量，不计算行政复议机关的案件数量。</w:t>
      </w:r>
    </w:p>
    <w:p w14:paraId="36783D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CESI楷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汉仪中等线简">
    <w:altName w:val="宋体"/>
    <w:panose1 w:val="02010600000101010101"/>
    <w:charset w:val="86"/>
    <w:family w:val="modern"/>
    <w:pitch w:val="default"/>
    <w:sig w:usb0="00000000" w:usb1="00000000" w:usb2="00000002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CCC005"/>
    <w:multiLevelType w:val="singleLevel"/>
    <w:tmpl w:val="6DCCC00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1479142"/>
    <w:multiLevelType w:val="singleLevel"/>
    <w:tmpl w:val="7147914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A6A21"/>
    <w:rsid w:val="157D4405"/>
    <w:rsid w:val="21C952FB"/>
    <w:rsid w:val="24A71740"/>
    <w:rsid w:val="352F7C5E"/>
    <w:rsid w:val="39A977C5"/>
    <w:rsid w:val="3FEB63ED"/>
    <w:rsid w:val="4D153868"/>
    <w:rsid w:val="5183392D"/>
    <w:rsid w:val="562C1C22"/>
    <w:rsid w:val="59907C63"/>
    <w:rsid w:val="5A1E62FF"/>
    <w:rsid w:val="63450D7A"/>
    <w:rsid w:val="6BD6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3236</Words>
  <Characters>3379</Characters>
  <Lines>0</Lines>
  <Paragraphs>0</Paragraphs>
  <TotalTime>4385</TotalTime>
  <ScaleCrop>false</ScaleCrop>
  <LinksUpToDate>false</LinksUpToDate>
  <CharactersWithSpaces>3386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2026-01-13T01:44:00Z</dcterms:created>
  <dc:creator>Administrator</dc:creator>
  <cp:lastModifiedBy></cp:lastModifiedBy>
  <dcterms:modified xsi:type="dcterms:W3CDTF">2026-01-20T03:36:24Z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eyJoZGlkIjoiZTA0MGE1YjhhNmYyMzdjN2M4MWVmNDMzN2IwMTA4MjAiLCJ1c2VySWQiOiI0NDYzNDM2MzYifQ==</vt:lpwstr>
  </property>
  <property fmtid="{D5CDD505-2E9C-101B-9397-08002B2CF9AE}" pid="4" name="ICV">
    <vt:lpwstr>C7C5F781859244649051CF6DB8DB5972_12</vt:lpwstr>
  </property>
</Properties>
</file>