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F028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CESI小标宋-GB2312" w:hAnsi="CESI小标宋-GB2312" w:eastAsia="CESI小标宋-GB2312" w:cs="CESI小标宋-GB2312"/>
          <w:sz w:val="44"/>
          <w:szCs w:val="44"/>
          <w:lang w:val="en-US" w:eastAsia="zh-CN"/>
        </w:rPr>
      </w:pPr>
      <w:r>
        <w:rPr>
          <w:rFonts w:hint="eastAsia" w:ascii="CESI小标宋-GB2312" w:hAnsi="CESI小标宋-GB2312" w:eastAsia="CESI小标宋-GB2312" w:cs="CESI小标宋-GB2312"/>
          <w:sz w:val="44"/>
          <w:szCs w:val="44"/>
          <w:lang w:eastAsia="zh-CN"/>
        </w:rPr>
        <w:t>冠县</w:t>
      </w:r>
      <w:r>
        <w:rPr>
          <w:rFonts w:hint="eastAsia" w:ascii="CESI小标宋-GB2312" w:hAnsi="CESI小标宋-GB2312" w:eastAsia="CESI小标宋-GB2312" w:cs="CESI小标宋-GB2312"/>
          <w:sz w:val="44"/>
          <w:szCs w:val="44"/>
          <w:lang w:val="en-US" w:eastAsia="zh-CN"/>
        </w:rPr>
        <w:t>经济开发区管委会</w:t>
      </w:r>
    </w:p>
    <w:p w14:paraId="68C1EA4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CESI小标宋-GB2312" w:hAnsi="CESI小标宋-GB2312" w:eastAsia="CESI小标宋-GB2312" w:cs="CESI小标宋-GB2312"/>
          <w:sz w:val="44"/>
          <w:szCs w:val="44"/>
        </w:rPr>
      </w:pPr>
      <w:r>
        <w:rPr>
          <w:rFonts w:hint="eastAsia" w:ascii="CESI小标宋-GB2312" w:hAnsi="CESI小标宋-GB2312" w:eastAsia="CESI小标宋-GB2312" w:cs="CESI小标宋-GB2312"/>
          <w:sz w:val="44"/>
          <w:szCs w:val="44"/>
          <w:lang w:val="en-US" w:eastAsia="zh-CN"/>
        </w:rPr>
        <w:t>2025年</w:t>
      </w:r>
      <w:r>
        <w:rPr>
          <w:rFonts w:hint="eastAsia" w:ascii="CESI小标宋-GB2312" w:hAnsi="CESI小标宋-GB2312" w:eastAsia="CESI小标宋-GB2312" w:cs="CESI小标宋-GB2312"/>
          <w:sz w:val="44"/>
          <w:szCs w:val="44"/>
        </w:rPr>
        <w:t>政府信息公开工作年度报告</w:t>
      </w:r>
    </w:p>
    <w:p w14:paraId="6E5CF5F9">
      <w:pPr>
        <w:pStyle w:val="2"/>
        <w:rPr>
          <w:rFonts w:hint="eastAsia"/>
        </w:rPr>
      </w:pPr>
    </w:p>
    <w:p w14:paraId="089026E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w:t>
      </w:r>
      <w:r>
        <w:rPr>
          <w:rFonts w:hint="eastAsia" w:ascii="仿宋_GB2312" w:hAnsi="仿宋_GB2312" w:eastAsia="仿宋_GB2312" w:cs="仿宋_GB2312"/>
          <w:sz w:val="32"/>
          <w:szCs w:val="32"/>
          <w:lang w:eastAsia="zh-CN"/>
        </w:rPr>
        <w:t>〉的通知》</w:t>
      </w:r>
      <w:r>
        <w:rPr>
          <w:rFonts w:hint="eastAsia" w:ascii="仿宋_GB2312" w:hAnsi="仿宋_GB2312" w:eastAsia="仿宋_GB2312" w:cs="仿宋_GB2312"/>
          <w:sz w:val="32"/>
          <w:szCs w:val="32"/>
        </w:rPr>
        <w:t>（国办公开办函〔2021〕30号）相关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w:t>
      </w:r>
      <w:bookmarkStart w:id="0" w:name="_Hlk67405801"/>
      <w:r>
        <w:rPr>
          <w:rFonts w:hint="eastAsia" w:ascii="仿宋_GB2312" w:hAnsi="仿宋_GB2312" w:eastAsia="仿宋_GB2312" w:cs="仿宋_GB2312"/>
          <w:color w:val="auto"/>
          <w:sz w:val="32"/>
          <w:szCs w:val="32"/>
        </w:rPr>
        <w:t>本年度报告中所列数据统计期限从202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年1月1日</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12月31日</w:t>
      </w:r>
      <w:bookmarkEnd w:id="0"/>
      <w:r>
        <w:rPr>
          <w:rFonts w:hint="eastAsia" w:ascii="仿宋_GB2312" w:hAnsi="仿宋_GB2312" w:eastAsia="仿宋_GB2312" w:cs="仿宋_GB2312"/>
          <w:color w:val="auto"/>
          <w:sz w:val="32"/>
          <w:szCs w:val="32"/>
        </w:rPr>
        <w:t>。本年度报告电子版可从</w:t>
      </w:r>
      <w:r>
        <w:rPr>
          <w:rFonts w:hint="eastAsia" w:ascii="仿宋_GB2312" w:hAnsi="仿宋_GB2312" w:eastAsia="仿宋_GB2312" w:cs="仿宋_GB2312"/>
          <w:color w:val="auto"/>
          <w:sz w:val="32"/>
          <w:szCs w:val="32"/>
          <w:lang w:eastAsia="zh-CN"/>
        </w:rPr>
        <w:t>冠县人民政府网站</w:t>
      </w:r>
      <w:r>
        <w:rPr>
          <w:rFonts w:hint="eastAsia" w:ascii="仿宋_GB2312" w:hAnsi="仿宋_GB2312" w:eastAsia="仿宋_GB2312" w:cs="仿宋_GB2312"/>
          <w:color w:val="auto"/>
          <w:sz w:val="32"/>
          <w:szCs w:val="32"/>
        </w:rPr>
        <w:t>（http://www.guanxian.gov.cn</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下载。</w:t>
      </w:r>
      <w:r>
        <w:rPr>
          <w:rFonts w:hint="eastAsia" w:ascii="仿宋_GB2312" w:hAnsi="仿宋_GB2312" w:eastAsia="仿宋_GB2312" w:cs="仿宋_GB2312"/>
          <w:color w:val="auto"/>
          <w:sz w:val="32"/>
          <w:szCs w:val="32"/>
          <w:lang w:eastAsia="zh-CN"/>
        </w:rPr>
        <w:t>公众</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需进一步咨询了解相关信息</w:t>
      </w:r>
      <w:r>
        <w:rPr>
          <w:rFonts w:hint="eastAsia" w:ascii="仿宋_GB2312" w:hAnsi="仿宋_GB2312" w:eastAsia="仿宋_GB2312" w:cs="仿宋_GB2312"/>
          <w:color w:val="auto"/>
          <w:sz w:val="32"/>
          <w:szCs w:val="32"/>
        </w:rPr>
        <w:t>，请与冠县</w:t>
      </w:r>
      <w:r>
        <w:rPr>
          <w:rFonts w:hint="eastAsia" w:ascii="仿宋_GB2312" w:hAnsi="仿宋_GB2312" w:eastAsia="仿宋_GB2312" w:cs="仿宋_GB2312"/>
          <w:color w:val="auto"/>
          <w:sz w:val="32"/>
          <w:szCs w:val="32"/>
          <w:lang w:val="en-US" w:eastAsia="zh-CN"/>
        </w:rPr>
        <w:t>经济开发区管委会</w:t>
      </w:r>
      <w:r>
        <w:rPr>
          <w:rFonts w:hint="eastAsia" w:ascii="仿宋_GB2312" w:hAnsi="仿宋_GB2312" w:eastAsia="仿宋_GB2312" w:cs="仿宋_GB2312"/>
          <w:color w:val="auto"/>
          <w:sz w:val="32"/>
          <w:szCs w:val="32"/>
        </w:rPr>
        <w:t>联系（地址：山东省聊城市冠县武训大道123</w:t>
      </w:r>
      <w:r>
        <w:rPr>
          <w:rFonts w:hint="eastAsia" w:ascii="仿宋_GB2312" w:hAnsi="仿宋_GB2312" w:eastAsia="仿宋_GB2312" w:cs="仿宋_GB2312"/>
          <w:color w:val="auto"/>
          <w:sz w:val="32"/>
          <w:szCs w:val="32"/>
          <w:lang w:val="en-US" w:eastAsia="zh-CN"/>
        </w:rPr>
        <w:t>号；邮编：252500；</w:t>
      </w:r>
      <w:r>
        <w:rPr>
          <w:rFonts w:hint="eastAsia" w:ascii="仿宋_GB2312" w:hAnsi="仿宋_GB2312" w:eastAsia="仿宋_GB2312" w:cs="仿宋_GB2312"/>
          <w:color w:val="auto"/>
          <w:sz w:val="32"/>
          <w:szCs w:val="32"/>
        </w:rPr>
        <w:t>电话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0635-7125000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邮箱</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gxjjkfqbgs</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lc.</w:t>
      </w:r>
      <w:r>
        <w:rPr>
          <w:rFonts w:hint="eastAsia" w:ascii="仿宋_GB2312" w:hAnsi="仿宋_GB2312" w:eastAsia="仿宋_GB2312" w:cs="仿宋_GB2312"/>
          <w:color w:val="auto"/>
          <w:sz w:val="32"/>
          <w:szCs w:val="32"/>
        </w:rPr>
        <w:t>shandong.cn）。</w:t>
      </w:r>
    </w:p>
    <w:p w14:paraId="372AE28E">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eastAsia" w:ascii="CESI黑体-GB2312" w:hAnsi="CESI黑体-GB2312" w:eastAsia="CESI黑体-GB2312" w:cs="CESI黑体-GB2312"/>
          <w:b w:val="0"/>
          <w:bCs w:val="0"/>
          <w:sz w:val="32"/>
          <w:szCs w:val="32"/>
        </w:rPr>
      </w:pPr>
      <w:r>
        <w:rPr>
          <w:rFonts w:hint="eastAsia" w:ascii="CESI黑体-GB2312" w:hAnsi="CESI黑体-GB2312" w:eastAsia="CESI黑体-GB2312" w:cs="CESI黑体-GB2312"/>
          <w:b w:val="0"/>
          <w:bCs w:val="0"/>
          <w:sz w:val="32"/>
          <w:szCs w:val="32"/>
        </w:rPr>
        <w:t>总体情况</w:t>
      </w:r>
    </w:p>
    <w:p w14:paraId="7C7B762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i w:val="0"/>
          <w:iCs w:val="0"/>
          <w:caps w:val="0"/>
          <w:color w:val="000000"/>
          <w:spacing w:val="0"/>
          <w:sz w:val="32"/>
          <w:szCs w:val="32"/>
        </w:rPr>
        <w:t>202</w:t>
      </w:r>
      <w:r>
        <w:rPr>
          <w:rFonts w:hint="eastAsia" w:ascii="仿宋_GB2312" w:hAnsi="仿宋_GB2312" w:eastAsia="仿宋_GB2312" w:cs="仿宋_GB2312"/>
          <w:b w:val="0"/>
          <w:bCs w:val="0"/>
          <w:i w:val="0"/>
          <w:iCs w:val="0"/>
          <w:caps w:val="0"/>
          <w:color w:val="000000"/>
          <w:spacing w:val="0"/>
          <w:sz w:val="32"/>
          <w:szCs w:val="32"/>
          <w:lang w:val="en-US" w:eastAsia="zh-CN"/>
        </w:rPr>
        <w:t>5</w:t>
      </w:r>
      <w:r>
        <w:rPr>
          <w:rFonts w:hint="eastAsia" w:ascii="仿宋_GB2312" w:hAnsi="仿宋_GB2312" w:eastAsia="仿宋_GB2312" w:cs="仿宋_GB2312"/>
          <w:b w:val="0"/>
          <w:bCs w:val="0"/>
          <w:i w:val="0"/>
          <w:iCs w:val="0"/>
          <w:caps w:val="0"/>
          <w:color w:val="000000"/>
          <w:spacing w:val="0"/>
          <w:sz w:val="32"/>
          <w:szCs w:val="32"/>
        </w:rPr>
        <w:t>年，</w:t>
      </w:r>
      <w:r>
        <w:rPr>
          <w:rFonts w:hint="eastAsia" w:ascii="仿宋_GB2312" w:hAnsi="仿宋_GB2312" w:eastAsia="仿宋_GB2312" w:cs="仿宋_GB2312"/>
          <w:b w:val="0"/>
          <w:bCs w:val="0"/>
          <w:color w:val="auto"/>
          <w:sz w:val="32"/>
          <w:szCs w:val="32"/>
        </w:rPr>
        <w:t>冠县</w:t>
      </w:r>
      <w:r>
        <w:rPr>
          <w:rFonts w:hint="eastAsia" w:ascii="仿宋_GB2312" w:hAnsi="仿宋_GB2312" w:eastAsia="仿宋_GB2312" w:cs="仿宋_GB2312"/>
          <w:b w:val="0"/>
          <w:bCs w:val="0"/>
          <w:color w:val="auto"/>
          <w:sz w:val="32"/>
          <w:szCs w:val="32"/>
          <w:lang w:val="en-US" w:eastAsia="zh-CN"/>
        </w:rPr>
        <w:t>经济开发区管委会深入落实省、市、</w:t>
      </w:r>
      <w:r>
        <w:rPr>
          <w:rFonts w:hint="eastAsia" w:ascii="仿宋_GB2312" w:hAnsi="仿宋_GB2312" w:eastAsia="仿宋_GB2312" w:cs="仿宋_GB2312"/>
          <w:color w:val="auto"/>
          <w:sz w:val="32"/>
          <w:szCs w:val="32"/>
          <w:lang w:val="en-US" w:eastAsia="zh-CN"/>
        </w:rPr>
        <w:t>县</w:t>
      </w:r>
      <w:r>
        <w:rPr>
          <w:rFonts w:hint="eastAsia" w:ascii="仿宋_GB2312" w:hAnsi="仿宋_GB2312" w:eastAsia="仿宋_GB2312" w:cs="仿宋_GB2312"/>
          <w:color w:val="auto"/>
          <w:sz w:val="32"/>
          <w:szCs w:val="32"/>
          <w:lang w:eastAsia="zh-CN"/>
        </w:rPr>
        <w:t>对于信息公开工作的安排部署，坚持“以公开为常态、不公开为例外”的原则，把落实信息公开工作作为推动</w:t>
      </w:r>
      <w:r>
        <w:rPr>
          <w:rFonts w:hint="eastAsia" w:ascii="仿宋_GB2312" w:hAnsi="仿宋_GB2312" w:eastAsia="仿宋_GB2312" w:cs="仿宋_GB2312"/>
          <w:color w:val="auto"/>
          <w:sz w:val="32"/>
          <w:szCs w:val="32"/>
          <w:lang w:val="en-US" w:eastAsia="zh-CN"/>
        </w:rPr>
        <w:t>开发区</w:t>
      </w:r>
      <w:r>
        <w:rPr>
          <w:rFonts w:hint="eastAsia" w:ascii="仿宋_GB2312" w:hAnsi="仿宋_GB2312" w:eastAsia="仿宋_GB2312" w:cs="仿宋_GB2312"/>
          <w:color w:val="auto"/>
          <w:sz w:val="32"/>
          <w:szCs w:val="32"/>
          <w:lang w:eastAsia="zh-CN"/>
        </w:rPr>
        <w:t>治理体系和治理能力现代化的重要举措。着力健全信息公开工作体制机制，继续完善和提升</w:t>
      </w:r>
      <w:r>
        <w:rPr>
          <w:rFonts w:hint="eastAsia" w:ascii="仿宋_GB2312" w:hAnsi="仿宋_GB2312" w:eastAsia="仿宋_GB2312" w:cs="仿宋_GB2312"/>
          <w:color w:val="auto"/>
          <w:sz w:val="32"/>
          <w:szCs w:val="32"/>
          <w:lang w:val="en-US" w:eastAsia="zh-CN"/>
        </w:rPr>
        <w:t>开发区</w:t>
      </w:r>
      <w:r>
        <w:rPr>
          <w:rFonts w:hint="eastAsia" w:ascii="仿宋_GB2312" w:hAnsi="仿宋_GB2312" w:eastAsia="仿宋_GB2312" w:cs="仿宋_GB2312"/>
          <w:color w:val="auto"/>
          <w:sz w:val="32"/>
          <w:szCs w:val="32"/>
          <w:lang w:eastAsia="zh-CN"/>
        </w:rPr>
        <w:t>信息公开工作的制度化、规范化、信息化水平，最大限度地保障社会公众的知情权、参与权和监督权。</w:t>
      </w:r>
    </w:p>
    <w:p w14:paraId="19D08304">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3" w:firstLineChars="200"/>
        <w:jc w:val="both"/>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主动公开</w:t>
      </w:r>
    </w:p>
    <w:p w14:paraId="15AF55F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仿宋_GB2312" w:hAnsi="仿宋_GB2312" w:eastAsia="仿宋_GB2312" w:cs="仿宋_GB2312"/>
          <w:b w:val="0"/>
          <w:bCs w:val="0"/>
          <w:i w:val="0"/>
          <w:iCs w:val="0"/>
          <w:caps w:val="0"/>
          <w:color w:val="000000"/>
          <w:spacing w:val="0"/>
          <w:sz w:val="32"/>
          <w:szCs w:val="32"/>
          <w:lang w:val="en-US" w:eastAsia="zh-CN"/>
        </w:rPr>
        <w:t>2025年，</w:t>
      </w:r>
      <w:r>
        <w:rPr>
          <w:rFonts w:hint="eastAsia" w:ascii="仿宋_GB2312" w:hAnsi="仿宋_GB2312" w:eastAsia="仿宋_GB2312" w:cs="仿宋_GB2312"/>
          <w:b w:val="0"/>
          <w:bCs w:val="0"/>
          <w:i w:val="0"/>
          <w:iCs w:val="0"/>
          <w:caps w:val="0"/>
          <w:color w:val="000000"/>
          <w:spacing w:val="0"/>
          <w:sz w:val="32"/>
          <w:szCs w:val="32"/>
          <w:lang w:eastAsia="zh-CN"/>
        </w:rPr>
        <w:t>通过冠县人民政府网站主动公开发布政府信息</w:t>
      </w:r>
      <w:r>
        <w:rPr>
          <w:rFonts w:hint="eastAsia" w:ascii="仿宋_GB2312" w:hAnsi="仿宋_GB2312" w:eastAsia="仿宋_GB2312" w:cs="仿宋_GB2312"/>
          <w:b w:val="0"/>
          <w:bCs w:val="0"/>
          <w:i w:val="0"/>
          <w:iCs w:val="0"/>
          <w:caps w:val="0"/>
          <w:color w:val="000000"/>
          <w:spacing w:val="0"/>
          <w:sz w:val="32"/>
          <w:szCs w:val="32"/>
          <w:lang w:val="en-US" w:eastAsia="zh-CN"/>
        </w:rPr>
        <w:t>9条，主要包括通知公告、财政预决算、部门工作等方面信息。</w:t>
      </w:r>
    </w:p>
    <w:p w14:paraId="515AF398">
      <w:pPr>
        <w:pStyle w:val="2"/>
        <w:rPr>
          <w:rFonts w:hint="eastAsia"/>
          <w:lang w:val="en-US" w:eastAsia="zh-CN"/>
        </w:rPr>
      </w:pPr>
      <w:r>
        <w:rPr>
          <w:rFonts w:hint="eastAsia"/>
          <w:lang w:val="en-US" w:eastAsia="zh-CN"/>
        </w:rPr>
        <w:drawing>
          <wp:inline distT="0" distB="0" distL="114300" distR="114300">
            <wp:extent cx="5270500" cy="3005455"/>
            <wp:effectExtent l="0" t="0" r="6350" b="4445"/>
            <wp:docPr id="1" name="图片 12" descr="f2615ef6-1c86-4883-b9ae-8bc00b74fd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f2615ef6-1c86-4883-b9ae-8bc00b74fd08"/>
                    <pic:cNvPicPr>
                      <a:picLocks noChangeAspect="1"/>
                    </pic:cNvPicPr>
                  </pic:nvPicPr>
                  <pic:blipFill>
                    <a:blip r:embed="rId5"/>
                    <a:stretch>
                      <a:fillRect/>
                    </a:stretch>
                  </pic:blipFill>
                  <pic:spPr>
                    <a:xfrm>
                      <a:off x="0" y="0"/>
                      <a:ext cx="5270500" cy="3005455"/>
                    </a:xfrm>
                    <a:prstGeom prst="rect">
                      <a:avLst/>
                    </a:prstGeom>
                    <a:noFill/>
                    <a:ln>
                      <a:noFill/>
                    </a:ln>
                  </pic:spPr>
                </pic:pic>
              </a:graphicData>
            </a:graphic>
          </wp:inline>
        </w:drawing>
      </w:r>
    </w:p>
    <w:p w14:paraId="3A175ADA">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w:t>
      </w:r>
      <w:r>
        <w:rPr>
          <w:rFonts w:hint="eastAsia" w:ascii="CESI楷体-GB2312" w:hAnsi="CESI楷体-GB2312" w:eastAsia="CESI楷体-GB2312" w:cs="CESI楷体-GB2312"/>
          <w:b/>
          <w:bCs/>
          <w:sz w:val="32"/>
          <w:szCs w:val="32"/>
        </w:rPr>
        <w:t>依申请公开</w:t>
      </w:r>
    </w:p>
    <w:p w14:paraId="4C864FC0">
      <w:pPr>
        <w:pageBreakBefore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CESI楷体-GB2312" w:hAnsi="CESI楷体-GB2312" w:eastAsia="CESI楷体-GB2312" w:cs="CESI楷体-GB2312"/>
          <w:b/>
          <w:bCs/>
          <w:sz w:val="32"/>
          <w:szCs w:val="32"/>
        </w:rPr>
      </w:pPr>
      <w:r>
        <w:rPr>
          <w:rFonts w:hint="eastAsia" w:ascii="仿宋_GB2312" w:eastAsia="仿宋_GB2312"/>
          <w:color w:val="auto"/>
          <w:sz w:val="32"/>
          <w:szCs w:val="32"/>
          <w:lang w:val="en-US" w:eastAsia="zh-CN"/>
        </w:rPr>
        <w:t>2025年，共受理政府信息公开申请0件。</w:t>
      </w:r>
      <w:r>
        <w:rPr>
          <w:rFonts w:hint="eastAsia" w:ascii="仿宋_GB2312" w:eastAsia="仿宋_GB2312" w:cs="汉仪中等线简"/>
          <w:sz w:val="32"/>
          <w:szCs w:val="32"/>
          <w:lang w:eastAsia="zh-CN"/>
        </w:rPr>
        <w:t>全年未发生因政府信息公开被行政复议、提起行政诉讼情况。</w:t>
      </w:r>
    </w:p>
    <w:p w14:paraId="70C5DC18">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lang w:val="en-US" w:eastAsia="zh-CN"/>
        </w:rPr>
        <w:t>（三）政府</w:t>
      </w:r>
      <w:r>
        <w:rPr>
          <w:rFonts w:hint="eastAsia" w:ascii="CESI楷体-GB2312" w:hAnsi="CESI楷体-GB2312" w:eastAsia="CESI楷体-GB2312" w:cs="CESI楷体-GB2312"/>
          <w:b/>
          <w:bCs/>
          <w:sz w:val="32"/>
          <w:szCs w:val="32"/>
        </w:rPr>
        <w:t>信息管理</w:t>
      </w:r>
    </w:p>
    <w:p w14:paraId="0F82FEED">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sz w:val="32"/>
          <w:szCs w:val="32"/>
        </w:rPr>
      </w:pPr>
      <w:r>
        <w:rPr>
          <w:rFonts w:ascii="仿宋_GB2312" w:hAnsi="宋体" w:eastAsia="仿宋_GB2312" w:cs="仿宋_GB2312"/>
          <w:kern w:val="0"/>
          <w:sz w:val="32"/>
          <w:szCs w:val="32"/>
          <w:lang w:val="en-US" w:eastAsia="zh-CN" w:bidi="ar"/>
        </w:rPr>
        <w:t>严</w:t>
      </w:r>
      <w:r>
        <w:rPr>
          <w:rFonts w:hint="eastAsia" w:ascii="仿宋_GB2312" w:hAnsi="宋体" w:eastAsia="仿宋_GB2312" w:cs="仿宋_GB2312"/>
          <w:kern w:val="0"/>
          <w:sz w:val="32"/>
          <w:szCs w:val="32"/>
          <w:lang w:val="en-US" w:eastAsia="zh-CN" w:bidi="ar"/>
        </w:rPr>
        <w:t>格执行信息发布审核制度，依法依规发布政府信息，坚决杜绝错敏信息，依托冠县人民政府官网，及时、高效、准确地开展政府信息公开工作。</w:t>
      </w:r>
    </w:p>
    <w:p w14:paraId="6CB88CA6">
      <w:pPr>
        <w:keepNext w:val="0"/>
        <w:keepLines w:val="0"/>
        <w:pageBreakBefore w:val="0"/>
        <w:numPr>
          <w:ilvl w:val="0"/>
          <w:numId w:val="3"/>
        </w:numPr>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政府信息公开平台建设</w:t>
      </w:r>
    </w:p>
    <w:p w14:paraId="5FF189A4">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宋体" w:eastAsia="仿宋_GB2312" w:cs="仿宋_GB2312"/>
          <w:kern w:val="0"/>
          <w:sz w:val="32"/>
          <w:szCs w:val="32"/>
          <w:lang w:val="en-US" w:eastAsia="zh-CN" w:bidi="ar"/>
        </w:rPr>
      </w:pPr>
      <w:r>
        <w:rPr>
          <w:rFonts w:ascii="仿宋_GB2312" w:hAnsi="宋体" w:eastAsia="仿宋_GB2312" w:cs="仿宋_GB2312"/>
          <w:kern w:val="0"/>
          <w:sz w:val="32"/>
          <w:szCs w:val="32"/>
          <w:lang w:val="en-US" w:eastAsia="zh-CN" w:bidi="ar"/>
        </w:rPr>
        <w:t>持续做好政府网站信息公开，强化重点领域内容的集中发布和动态更新，确保法定公开信息内容全面、及时、规范。</w:t>
      </w:r>
    </w:p>
    <w:p w14:paraId="0F5E33CA">
      <w:pPr>
        <w:keepNext w:val="0"/>
        <w:keepLines w:val="0"/>
        <w:pageBreakBefore w:val="0"/>
        <w:numPr>
          <w:ilvl w:val="0"/>
          <w:numId w:val="3"/>
        </w:numPr>
        <w:kinsoku/>
        <w:wordWrap/>
        <w:overflowPunct/>
        <w:topLinePunct w:val="0"/>
        <w:autoSpaceDE/>
        <w:autoSpaceDN/>
        <w:bidi w:val="0"/>
        <w:adjustRightInd/>
        <w:snapToGrid/>
        <w:spacing w:line="600" w:lineRule="exact"/>
        <w:ind w:left="0" w:leftChars="0" w:firstLine="643" w:firstLineChars="200"/>
        <w:jc w:val="both"/>
        <w:textAlignment w:val="auto"/>
        <w:outlineLvl w:val="9"/>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监督保障</w:t>
      </w:r>
    </w:p>
    <w:p w14:paraId="2B9F420D">
      <w:pPr>
        <w:pageBreakBefore w:val="0"/>
        <w:numPr>
          <w:ilvl w:val="0"/>
          <w:numId w:val="0"/>
        </w:numPr>
        <w:kinsoku/>
        <w:wordWrap/>
        <w:overflowPunct/>
        <w:topLinePunct w:val="0"/>
        <w:autoSpaceDE/>
        <w:autoSpaceDN/>
        <w:bidi w:val="0"/>
        <w:adjustRightInd/>
        <w:snapToGrid/>
        <w:spacing w:before="0" w:after="0" w:line="600" w:lineRule="exact"/>
        <w:ind w:firstLine="640" w:firstLineChars="200"/>
        <w:jc w:val="both"/>
        <w:textAlignment w:val="auto"/>
        <w:outlineLvl w:val="9"/>
        <w:rPr>
          <w:rFonts w:hint="eastAsia" w:ascii="仿宋_GB2312" w:hAnsi="宋体" w:eastAsia="仿宋_GB2312" w:cs="仿宋_GB2312"/>
          <w:kern w:val="0"/>
          <w:sz w:val="32"/>
          <w:szCs w:val="32"/>
          <w:lang w:val="en-US" w:eastAsia="zh-CN" w:bidi="ar"/>
        </w:rPr>
      </w:pPr>
      <w:r>
        <w:rPr>
          <w:rFonts w:ascii="仿宋_GB2312" w:hAnsi="宋体" w:eastAsia="仿宋_GB2312" w:cs="仿宋_GB2312"/>
          <w:kern w:val="0"/>
          <w:sz w:val="32"/>
          <w:szCs w:val="32"/>
          <w:lang w:val="en-US" w:eastAsia="zh-CN" w:bidi="ar"/>
        </w:rPr>
        <w:t>认真落实信息公开相关工作规定，依法履行政府信息公开职能，加强政务公开人员配备。</w:t>
      </w:r>
      <w:r>
        <w:rPr>
          <w:rFonts w:hint="eastAsia" w:ascii="仿宋_GB2312" w:hAnsi="宋体" w:eastAsia="仿宋_GB2312" w:cs="仿宋_GB2312"/>
          <w:kern w:val="0"/>
          <w:sz w:val="32"/>
          <w:szCs w:val="32"/>
          <w:lang w:val="en-US" w:eastAsia="zh-CN" w:bidi="ar"/>
        </w:rPr>
        <w:t>定期组织业务培训，内容涵盖政策法规、平台操作、网络安全、舆情应对等，不断提升工作人员的专业素养和业务能力。</w:t>
      </w:r>
    </w:p>
    <w:p w14:paraId="4D0CA769">
      <w:pPr>
        <w:pageBreakBefore w:val="0"/>
        <w:numPr>
          <w:ilvl w:val="0"/>
          <w:numId w:val="0"/>
        </w:numPr>
        <w:kinsoku/>
        <w:wordWrap/>
        <w:overflowPunct/>
        <w:topLinePunct w:val="0"/>
        <w:autoSpaceDE/>
        <w:autoSpaceDN/>
        <w:bidi w:val="0"/>
        <w:adjustRightInd/>
        <w:snapToGrid/>
        <w:spacing w:before="0" w:after="0" w:line="600" w:lineRule="exact"/>
        <w:ind w:firstLine="640" w:firstLineChars="200"/>
        <w:jc w:val="both"/>
        <w:textAlignment w:val="auto"/>
        <w:outlineLvl w:val="9"/>
        <w:rPr>
          <w:rFonts w:hint="eastAsia"/>
          <w:lang w:val="en-US" w:eastAsia="zh-CN"/>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主动公开政府信息情况</w:t>
      </w:r>
    </w:p>
    <w:tbl>
      <w:tblPr>
        <w:tblStyle w:val="6"/>
        <w:tblpPr w:leftFromText="180" w:rightFromText="180" w:vertAnchor="text" w:horzAnchor="page" w:tblpXSpec="center" w:tblpY="596"/>
        <w:tblOverlap w:val="never"/>
        <w:tblW w:w="5000" w:type="pct"/>
        <w:jc w:val="center"/>
        <w:tblLayout w:type="autofit"/>
        <w:tblCellMar>
          <w:top w:w="0" w:type="dxa"/>
          <w:left w:w="108" w:type="dxa"/>
          <w:bottom w:w="0" w:type="dxa"/>
          <w:right w:w="108" w:type="dxa"/>
        </w:tblCellMar>
      </w:tblPr>
      <w:tblGrid>
        <w:gridCol w:w="2130"/>
        <w:gridCol w:w="2130"/>
        <w:gridCol w:w="2131"/>
        <w:gridCol w:w="2131"/>
      </w:tblGrid>
      <w:tr w14:paraId="77C38DF2">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E138F1A">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0A0916B9">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1682177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2328DCC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2801D86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230919E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54B6BC9C">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4AA79F4C">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641C7A51">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6ECD841C">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6757FBD3">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3F4BBBD6">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732F6580">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032174A1">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847920D">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711882E8">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312D2F50">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B290E5D">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12969F3E">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12C0C15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4839902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526C56B2">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165E2CEF">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78A95BAF">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093D2EE9">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895BAC4">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4508758F">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30A9EA1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760FCD5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06EA6B99">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46B073D8">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10E1767D">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6F0F651A">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75AC280E">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19F8A918">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16BC6E22">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D76B110">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50DBB065">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4987D8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044CF09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3CF5606E">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4927F4A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6DFB4778">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bl>
    <w:p w14:paraId="1786B860">
      <w:pPr>
        <w:numPr>
          <w:ilvl w:val="0"/>
          <w:numId w:val="0"/>
        </w:numPr>
        <w:rPr>
          <w:rFonts w:hint="eastAsia"/>
        </w:rPr>
      </w:pPr>
    </w:p>
    <w:p w14:paraId="1B321D1E">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三、</w:t>
      </w:r>
      <w:r>
        <w:rPr>
          <w:rFonts w:hint="eastAsia" w:ascii="CESI黑体-GB2312" w:hAnsi="CESI黑体-GB2312" w:eastAsia="CESI黑体-GB2312" w:cs="CESI黑体-GB2312"/>
          <w:sz w:val="32"/>
          <w:szCs w:val="32"/>
        </w:rPr>
        <w:t>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0282EB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4FB08A46">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710DD82E">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14:paraId="42A5D3B0">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4ACA04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666DFBEF">
            <w:pPr>
              <w:jc w:val="center"/>
              <w:rPr>
                <w:rFonts w:ascii="仿宋_GB2312" w:hAnsi="Times New Roman" w:eastAsia="仿宋_GB2312"/>
                <w:szCs w:val="21"/>
              </w:rPr>
            </w:pPr>
          </w:p>
        </w:tc>
        <w:tc>
          <w:tcPr>
            <w:tcW w:w="829" w:type="dxa"/>
            <w:vMerge w:val="restart"/>
            <w:noWrap w:val="0"/>
            <w:tcMar>
              <w:left w:w="108" w:type="dxa"/>
              <w:right w:w="108" w:type="dxa"/>
            </w:tcMar>
            <w:vAlign w:val="center"/>
          </w:tcPr>
          <w:p w14:paraId="50976F99">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14:paraId="7E6B4CE1">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14:paraId="43179F24">
            <w:pPr>
              <w:widowControl/>
              <w:jc w:val="center"/>
              <w:rPr>
                <w:rFonts w:ascii="黑体" w:hAnsi="黑体" w:eastAsia="黑体"/>
                <w:szCs w:val="21"/>
              </w:rPr>
            </w:pPr>
            <w:r>
              <w:rPr>
                <w:rFonts w:hint="eastAsia" w:ascii="黑体" w:hAnsi="黑体" w:eastAsia="黑体"/>
                <w:kern w:val="0"/>
                <w:szCs w:val="21"/>
              </w:rPr>
              <w:t>总计</w:t>
            </w:r>
          </w:p>
        </w:tc>
      </w:tr>
      <w:tr w14:paraId="7B1919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027661DB">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14:paraId="36DBD44A">
            <w:pPr>
              <w:jc w:val="center"/>
              <w:rPr>
                <w:rFonts w:ascii="黑体" w:hAnsi="黑体" w:eastAsia="黑体"/>
                <w:szCs w:val="21"/>
              </w:rPr>
            </w:pPr>
          </w:p>
        </w:tc>
        <w:tc>
          <w:tcPr>
            <w:tcW w:w="567" w:type="dxa"/>
            <w:noWrap w:val="0"/>
            <w:tcMar>
              <w:left w:w="108" w:type="dxa"/>
              <w:right w:w="108" w:type="dxa"/>
            </w:tcMar>
            <w:vAlign w:val="center"/>
          </w:tcPr>
          <w:p w14:paraId="25014D44">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14:paraId="642F28EF">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14:paraId="23642FE5">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14:paraId="19665E6A">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14:paraId="7A0E41D1">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14:paraId="64F179BA">
            <w:pPr>
              <w:jc w:val="center"/>
              <w:rPr>
                <w:rFonts w:ascii="仿宋_GB2312" w:hAnsi="Times New Roman" w:eastAsia="仿宋_GB2312"/>
                <w:szCs w:val="21"/>
              </w:rPr>
            </w:pPr>
          </w:p>
        </w:tc>
      </w:tr>
      <w:tr w14:paraId="4E7CA8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4764F3A1">
            <w:pPr>
              <w:widowControl/>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829" w:type="dxa"/>
            <w:noWrap w:val="0"/>
            <w:tcMar>
              <w:left w:w="108" w:type="dxa"/>
              <w:right w:w="108" w:type="dxa"/>
            </w:tcMar>
            <w:vAlign w:val="center"/>
          </w:tcPr>
          <w:p w14:paraId="314001B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44CDDD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11AB194">
            <w:pPr>
              <w:widowControl/>
              <w:spacing w:after="180"/>
              <w:jc w:val="center"/>
              <w:rPr>
                <w:rFonts w:hint="eastAsia" w:ascii="仿宋_GB2312" w:hAnsi="Times New Roman" w:eastAsia="仿宋_GB2312"/>
                <w:szCs w:val="21"/>
                <w:lang w:eastAsia="zh-CN"/>
              </w:rPr>
            </w:pPr>
            <w:r>
              <w:rPr>
                <w:rFonts w:hint="eastAsia" w:ascii="仿宋_GB2312" w:hAnsi="Times New Roman" w:eastAsia="仿宋_GB2312"/>
                <w:szCs w:val="21"/>
                <w:lang w:eastAsia="zh-CN"/>
              </w:rPr>
              <w:t>0</w:t>
            </w:r>
          </w:p>
        </w:tc>
        <w:tc>
          <w:tcPr>
            <w:tcW w:w="731" w:type="dxa"/>
            <w:noWrap w:val="0"/>
            <w:tcMar>
              <w:left w:w="108" w:type="dxa"/>
              <w:right w:w="108" w:type="dxa"/>
            </w:tcMar>
            <w:vAlign w:val="center"/>
          </w:tcPr>
          <w:p w14:paraId="19D1732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B0C05A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03BD95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82CE81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9EFBF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613FC54C">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14:paraId="4F1E0038">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99C6D98">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2CF7842">
            <w:pPr>
              <w:widowControl/>
              <w:spacing w:after="180"/>
              <w:jc w:val="center"/>
              <w:rPr>
                <w:rFonts w:hint="eastAsia" w:ascii="仿宋_GB2312" w:hAnsi="Times New Roman" w:eastAsia="仿宋_GB2312"/>
                <w:szCs w:val="21"/>
                <w:lang w:val="en-US" w:eastAsia="zh-CN"/>
              </w:rPr>
            </w:pPr>
          </w:p>
        </w:tc>
        <w:tc>
          <w:tcPr>
            <w:tcW w:w="731" w:type="dxa"/>
            <w:noWrap w:val="0"/>
            <w:tcMar>
              <w:left w:w="108" w:type="dxa"/>
              <w:right w:w="108" w:type="dxa"/>
            </w:tcMar>
            <w:vAlign w:val="center"/>
          </w:tcPr>
          <w:p w14:paraId="0E35B85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257BA1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843840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EB8CC52">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A4470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24AD7385">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14:paraId="2567EDCF">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14:paraId="38977B1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59DC05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CD74D1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6FD5F7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57E171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BF60D1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501123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AED08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D4B27FD">
            <w:pPr>
              <w:rPr>
                <w:rFonts w:ascii="黑体" w:hAnsi="黑体" w:eastAsia="黑体"/>
                <w:szCs w:val="21"/>
              </w:rPr>
            </w:pPr>
          </w:p>
        </w:tc>
        <w:tc>
          <w:tcPr>
            <w:tcW w:w="4677" w:type="dxa"/>
            <w:gridSpan w:val="2"/>
            <w:noWrap w:val="0"/>
            <w:tcMar>
              <w:left w:w="108" w:type="dxa"/>
              <w:right w:w="108" w:type="dxa"/>
            </w:tcMar>
            <w:vAlign w:val="center"/>
          </w:tcPr>
          <w:p w14:paraId="004D5DE0">
            <w:pPr>
              <w:widowControl/>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829" w:type="dxa"/>
            <w:noWrap w:val="0"/>
            <w:tcMar>
              <w:left w:w="108" w:type="dxa"/>
              <w:right w:w="108" w:type="dxa"/>
            </w:tcMar>
            <w:vAlign w:val="center"/>
          </w:tcPr>
          <w:p w14:paraId="5419D80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805045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13D7F6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722AC5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9DB00D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98348A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1DFFF2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24DB76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7F95281">
            <w:pPr>
              <w:rPr>
                <w:rFonts w:ascii="黑体" w:hAnsi="黑体" w:eastAsia="黑体"/>
                <w:szCs w:val="21"/>
              </w:rPr>
            </w:pPr>
          </w:p>
        </w:tc>
        <w:tc>
          <w:tcPr>
            <w:tcW w:w="1701" w:type="dxa"/>
            <w:vMerge w:val="restart"/>
            <w:noWrap w:val="0"/>
            <w:tcMar>
              <w:left w:w="108" w:type="dxa"/>
              <w:right w:w="108" w:type="dxa"/>
            </w:tcMar>
            <w:vAlign w:val="center"/>
          </w:tcPr>
          <w:p w14:paraId="23651BE5">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14:paraId="62F8C858">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14:paraId="52F5C785">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4814288">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63D5D3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E03FE2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FF4067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0E5AE4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7E7D33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25EE23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2FC23CB">
            <w:pPr>
              <w:rPr>
                <w:rFonts w:ascii="黑体" w:hAnsi="黑体" w:eastAsia="黑体"/>
                <w:szCs w:val="21"/>
              </w:rPr>
            </w:pPr>
          </w:p>
        </w:tc>
        <w:tc>
          <w:tcPr>
            <w:tcW w:w="1701" w:type="dxa"/>
            <w:vMerge w:val="continue"/>
            <w:noWrap w:val="0"/>
            <w:tcMar>
              <w:left w:w="108" w:type="dxa"/>
              <w:right w:w="108" w:type="dxa"/>
            </w:tcMar>
            <w:vAlign w:val="center"/>
          </w:tcPr>
          <w:p w14:paraId="3C38F576">
            <w:pPr>
              <w:spacing w:line="200" w:lineRule="exact"/>
              <w:rPr>
                <w:rFonts w:ascii="黑体" w:hAnsi="黑体" w:eastAsia="黑体"/>
                <w:szCs w:val="21"/>
              </w:rPr>
            </w:pPr>
          </w:p>
        </w:tc>
        <w:tc>
          <w:tcPr>
            <w:tcW w:w="2976" w:type="dxa"/>
            <w:noWrap w:val="0"/>
            <w:tcMar>
              <w:left w:w="108" w:type="dxa"/>
              <w:right w:w="108" w:type="dxa"/>
            </w:tcMar>
            <w:vAlign w:val="center"/>
          </w:tcPr>
          <w:p w14:paraId="27E8B6A6">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829" w:type="dxa"/>
            <w:noWrap w:val="0"/>
            <w:tcMar>
              <w:left w:w="108" w:type="dxa"/>
              <w:right w:w="108" w:type="dxa"/>
            </w:tcMar>
            <w:vAlign w:val="center"/>
          </w:tcPr>
          <w:p w14:paraId="42C10B50">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7208BDF">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EF416A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AC2E2A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3D2299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1A923F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169295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DBD45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E19FADA">
            <w:pPr>
              <w:rPr>
                <w:rFonts w:ascii="黑体" w:hAnsi="黑体" w:eastAsia="黑体"/>
                <w:szCs w:val="21"/>
              </w:rPr>
            </w:pPr>
          </w:p>
        </w:tc>
        <w:tc>
          <w:tcPr>
            <w:tcW w:w="1701" w:type="dxa"/>
            <w:vMerge w:val="continue"/>
            <w:noWrap w:val="0"/>
            <w:tcMar>
              <w:left w:w="108" w:type="dxa"/>
              <w:right w:w="108" w:type="dxa"/>
            </w:tcMar>
            <w:vAlign w:val="center"/>
          </w:tcPr>
          <w:p w14:paraId="31E3B56D">
            <w:pPr>
              <w:spacing w:line="200" w:lineRule="exact"/>
              <w:rPr>
                <w:rFonts w:ascii="黑体" w:hAnsi="黑体" w:eastAsia="黑体"/>
                <w:szCs w:val="21"/>
              </w:rPr>
            </w:pPr>
          </w:p>
        </w:tc>
        <w:tc>
          <w:tcPr>
            <w:tcW w:w="2976" w:type="dxa"/>
            <w:noWrap w:val="0"/>
            <w:tcMar>
              <w:left w:w="108" w:type="dxa"/>
              <w:right w:w="108" w:type="dxa"/>
            </w:tcMar>
            <w:vAlign w:val="center"/>
          </w:tcPr>
          <w:p w14:paraId="1BA9BCD5">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14:paraId="5BE3BB6C">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2B5248F">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05EF3D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116CE5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5756AE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1317D9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50C22A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1F57BE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1308DD6">
            <w:pPr>
              <w:rPr>
                <w:rFonts w:ascii="黑体" w:hAnsi="黑体" w:eastAsia="黑体"/>
                <w:szCs w:val="21"/>
              </w:rPr>
            </w:pPr>
          </w:p>
        </w:tc>
        <w:tc>
          <w:tcPr>
            <w:tcW w:w="1701" w:type="dxa"/>
            <w:vMerge w:val="continue"/>
            <w:noWrap w:val="0"/>
            <w:tcMar>
              <w:left w:w="108" w:type="dxa"/>
              <w:right w:w="108" w:type="dxa"/>
            </w:tcMar>
            <w:vAlign w:val="center"/>
          </w:tcPr>
          <w:p w14:paraId="087AD191">
            <w:pPr>
              <w:spacing w:line="200" w:lineRule="exact"/>
              <w:rPr>
                <w:rFonts w:ascii="黑体" w:hAnsi="黑体" w:eastAsia="黑体"/>
                <w:szCs w:val="21"/>
              </w:rPr>
            </w:pPr>
          </w:p>
        </w:tc>
        <w:tc>
          <w:tcPr>
            <w:tcW w:w="2976" w:type="dxa"/>
            <w:noWrap w:val="0"/>
            <w:tcMar>
              <w:left w:w="108" w:type="dxa"/>
              <w:right w:w="108" w:type="dxa"/>
            </w:tcMar>
            <w:vAlign w:val="center"/>
          </w:tcPr>
          <w:p w14:paraId="585D08CA">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829" w:type="dxa"/>
            <w:noWrap w:val="0"/>
            <w:tcMar>
              <w:left w:w="108" w:type="dxa"/>
              <w:right w:w="108" w:type="dxa"/>
            </w:tcMar>
            <w:vAlign w:val="center"/>
          </w:tcPr>
          <w:p w14:paraId="167A297E">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BEEC13B">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E18675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1A7A3B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421F41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FB02AA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EACB75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3476CC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D7D0E19">
            <w:pPr>
              <w:rPr>
                <w:rFonts w:ascii="黑体" w:hAnsi="黑体" w:eastAsia="黑体"/>
                <w:szCs w:val="21"/>
              </w:rPr>
            </w:pPr>
          </w:p>
        </w:tc>
        <w:tc>
          <w:tcPr>
            <w:tcW w:w="1701" w:type="dxa"/>
            <w:vMerge w:val="continue"/>
            <w:noWrap w:val="0"/>
            <w:tcMar>
              <w:left w:w="108" w:type="dxa"/>
              <w:right w:w="108" w:type="dxa"/>
            </w:tcMar>
            <w:vAlign w:val="center"/>
          </w:tcPr>
          <w:p w14:paraId="79EE7A4B">
            <w:pPr>
              <w:spacing w:line="200" w:lineRule="exact"/>
              <w:rPr>
                <w:rFonts w:ascii="黑体" w:hAnsi="黑体" w:eastAsia="黑体"/>
                <w:szCs w:val="21"/>
              </w:rPr>
            </w:pPr>
          </w:p>
        </w:tc>
        <w:tc>
          <w:tcPr>
            <w:tcW w:w="2976" w:type="dxa"/>
            <w:noWrap w:val="0"/>
            <w:tcMar>
              <w:left w:w="108" w:type="dxa"/>
              <w:right w:w="108" w:type="dxa"/>
            </w:tcMar>
            <w:vAlign w:val="center"/>
          </w:tcPr>
          <w:p w14:paraId="1B4FB2BE">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14:paraId="613F2DC5">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F2FAB25">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6D7728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640D55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7BE5DAA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72FB72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64599F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32003F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1784A53">
            <w:pPr>
              <w:rPr>
                <w:rFonts w:ascii="黑体" w:hAnsi="黑体" w:eastAsia="黑体"/>
                <w:szCs w:val="21"/>
              </w:rPr>
            </w:pPr>
          </w:p>
        </w:tc>
        <w:tc>
          <w:tcPr>
            <w:tcW w:w="1701" w:type="dxa"/>
            <w:vMerge w:val="continue"/>
            <w:noWrap w:val="0"/>
            <w:tcMar>
              <w:left w:w="108" w:type="dxa"/>
              <w:right w:w="108" w:type="dxa"/>
            </w:tcMar>
            <w:vAlign w:val="center"/>
          </w:tcPr>
          <w:p w14:paraId="3B65A027">
            <w:pPr>
              <w:spacing w:line="200" w:lineRule="exact"/>
              <w:rPr>
                <w:rFonts w:ascii="黑体" w:hAnsi="黑体" w:eastAsia="黑体"/>
                <w:szCs w:val="21"/>
              </w:rPr>
            </w:pPr>
          </w:p>
        </w:tc>
        <w:tc>
          <w:tcPr>
            <w:tcW w:w="2976" w:type="dxa"/>
            <w:noWrap w:val="0"/>
            <w:tcMar>
              <w:left w:w="108" w:type="dxa"/>
              <w:right w:w="108" w:type="dxa"/>
            </w:tcMar>
            <w:vAlign w:val="center"/>
          </w:tcPr>
          <w:p w14:paraId="17712BC5">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829" w:type="dxa"/>
            <w:noWrap w:val="0"/>
            <w:tcMar>
              <w:left w:w="108" w:type="dxa"/>
              <w:right w:w="108" w:type="dxa"/>
            </w:tcMar>
            <w:vAlign w:val="center"/>
          </w:tcPr>
          <w:p w14:paraId="58DAEA95">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3C93ABD">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70E090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DA2ABA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A13A60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3EFFC1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4B9778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70F248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59717BE">
            <w:pPr>
              <w:rPr>
                <w:rFonts w:ascii="黑体" w:hAnsi="黑体" w:eastAsia="黑体"/>
                <w:szCs w:val="21"/>
              </w:rPr>
            </w:pPr>
          </w:p>
        </w:tc>
        <w:tc>
          <w:tcPr>
            <w:tcW w:w="1701" w:type="dxa"/>
            <w:vMerge w:val="continue"/>
            <w:noWrap w:val="0"/>
            <w:tcMar>
              <w:left w:w="108" w:type="dxa"/>
              <w:right w:w="108" w:type="dxa"/>
            </w:tcMar>
            <w:vAlign w:val="center"/>
          </w:tcPr>
          <w:p w14:paraId="2EAF2518">
            <w:pPr>
              <w:spacing w:line="200" w:lineRule="exact"/>
              <w:rPr>
                <w:rFonts w:ascii="黑体" w:hAnsi="黑体" w:eastAsia="黑体"/>
                <w:szCs w:val="21"/>
              </w:rPr>
            </w:pPr>
          </w:p>
        </w:tc>
        <w:tc>
          <w:tcPr>
            <w:tcW w:w="2976" w:type="dxa"/>
            <w:noWrap w:val="0"/>
            <w:tcMar>
              <w:left w:w="108" w:type="dxa"/>
              <w:right w:w="108" w:type="dxa"/>
            </w:tcMar>
            <w:vAlign w:val="center"/>
          </w:tcPr>
          <w:p w14:paraId="1E58B992">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14:paraId="74681C4D">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4086FDE">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643F7C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5776BB7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2779A1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91D5BF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AF0C79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59C89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9EFB5DD">
            <w:pPr>
              <w:rPr>
                <w:rFonts w:ascii="黑体" w:hAnsi="黑体" w:eastAsia="黑体"/>
                <w:szCs w:val="21"/>
              </w:rPr>
            </w:pPr>
          </w:p>
        </w:tc>
        <w:tc>
          <w:tcPr>
            <w:tcW w:w="1701" w:type="dxa"/>
            <w:vMerge w:val="continue"/>
            <w:noWrap w:val="0"/>
            <w:tcMar>
              <w:left w:w="108" w:type="dxa"/>
              <w:right w:w="108" w:type="dxa"/>
            </w:tcMar>
            <w:vAlign w:val="center"/>
          </w:tcPr>
          <w:p w14:paraId="7DC4D1AE">
            <w:pPr>
              <w:spacing w:line="200" w:lineRule="exact"/>
              <w:rPr>
                <w:rFonts w:ascii="黑体" w:hAnsi="黑体" w:eastAsia="黑体"/>
                <w:szCs w:val="21"/>
              </w:rPr>
            </w:pPr>
          </w:p>
        </w:tc>
        <w:tc>
          <w:tcPr>
            <w:tcW w:w="2976" w:type="dxa"/>
            <w:noWrap w:val="0"/>
            <w:tcMar>
              <w:left w:w="108" w:type="dxa"/>
              <w:right w:w="108" w:type="dxa"/>
            </w:tcMar>
            <w:vAlign w:val="center"/>
          </w:tcPr>
          <w:p w14:paraId="7EAE9F57">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829" w:type="dxa"/>
            <w:noWrap w:val="0"/>
            <w:tcMar>
              <w:left w:w="108" w:type="dxa"/>
              <w:right w:w="108" w:type="dxa"/>
            </w:tcMar>
            <w:vAlign w:val="center"/>
          </w:tcPr>
          <w:p w14:paraId="5D054136">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1D2EF3D">
            <w:pPr>
              <w:widowControl/>
              <w:spacing w:after="180" w:line="200" w:lineRule="exact"/>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AED8D5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4D15FC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0F73B5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2FAB70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965D87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127BB3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DDED4AD">
            <w:pPr>
              <w:rPr>
                <w:rFonts w:ascii="黑体" w:hAnsi="黑体" w:eastAsia="黑体"/>
                <w:szCs w:val="21"/>
              </w:rPr>
            </w:pPr>
          </w:p>
        </w:tc>
        <w:tc>
          <w:tcPr>
            <w:tcW w:w="1701" w:type="dxa"/>
            <w:vMerge w:val="restart"/>
            <w:noWrap w:val="0"/>
            <w:tcMar>
              <w:left w:w="108" w:type="dxa"/>
              <w:right w:w="108" w:type="dxa"/>
            </w:tcMar>
            <w:vAlign w:val="center"/>
          </w:tcPr>
          <w:p w14:paraId="407BFF58">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14:paraId="290BD98E">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14:paraId="61864693">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D932A71">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EDB59D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09CB27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CCE2D5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F0BEC1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00538A4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5591A9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FE543E3">
            <w:pPr>
              <w:rPr>
                <w:rFonts w:ascii="黑体" w:hAnsi="黑体" w:eastAsia="黑体"/>
                <w:szCs w:val="21"/>
              </w:rPr>
            </w:pPr>
          </w:p>
        </w:tc>
        <w:tc>
          <w:tcPr>
            <w:tcW w:w="1701" w:type="dxa"/>
            <w:vMerge w:val="continue"/>
            <w:noWrap w:val="0"/>
            <w:tcMar>
              <w:left w:w="108" w:type="dxa"/>
              <w:right w:w="108" w:type="dxa"/>
            </w:tcMar>
            <w:vAlign w:val="center"/>
          </w:tcPr>
          <w:p w14:paraId="6E1E344F">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0085DBE9">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829" w:type="dxa"/>
            <w:noWrap w:val="0"/>
            <w:tcMar>
              <w:left w:w="108" w:type="dxa"/>
              <w:right w:w="108" w:type="dxa"/>
            </w:tcMar>
            <w:vAlign w:val="center"/>
          </w:tcPr>
          <w:p w14:paraId="7A885CFE">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A6DD555">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816F45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173A14B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503721E2">
            <w:pPr>
              <w:widowControl/>
              <w:spacing w:after="180"/>
              <w:jc w:val="center"/>
              <w:rPr>
                <w:rFonts w:hint="default" w:ascii="仿宋_GB2312" w:hAnsi="Times New Roman" w:eastAsia="仿宋_GB2312"/>
                <w:szCs w:val="21"/>
                <w:lang w:val="en-US"/>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2FDA81B">
            <w:pPr>
              <w:widowControl/>
              <w:spacing w:after="180"/>
              <w:jc w:val="center"/>
              <w:rPr>
                <w:rFonts w:hint="default" w:ascii="仿宋_GB2312" w:hAnsi="Times New Roman" w:eastAsia="仿宋_GB2312"/>
                <w:szCs w:val="21"/>
                <w:lang w:val="en-US"/>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770D788A">
            <w:pPr>
              <w:widowControl/>
              <w:spacing w:after="180"/>
              <w:jc w:val="center"/>
              <w:rPr>
                <w:rFonts w:hint="default" w:ascii="仿宋_GB2312" w:hAnsi="Times New Roman" w:eastAsia="仿宋_GB2312"/>
                <w:szCs w:val="21"/>
                <w:lang w:val="en-US"/>
              </w:rPr>
            </w:pPr>
            <w:r>
              <w:rPr>
                <w:rFonts w:hint="eastAsia" w:ascii="仿宋_GB2312" w:hAnsi="Times New Roman" w:eastAsia="仿宋_GB2312"/>
                <w:szCs w:val="21"/>
                <w:lang w:val="en-US" w:eastAsia="zh-CN"/>
              </w:rPr>
              <w:t>0</w:t>
            </w:r>
          </w:p>
        </w:tc>
      </w:tr>
      <w:tr w14:paraId="399EAC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6584D38">
            <w:pPr>
              <w:rPr>
                <w:rFonts w:ascii="黑体" w:hAnsi="黑体" w:eastAsia="黑体"/>
                <w:szCs w:val="21"/>
              </w:rPr>
            </w:pPr>
          </w:p>
        </w:tc>
        <w:tc>
          <w:tcPr>
            <w:tcW w:w="1701" w:type="dxa"/>
            <w:vMerge w:val="continue"/>
            <w:noWrap w:val="0"/>
            <w:tcMar>
              <w:left w:w="108" w:type="dxa"/>
              <w:right w:w="108" w:type="dxa"/>
            </w:tcMar>
            <w:vAlign w:val="center"/>
          </w:tcPr>
          <w:p w14:paraId="36C71AB1">
            <w:pPr>
              <w:spacing w:line="200" w:lineRule="exact"/>
              <w:ind w:left="-107" w:leftChars="-51"/>
              <w:rPr>
                <w:rFonts w:ascii="黑体" w:hAnsi="黑体" w:eastAsia="黑体"/>
                <w:szCs w:val="21"/>
              </w:rPr>
            </w:pPr>
          </w:p>
        </w:tc>
        <w:tc>
          <w:tcPr>
            <w:tcW w:w="2976" w:type="dxa"/>
            <w:noWrap w:val="0"/>
            <w:tcMar>
              <w:left w:w="108" w:type="dxa"/>
              <w:right w:w="108" w:type="dxa"/>
            </w:tcMar>
            <w:vAlign w:val="center"/>
          </w:tcPr>
          <w:p w14:paraId="13A65706">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829" w:type="dxa"/>
            <w:noWrap w:val="0"/>
            <w:tcMar>
              <w:left w:w="108" w:type="dxa"/>
              <w:right w:w="108" w:type="dxa"/>
            </w:tcMar>
            <w:vAlign w:val="center"/>
          </w:tcPr>
          <w:p w14:paraId="1871287D">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453E3A0">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10B908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AB5AFA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3F42C83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EF5266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4E7DDF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B2371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B47049F">
            <w:pPr>
              <w:rPr>
                <w:rFonts w:ascii="黑体" w:hAnsi="黑体" w:eastAsia="黑体"/>
                <w:szCs w:val="21"/>
              </w:rPr>
            </w:pPr>
          </w:p>
        </w:tc>
        <w:tc>
          <w:tcPr>
            <w:tcW w:w="1701" w:type="dxa"/>
            <w:vMerge w:val="restart"/>
            <w:noWrap w:val="0"/>
            <w:tcMar>
              <w:left w:w="108" w:type="dxa"/>
              <w:right w:w="108" w:type="dxa"/>
            </w:tcMar>
            <w:vAlign w:val="center"/>
          </w:tcPr>
          <w:p w14:paraId="25AB4F16">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14:paraId="195476D0">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829" w:type="dxa"/>
            <w:noWrap w:val="0"/>
            <w:tcMar>
              <w:left w:w="108" w:type="dxa"/>
              <w:right w:w="108" w:type="dxa"/>
            </w:tcMar>
            <w:vAlign w:val="center"/>
          </w:tcPr>
          <w:p w14:paraId="286B72A0">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46D79C8">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3212997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806020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2A8C23D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3DF06D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1BB421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A8A17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4F2F176">
            <w:pPr>
              <w:rPr>
                <w:rFonts w:ascii="黑体" w:hAnsi="黑体" w:eastAsia="黑体"/>
                <w:szCs w:val="21"/>
              </w:rPr>
            </w:pPr>
          </w:p>
        </w:tc>
        <w:tc>
          <w:tcPr>
            <w:tcW w:w="1701" w:type="dxa"/>
            <w:vMerge w:val="continue"/>
            <w:noWrap w:val="0"/>
            <w:tcMar>
              <w:left w:w="108" w:type="dxa"/>
              <w:right w:w="108" w:type="dxa"/>
            </w:tcMar>
            <w:vAlign w:val="center"/>
          </w:tcPr>
          <w:p w14:paraId="1A883CCB">
            <w:pPr>
              <w:spacing w:line="200" w:lineRule="exact"/>
              <w:rPr>
                <w:rFonts w:ascii="黑体" w:hAnsi="黑体" w:eastAsia="黑体"/>
                <w:szCs w:val="21"/>
              </w:rPr>
            </w:pPr>
          </w:p>
        </w:tc>
        <w:tc>
          <w:tcPr>
            <w:tcW w:w="2976" w:type="dxa"/>
            <w:noWrap w:val="0"/>
            <w:tcMar>
              <w:left w:w="108" w:type="dxa"/>
              <w:right w:w="108" w:type="dxa"/>
            </w:tcMar>
            <w:vAlign w:val="center"/>
          </w:tcPr>
          <w:p w14:paraId="28D31678">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14:paraId="14885917">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8CDAAB8">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ACECFE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81B2A4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A93A40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C9F37C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112AB86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18F48C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E417993">
            <w:pPr>
              <w:rPr>
                <w:rFonts w:ascii="黑体" w:hAnsi="黑体" w:eastAsia="黑体"/>
                <w:szCs w:val="21"/>
              </w:rPr>
            </w:pPr>
          </w:p>
        </w:tc>
        <w:tc>
          <w:tcPr>
            <w:tcW w:w="1701" w:type="dxa"/>
            <w:vMerge w:val="continue"/>
            <w:noWrap w:val="0"/>
            <w:tcMar>
              <w:left w:w="108" w:type="dxa"/>
              <w:right w:w="108" w:type="dxa"/>
            </w:tcMar>
            <w:vAlign w:val="center"/>
          </w:tcPr>
          <w:p w14:paraId="721C9C04">
            <w:pPr>
              <w:spacing w:line="200" w:lineRule="exact"/>
              <w:rPr>
                <w:rFonts w:ascii="黑体" w:hAnsi="黑体" w:eastAsia="黑体"/>
                <w:szCs w:val="21"/>
              </w:rPr>
            </w:pPr>
          </w:p>
        </w:tc>
        <w:tc>
          <w:tcPr>
            <w:tcW w:w="2976" w:type="dxa"/>
            <w:noWrap w:val="0"/>
            <w:tcMar>
              <w:left w:w="108" w:type="dxa"/>
              <w:right w:w="108" w:type="dxa"/>
            </w:tcMar>
            <w:vAlign w:val="center"/>
          </w:tcPr>
          <w:p w14:paraId="01DE0C26">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14:paraId="03B50164">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3ECB189">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30D94B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741D4D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95D05D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1E3558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40313C7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73BFA1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3CFE52D5">
            <w:pPr>
              <w:rPr>
                <w:rFonts w:ascii="黑体" w:hAnsi="黑体" w:eastAsia="黑体"/>
                <w:szCs w:val="21"/>
              </w:rPr>
            </w:pPr>
          </w:p>
        </w:tc>
        <w:tc>
          <w:tcPr>
            <w:tcW w:w="1701" w:type="dxa"/>
            <w:vMerge w:val="continue"/>
            <w:noWrap w:val="0"/>
            <w:tcMar>
              <w:left w:w="108" w:type="dxa"/>
              <w:right w:w="108" w:type="dxa"/>
            </w:tcMar>
            <w:vAlign w:val="center"/>
          </w:tcPr>
          <w:p w14:paraId="2BF13A57">
            <w:pPr>
              <w:spacing w:line="200" w:lineRule="exact"/>
              <w:rPr>
                <w:rFonts w:ascii="黑体" w:hAnsi="黑体" w:eastAsia="黑体"/>
                <w:szCs w:val="21"/>
              </w:rPr>
            </w:pPr>
          </w:p>
        </w:tc>
        <w:tc>
          <w:tcPr>
            <w:tcW w:w="2976" w:type="dxa"/>
            <w:noWrap w:val="0"/>
            <w:tcMar>
              <w:left w:w="108" w:type="dxa"/>
              <w:right w:w="108" w:type="dxa"/>
            </w:tcMar>
            <w:vAlign w:val="center"/>
          </w:tcPr>
          <w:p w14:paraId="3D6D6DF2">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14:paraId="0756ACF3">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8F4AB03">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8F181D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4BF6205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641FC2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59AAE0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5B0435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AADF1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390E8AFC">
            <w:pPr>
              <w:rPr>
                <w:rFonts w:ascii="黑体" w:hAnsi="黑体" w:eastAsia="黑体"/>
                <w:szCs w:val="21"/>
              </w:rPr>
            </w:pPr>
          </w:p>
        </w:tc>
        <w:tc>
          <w:tcPr>
            <w:tcW w:w="1701" w:type="dxa"/>
            <w:vMerge w:val="continue"/>
            <w:noWrap w:val="0"/>
            <w:tcMar>
              <w:left w:w="108" w:type="dxa"/>
              <w:right w:w="108" w:type="dxa"/>
            </w:tcMar>
            <w:vAlign w:val="center"/>
          </w:tcPr>
          <w:p w14:paraId="6CC97BA3">
            <w:pPr>
              <w:spacing w:line="200" w:lineRule="exact"/>
              <w:rPr>
                <w:rFonts w:ascii="黑体" w:hAnsi="黑体" w:eastAsia="黑体"/>
                <w:szCs w:val="21"/>
              </w:rPr>
            </w:pPr>
          </w:p>
        </w:tc>
        <w:tc>
          <w:tcPr>
            <w:tcW w:w="2976" w:type="dxa"/>
            <w:noWrap w:val="0"/>
            <w:tcMar>
              <w:left w:w="108" w:type="dxa"/>
              <w:right w:w="108" w:type="dxa"/>
            </w:tcMar>
            <w:vAlign w:val="center"/>
          </w:tcPr>
          <w:p w14:paraId="07D38E94">
            <w:pPr>
              <w:widowControl/>
              <w:spacing w:line="300" w:lineRule="exact"/>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829" w:type="dxa"/>
            <w:noWrap w:val="0"/>
            <w:tcMar>
              <w:left w:w="108" w:type="dxa"/>
              <w:right w:w="108" w:type="dxa"/>
            </w:tcMar>
            <w:vAlign w:val="center"/>
          </w:tcPr>
          <w:p w14:paraId="0259FB1A">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FE358A9">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708765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38E83CA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260951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1D902FF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F41992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5FD904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51E5C68">
            <w:pPr>
              <w:rPr>
                <w:rFonts w:ascii="黑体" w:hAnsi="黑体" w:eastAsia="黑体"/>
                <w:szCs w:val="21"/>
              </w:rPr>
            </w:pPr>
          </w:p>
        </w:tc>
        <w:tc>
          <w:tcPr>
            <w:tcW w:w="1701" w:type="dxa"/>
            <w:vMerge w:val="restart"/>
            <w:noWrap w:val="0"/>
            <w:tcMar>
              <w:left w:w="108" w:type="dxa"/>
              <w:right w:w="108" w:type="dxa"/>
            </w:tcMar>
            <w:vAlign w:val="center"/>
          </w:tcPr>
          <w:p w14:paraId="6BAA9241">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14:paraId="56C60AE0">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w:t>
            </w:r>
            <w:r>
              <w:rPr>
                <w:rFonts w:hint="eastAsia" w:ascii="仿宋_GB2312" w:hAnsi="楷体" w:eastAsia="仿宋_GB2312"/>
                <w:lang w:eastAsia="zh-CN"/>
              </w:rPr>
              <w:t>受理</w:t>
            </w:r>
            <w:r>
              <w:rPr>
                <w:rFonts w:hint="eastAsia" w:ascii="仿宋_GB2312" w:hAnsi="楷体" w:eastAsia="仿宋_GB2312"/>
              </w:rPr>
              <w:t>其政府信息公开申请</w:t>
            </w:r>
          </w:p>
        </w:tc>
        <w:tc>
          <w:tcPr>
            <w:tcW w:w="829" w:type="dxa"/>
            <w:noWrap w:val="0"/>
            <w:tcMar>
              <w:left w:w="108" w:type="dxa"/>
              <w:right w:w="108" w:type="dxa"/>
            </w:tcMar>
            <w:vAlign w:val="center"/>
          </w:tcPr>
          <w:p w14:paraId="3A3BB022">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98FF4C5">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E38CFD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7C14A67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47D80B2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31109B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B7BA2F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89530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82EE732">
            <w:pPr>
              <w:rPr>
                <w:rFonts w:ascii="黑体" w:hAnsi="黑体" w:eastAsia="黑体"/>
                <w:szCs w:val="21"/>
              </w:rPr>
            </w:pPr>
          </w:p>
        </w:tc>
        <w:tc>
          <w:tcPr>
            <w:tcW w:w="1701" w:type="dxa"/>
            <w:vMerge w:val="continue"/>
            <w:noWrap w:val="0"/>
            <w:tcMar>
              <w:left w:w="108" w:type="dxa"/>
              <w:right w:w="108" w:type="dxa"/>
            </w:tcMar>
            <w:vAlign w:val="center"/>
          </w:tcPr>
          <w:p w14:paraId="6E6022BC">
            <w:pPr>
              <w:widowControl/>
              <w:spacing w:line="300" w:lineRule="exact"/>
              <w:rPr>
                <w:rFonts w:ascii="黑体" w:hAnsi="黑体" w:eastAsia="黑体"/>
                <w:kern w:val="0"/>
                <w:szCs w:val="21"/>
              </w:rPr>
            </w:pPr>
          </w:p>
        </w:tc>
        <w:tc>
          <w:tcPr>
            <w:tcW w:w="2976" w:type="dxa"/>
            <w:noWrap w:val="0"/>
            <w:vAlign w:val="center"/>
          </w:tcPr>
          <w:p w14:paraId="03FCC061">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w:t>
            </w:r>
            <w:r>
              <w:rPr>
                <w:rFonts w:hint="eastAsia" w:ascii="仿宋_GB2312" w:hAnsi="楷体" w:eastAsia="仿宋_GB2312"/>
                <w:lang w:eastAsia="zh-CN"/>
              </w:rPr>
              <w:t>受理</w:t>
            </w:r>
            <w:r>
              <w:rPr>
                <w:rFonts w:hint="eastAsia" w:ascii="仿宋_GB2312" w:hAnsi="楷体" w:eastAsia="仿宋_GB2312"/>
              </w:rPr>
              <w:t>其政府信息公开申请</w:t>
            </w:r>
          </w:p>
        </w:tc>
        <w:tc>
          <w:tcPr>
            <w:tcW w:w="829" w:type="dxa"/>
            <w:noWrap w:val="0"/>
            <w:tcMar>
              <w:left w:w="108" w:type="dxa"/>
              <w:right w:w="108" w:type="dxa"/>
            </w:tcMar>
            <w:vAlign w:val="center"/>
          </w:tcPr>
          <w:p w14:paraId="0C400E8C">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08CD7CDC">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3F550E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7D955F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1B8B6E9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342CA2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21EEAD2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55BBF7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54F1FA5">
            <w:pPr>
              <w:rPr>
                <w:rFonts w:ascii="黑体" w:hAnsi="黑体" w:eastAsia="黑体"/>
                <w:szCs w:val="21"/>
              </w:rPr>
            </w:pPr>
          </w:p>
        </w:tc>
        <w:tc>
          <w:tcPr>
            <w:tcW w:w="1701" w:type="dxa"/>
            <w:vMerge w:val="continue"/>
            <w:noWrap w:val="0"/>
            <w:tcMar>
              <w:left w:w="108" w:type="dxa"/>
              <w:right w:w="108" w:type="dxa"/>
            </w:tcMar>
            <w:vAlign w:val="center"/>
          </w:tcPr>
          <w:p w14:paraId="3B32BF66">
            <w:pPr>
              <w:widowControl/>
              <w:spacing w:line="300" w:lineRule="exact"/>
              <w:rPr>
                <w:rFonts w:ascii="黑体" w:hAnsi="黑体" w:eastAsia="黑体"/>
                <w:kern w:val="0"/>
                <w:szCs w:val="21"/>
              </w:rPr>
            </w:pPr>
          </w:p>
        </w:tc>
        <w:tc>
          <w:tcPr>
            <w:tcW w:w="2976" w:type="dxa"/>
            <w:noWrap w:val="0"/>
            <w:vAlign w:val="center"/>
          </w:tcPr>
          <w:p w14:paraId="2E678375">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14:paraId="5DC6F2AF">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7B4C1A3">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2AD79E9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0F0894F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BD86B0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66677BB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898CF2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5BB52E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6B314BD">
            <w:pPr>
              <w:rPr>
                <w:rFonts w:ascii="黑体" w:hAnsi="黑体" w:eastAsia="黑体"/>
                <w:szCs w:val="21"/>
              </w:rPr>
            </w:pPr>
          </w:p>
        </w:tc>
        <w:tc>
          <w:tcPr>
            <w:tcW w:w="4677" w:type="dxa"/>
            <w:gridSpan w:val="2"/>
            <w:noWrap w:val="0"/>
            <w:tcMar>
              <w:left w:w="108" w:type="dxa"/>
              <w:right w:w="108" w:type="dxa"/>
            </w:tcMar>
            <w:vAlign w:val="center"/>
          </w:tcPr>
          <w:p w14:paraId="7DFC5063">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14:paraId="252C291C">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B93F193">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47A3317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659DDDD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69E7165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79E111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356C7DF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198924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378CCD07">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14:paraId="6C855398">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78F57391">
            <w:pPr>
              <w:widowControl/>
              <w:spacing w:after="180" w:line="200" w:lineRule="exact"/>
              <w:jc w:val="center"/>
              <w:rPr>
                <w:rFonts w:ascii="仿宋_GB2312" w:hAnsi="Times New Roman" w:eastAsia="仿宋_GB2312"/>
                <w:szCs w:val="21"/>
              </w:rPr>
            </w:pPr>
          </w:p>
        </w:tc>
        <w:tc>
          <w:tcPr>
            <w:tcW w:w="567" w:type="dxa"/>
            <w:noWrap w:val="0"/>
            <w:tcMar>
              <w:left w:w="108" w:type="dxa"/>
              <w:right w:w="108" w:type="dxa"/>
            </w:tcMar>
            <w:vAlign w:val="center"/>
          </w:tcPr>
          <w:p w14:paraId="45B4119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14:paraId="2891DBC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14:paraId="05003FC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14:paraId="5627394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14:paraId="6CA800C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bl>
    <w:p w14:paraId="315C95AA">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793641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45E4CE9">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32C3BF8C">
            <w:pPr>
              <w:widowControl/>
              <w:jc w:val="center"/>
              <w:rPr>
                <w:rFonts w:ascii="黑体" w:hAnsi="黑体" w:eastAsia="黑体"/>
              </w:rPr>
            </w:pPr>
            <w:r>
              <w:rPr>
                <w:rFonts w:ascii="黑体" w:hAnsi="黑体" w:eastAsia="黑体"/>
                <w:kern w:val="0"/>
                <w:sz w:val="20"/>
                <w:szCs w:val="20"/>
              </w:rPr>
              <w:t>行政诉讼</w:t>
            </w:r>
          </w:p>
        </w:tc>
      </w:tr>
      <w:tr w14:paraId="1FAAD9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53E7816D">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5E5B3CB6">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560315C7">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3A428577">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0AC32711">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16E882AE">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39B7367B">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5C358D88">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67EA98A8">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0FD22765">
            <w:pPr>
              <w:widowControl/>
              <w:jc w:val="center"/>
              <w:rPr>
                <w:rFonts w:ascii="黑体" w:hAnsi="黑体" w:eastAsia="黑体"/>
              </w:rPr>
            </w:pPr>
            <w:bookmarkStart w:id="10" w:name="_Hlk67039688"/>
            <w:r>
              <w:rPr>
                <w:rFonts w:ascii="黑体" w:hAnsi="黑体" w:eastAsia="黑体"/>
                <w:kern w:val="0"/>
                <w:sz w:val="20"/>
                <w:szCs w:val="20"/>
              </w:rPr>
              <w:t>复议后起诉</w:t>
            </w:r>
            <w:bookmarkEnd w:id="10"/>
          </w:p>
        </w:tc>
      </w:tr>
      <w:tr w14:paraId="45A99D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4A06E7A">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1D24EC74">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33BB4984">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3DD374B3">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6F3C0224">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3CC5ECEF">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21E9E6A">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2C4930C">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17FE191F">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37FF596">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6DA261BE">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5A6FC79">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2A49BCC">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76FC253">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4CF733F3">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856047A">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79532C21">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4259206">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6D30E2A">
            <w:pPr>
              <w:widowControl/>
              <w:jc w:val="center"/>
              <w:rPr>
                <w:rFonts w:ascii="黑体" w:hAnsi="黑体" w:eastAsia="黑体"/>
              </w:rPr>
            </w:pPr>
            <w:r>
              <w:rPr>
                <w:rFonts w:ascii="黑体" w:hAnsi="黑体" w:eastAsia="黑体"/>
                <w:kern w:val="0"/>
                <w:sz w:val="20"/>
                <w:szCs w:val="20"/>
              </w:rPr>
              <w:t>总计</w:t>
            </w:r>
          </w:p>
        </w:tc>
      </w:tr>
      <w:tr w14:paraId="480CE6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12BF5E1">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14EEC91D">
            <w:pPr>
              <w:widowControl/>
              <w:spacing w:after="180"/>
              <w:jc w:val="center"/>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57EAC8DC">
            <w:pPr>
              <w:widowControl/>
              <w:spacing w:after="180"/>
              <w:jc w:val="center"/>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2BB0F9A2">
            <w:pPr>
              <w:widowControl/>
              <w:spacing w:after="180"/>
              <w:jc w:val="center"/>
              <w:rPr>
                <w:rFonts w:ascii="Times New Roman" w:hAnsi="Times New Roma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0C9F7359">
            <w:pPr>
              <w:widowControl/>
              <w:spacing w:after="180"/>
              <w:jc w:val="center"/>
              <w:rPr>
                <w:rFonts w:ascii="Times New Roman" w:hAnsi="Times New Roma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6F8F1627">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DD22A7B">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1D8360C">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DF8D286">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755EB70">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01DF99E">
            <w:pPr>
              <w:widowControl/>
              <w:spacing w:after="180"/>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0218246">
            <w:pPr>
              <w:widowControl/>
              <w:spacing w:after="180"/>
              <w:jc w:val="center"/>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BDE4A04">
            <w:pPr>
              <w:widowControl/>
              <w:spacing w:after="180"/>
              <w:jc w:val="center"/>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27998B99">
            <w:pPr>
              <w:widowControl/>
              <w:spacing w:after="180"/>
              <w:jc w:val="center"/>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5E40ECA4">
            <w:pPr>
              <w:widowControl/>
              <w:spacing w:after="180"/>
              <w:jc w:val="center"/>
              <w:rPr>
                <w:rFonts w:ascii="Times New Roman" w:hAnsi="Times New Roman"/>
              </w:rPr>
            </w:pPr>
            <w:r>
              <w:rPr>
                <w:rFonts w:hint="eastAsia" w:ascii="Times New Roman" w:hAnsi="Times New Roman"/>
                <w:lang w:val="en-US" w:eastAsia="zh-CN"/>
              </w:rPr>
              <w:t>0</w:t>
            </w:r>
          </w:p>
        </w:tc>
      </w:tr>
    </w:tbl>
    <w:p w14:paraId="34BEFAF3">
      <w:pPr>
        <w:pageBreakBefore w:val="0"/>
        <w:numPr>
          <w:ilvl w:val="0"/>
          <w:numId w:val="0"/>
        </w:numPr>
        <w:kinsoku/>
        <w:wordWrap/>
        <w:overflowPunct/>
        <w:topLinePunct w:val="0"/>
        <w:autoSpaceDE/>
        <w:autoSpaceDN/>
        <w:bidi w:val="0"/>
        <w:adjustRightInd/>
        <w:spacing w:before="0" w:after="0" w:line="600" w:lineRule="exact"/>
        <w:ind w:firstLine="640" w:firstLineChars="20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rPr>
        <w:t>存在的主要问题及改进情况</w:t>
      </w:r>
    </w:p>
    <w:p w14:paraId="1CB3E2CD">
      <w:pPr>
        <w:pStyle w:val="2"/>
        <w:pageBreakBefore w:val="0"/>
        <w:kinsoku/>
        <w:wordWrap/>
        <w:overflowPunct/>
        <w:topLinePunct w:val="0"/>
        <w:autoSpaceDE/>
        <w:autoSpaceDN/>
        <w:bidi w:val="0"/>
        <w:adjustRightInd/>
        <w:spacing w:line="600" w:lineRule="exact"/>
        <w:ind w:firstLine="643" w:firstLineChars="200"/>
        <w:textAlignment w:val="auto"/>
        <w:outlineLvl w:val="9"/>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（一）存在的主要问题</w:t>
      </w:r>
    </w:p>
    <w:p w14:paraId="56999F8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default" w:ascii="仿宋_GB2312" w:eastAsia="仿宋_GB2312"/>
          <w:sz w:val="32"/>
          <w:szCs w:val="32"/>
          <w:lang w:val="en-US" w:eastAsia="zh-CN"/>
        </w:rPr>
      </w:pPr>
      <w:r>
        <w:rPr>
          <w:rFonts w:hint="eastAsia" w:ascii="仿宋_GB2312" w:hAnsi="Calibri" w:eastAsia="仿宋_GB2312" w:cs="Times New Roman"/>
          <w:kern w:val="2"/>
          <w:sz w:val="32"/>
          <w:szCs w:val="32"/>
          <w:lang w:val="en-US" w:eastAsia="zh-CN" w:bidi="ar-SA"/>
        </w:rPr>
        <w:t>2025年，开发区政府信息公开工作在持续深化中取得一定进展，但对照新时代政府信息公开工作的高标准要求，仍存在需要改进之处。主要体现为：一是信息公开内容的数量和质量有待加强；二是以及公开形式多样性有待进一步拓展和丰富。</w:t>
      </w:r>
    </w:p>
    <w:p w14:paraId="4CBA39CA">
      <w:pPr>
        <w:pStyle w:val="2"/>
        <w:pageBreakBefore w:val="0"/>
        <w:kinsoku/>
        <w:wordWrap/>
        <w:overflowPunct/>
        <w:topLinePunct w:val="0"/>
        <w:autoSpaceDE/>
        <w:autoSpaceDN/>
        <w:bidi w:val="0"/>
        <w:adjustRightInd/>
        <w:spacing w:line="600" w:lineRule="exact"/>
        <w:ind w:firstLine="643" w:firstLineChars="200"/>
        <w:textAlignment w:val="auto"/>
        <w:outlineLvl w:val="9"/>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（二）改进情况</w:t>
      </w:r>
    </w:p>
    <w:p w14:paraId="31C682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针对当前存在的不足</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开发区将重点从以下三个方面加强和改进工作：一是持续优化内容，提升公开质量。围绕公众关切和社会热点，增强信息内容的实用性、可读性和服务性，切实保障公众的知情权和监督权。二是积极拓展公开渠道，增强服务效能。在巩固政府网站公开质效的基础上，充分用好线下宣传宣讲等形式，推动形成多渠道、立体化的公开体系，提升信息获取的便捷性和互动性。三是健全长效工作机制，推动常态规范。完善政府信息公开协调联动和动态更新机制，促进公开工作与业务运行深度融合，强化日常监督和业务培训，持续提升公开工作的标准化、规范化水平，确保政府信息公开持续有效开展。</w:t>
      </w:r>
    </w:p>
    <w:p w14:paraId="56481B13">
      <w:pPr>
        <w:pageBreakBefore w:val="0"/>
        <w:numPr>
          <w:ilvl w:val="0"/>
          <w:numId w:val="0"/>
        </w:numPr>
        <w:kinsoku/>
        <w:wordWrap/>
        <w:overflowPunct/>
        <w:topLinePunct w:val="0"/>
        <w:autoSpaceDE/>
        <w:autoSpaceDN/>
        <w:bidi w:val="0"/>
        <w:adjustRightInd/>
        <w:spacing w:before="0" w:after="0" w:line="600" w:lineRule="exact"/>
        <w:ind w:firstLine="640" w:firstLineChars="20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六、</w:t>
      </w:r>
      <w:r>
        <w:rPr>
          <w:rFonts w:hint="eastAsia" w:ascii="黑体" w:hAnsi="黑体" w:eastAsia="黑体" w:cs="黑体"/>
          <w:b w:val="0"/>
          <w:bCs w:val="0"/>
          <w:sz w:val="32"/>
          <w:szCs w:val="32"/>
        </w:rPr>
        <w:t>其他需要报告的事项</w:t>
      </w:r>
    </w:p>
    <w:p w14:paraId="143481C9">
      <w:pPr>
        <w:pageBreakBefore w:val="0"/>
        <w:kinsoku/>
        <w:wordWrap/>
        <w:overflowPunct/>
        <w:topLinePunct w:val="0"/>
        <w:autoSpaceDE/>
        <w:autoSpaceDN/>
        <w:bidi w:val="0"/>
        <w:adjustRightInd/>
        <w:spacing w:line="600" w:lineRule="exact"/>
        <w:ind w:firstLine="643" w:firstLineChars="200"/>
        <w:textAlignment w:val="auto"/>
        <w:outlineLvl w:val="9"/>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（一）政府信息公开信息处理费收取情况</w:t>
      </w:r>
    </w:p>
    <w:p w14:paraId="5B52B24A">
      <w:pPr>
        <w:pageBreakBefore w:val="0"/>
        <w:kinsoku/>
        <w:wordWrap/>
        <w:overflowPunct/>
        <w:topLinePunct w:val="0"/>
        <w:autoSpaceDE/>
        <w:autoSpaceDN/>
        <w:bidi w:val="0"/>
        <w:adjustRightInd/>
        <w:spacing w:line="600" w:lineRule="exact"/>
        <w:ind w:firstLine="640" w:firstLineChars="200"/>
        <w:textAlignment w:val="auto"/>
        <w:outlineLvl w:val="9"/>
        <w:rPr>
          <w:rFonts w:hint="eastAsia" w:ascii="仿宋_GB2312" w:eastAsia="仿宋_GB2312"/>
          <w:sz w:val="32"/>
          <w:szCs w:val="32"/>
          <w:lang w:eastAsia="zh-CN"/>
        </w:rPr>
      </w:pPr>
      <w:r>
        <w:rPr>
          <w:rFonts w:hint="eastAsia" w:ascii="仿宋_GB2312" w:hAnsi="文星仿宋" w:eastAsia="仿宋_GB2312"/>
          <w:sz w:val="32"/>
          <w:szCs w:val="32"/>
          <w:lang w:eastAsia="zh-CN"/>
        </w:rPr>
        <w:t>认真落实</w:t>
      </w:r>
      <w:r>
        <w:rPr>
          <w:rFonts w:hint="eastAsia" w:ascii="仿宋_GB2312" w:hAnsi="文星仿宋" w:eastAsia="仿宋_GB2312"/>
          <w:sz w:val="32"/>
          <w:szCs w:val="32"/>
        </w:rPr>
        <w:t>《国务院办公厅关于印发&lt;政府信息公开信息处理费管理办法</w:t>
      </w:r>
      <w:r>
        <w:rPr>
          <w:rFonts w:hint="eastAsia" w:ascii="仿宋_GB2312" w:hAnsi="文星仿宋" w:eastAsia="仿宋_GB2312"/>
          <w:sz w:val="32"/>
          <w:szCs w:val="32"/>
          <w:lang w:eastAsia="zh-CN"/>
        </w:rPr>
        <w:t>〉的通知》</w:t>
      </w:r>
      <w:r>
        <w:rPr>
          <w:rFonts w:hint="eastAsia" w:ascii="仿宋_GB2312" w:hAnsi="文星仿宋" w:eastAsia="仿宋_GB2312"/>
          <w:sz w:val="32"/>
          <w:szCs w:val="32"/>
        </w:rPr>
        <w:t>（国办函〔2020〕109号）和《山东省人民政府办公厅关于做好政府信息公开信息处理费管理工作有关事项的通知》（鲁政办字〔2020〕179号）规定，</w:t>
      </w:r>
      <w:r>
        <w:rPr>
          <w:rFonts w:hint="eastAsia" w:ascii="仿宋_GB2312" w:eastAsia="仿宋_GB2312"/>
          <w:sz w:val="32"/>
          <w:szCs w:val="32"/>
          <w:lang w:eastAsia="zh-CN"/>
        </w:rPr>
        <w:t>本年度政府信息公开未收取信息处理费。</w:t>
      </w:r>
    </w:p>
    <w:p w14:paraId="0E1189E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eastAsia"/>
          <w:lang w:eastAsia="zh-CN"/>
        </w:rPr>
      </w:pPr>
      <w:r>
        <w:rPr>
          <w:rFonts w:hint="eastAsia" w:ascii="CESI楷体-GB2312" w:hAnsi="CESI楷体-GB2312" w:eastAsia="CESI楷体-GB2312" w:cs="CESI楷体-GB2312"/>
          <w:b/>
          <w:bCs/>
          <w:sz w:val="32"/>
          <w:szCs w:val="32"/>
          <w:lang w:eastAsia="zh-CN"/>
        </w:rPr>
        <w:t>（</w:t>
      </w:r>
      <w:r>
        <w:rPr>
          <w:rFonts w:hint="eastAsia" w:ascii="CESI楷体-GB2312" w:hAnsi="CESI楷体-GB2312" w:eastAsia="CESI楷体-GB2312" w:cs="CESI楷体-GB2312"/>
          <w:b/>
          <w:bCs/>
          <w:sz w:val="32"/>
          <w:szCs w:val="32"/>
          <w:lang w:val="en-US" w:eastAsia="zh-CN"/>
        </w:rPr>
        <w:t>二</w:t>
      </w:r>
      <w:r>
        <w:rPr>
          <w:rFonts w:hint="eastAsia" w:ascii="CESI楷体-GB2312" w:hAnsi="CESI楷体-GB2312" w:eastAsia="CESI楷体-GB2312" w:cs="CESI楷体-GB2312"/>
          <w:b/>
          <w:bCs/>
          <w:sz w:val="32"/>
          <w:szCs w:val="32"/>
          <w:lang w:eastAsia="zh-CN"/>
        </w:rPr>
        <w:t>）落实年度政务公开工作要点情况</w:t>
      </w:r>
    </w:p>
    <w:p w14:paraId="471DD507">
      <w:pPr>
        <w:pStyle w:val="2"/>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outlineLvl w:val="9"/>
        <w:rPr>
          <w:rFonts w:hint="eastAsia" w:ascii="仿宋_GB2312" w:hAnsi="文星仿宋" w:eastAsia="仿宋_GB2312" w:cs="Times New Roman"/>
          <w:kern w:val="2"/>
          <w:sz w:val="32"/>
          <w:szCs w:val="32"/>
          <w:lang w:val="en-US" w:eastAsia="zh-CN" w:bidi="ar-SA"/>
        </w:rPr>
      </w:pPr>
      <w:r>
        <w:rPr>
          <w:rFonts w:hint="eastAsia" w:ascii="仿宋_GB2312" w:hAnsi="文星仿宋" w:eastAsia="仿宋_GB2312" w:cs="Times New Roman"/>
          <w:kern w:val="2"/>
          <w:sz w:val="32"/>
          <w:szCs w:val="32"/>
          <w:lang w:val="en-US" w:eastAsia="zh-CN" w:bidi="ar-SA"/>
        </w:rPr>
        <w:t>一是明确职责。依据开发区领导干部职责分工，逐一明确各项分类信息内容更新的具体责任人，确保栏目管理无遗漏、责任落实无死角。二是严格审核，保证发布质量。严格执行信息发布“三审三校”审核机制，从严把控信息的政治关、内容关、文字关、格式关，确保公开信息真实、准确、完整、规范、易懂，有效杜绝低质无效信息传播。</w:t>
      </w:r>
    </w:p>
    <w:p w14:paraId="7C323A48">
      <w:pPr>
        <w:pageBreakBefore w:val="0"/>
        <w:kinsoku/>
        <w:wordWrap/>
        <w:overflowPunct/>
        <w:topLinePunct w:val="0"/>
        <w:autoSpaceDE/>
        <w:autoSpaceDN/>
        <w:bidi w:val="0"/>
        <w:adjustRightInd/>
        <w:spacing w:line="600" w:lineRule="exact"/>
        <w:ind w:firstLine="643" w:firstLineChars="200"/>
        <w:textAlignment w:val="auto"/>
        <w:outlineLvl w:val="9"/>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（三）人大代表建议和政协提案办理结果公开情况</w:t>
      </w:r>
    </w:p>
    <w:p w14:paraId="1BC86AE8">
      <w:pPr>
        <w:pageBreakBefore w:val="0"/>
        <w:kinsoku/>
        <w:wordWrap/>
        <w:overflowPunct/>
        <w:topLinePunct w:val="0"/>
        <w:autoSpaceDE/>
        <w:autoSpaceDN/>
        <w:bidi w:val="0"/>
        <w:adjustRightInd/>
        <w:spacing w:line="600"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2025年，开发区未收到建议提案</w:t>
      </w:r>
      <w:r>
        <w:rPr>
          <w:rFonts w:hint="eastAsia" w:ascii="仿宋_GB2312" w:eastAsia="仿宋_GB2312"/>
          <w:sz w:val="32"/>
          <w:szCs w:val="32"/>
          <w:lang w:eastAsia="zh-CN"/>
        </w:rPr>
        <w:t>。</w:t>
      </w:r>
    </w:p>
    <w:p w14:paraId="3854EBB7">
      <w:pPr>
        <w:pageBreakBefore w:val="0"/>
        <w:kinsoku/>
        <w:wordWrap/>
        <w:overflowPunct/>
        <w:topLinePunct w:val="0"/>
        <w:autoSpaceDE/>
        <w:autoSpaceDN/>
        <w:bidi w:val="0"/>
        <w:adjustRightInd/>
        <w:spacing w:line="600" w:lineRule="exact"/>
        <w:ind w:firstLine="643" w:firstLineChars="200"/>
        <w:textAlignment w:val="auto"/>
        <w:outlineLvl w:val="9"/>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（四）政务公开工作创新情况</w:t>
      </w:r>
    </w:p>
    <w:p w14:paraId="50B4CE91">
      <w:pPr>
        <w:pageBreakBefore w:val="0"/>
        <w:kinsoku/>
        <w:wordWrap/>
        <w:overflowPunct/>
        <w:topLinePunct w:val="0"/>
        <w:autoSpaceDE/>
        <w:autoSpaceDN/>
        <w:bidi w:val="0"/>
        <w:adjustRightInd/>
        <w:spacing w:line="600" w:lineRule="exact"/>
        <w:ind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立足开发区主责主业，创新性举办政府开放日活动，邀请企业一线职工、企业家代表通过现场参观、政策集中宣讲等形式，面对面解读企业扶持、安全生产常识及防范诈骗等方面的政策法规，直观展示开发区业务工作成效，搭建了高效透明的政企沟通桥梁，现场听取并收集企业意见建议，将政策解读与意见征集延伸至企业一线。</w:t>
      </w:r>
    </w:p>
    <w:p w14:paraId="2F30E75F">
      <w:pPr>
        <w:pageBreakBefore w:val="0"/>
        <w:kinsoku/>
        <w:wordWrap/>
        <w:overflowPunct/>
        <w:topLinePunct w:val="0"/>
        <w:autoSpaceDE/>
        <w:autoSpaceDN/>
        <w:bidi w:val="0"/>
        <w:adjustRightInd/>
        <w:spacing w:line="600" w:lineRule="exact"/>
        <w:ind w:firstLine="643" w:firstLineChars="200"/>
        <w:textAlignment w:val="auto"/>
        <w:outlineLvl w:val="9"/>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（五）政府信息公开年度报告数据统计需要说明的事项</w:t>
      </w:r>
    </w:p>
    <w:p w14:paraId="3220CD18">
      <w:pPr>
        <w:pageBreakBefore w:val="0"/>
        <w:kinsoku/>
        <w:wordWrap/>
        <w:overflowPunct/>
        <w:topLinePunct w:val="0"/>
        <w:autoSpaceDE/>
        <w:autoSpaceDN/>
        <w:bidi w:val="0"/>
        <w:adjustRightInd/>
        <w:spacing w:line="600" w:lineRule="exact"/>
        <w:ind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本年度报告中所列数据统计期限从</w:t>
      </w:r>
      <w:r>
        <w:rPr>
          <w:rFonts w:hint="eastAsia" w:ascii="仿宋_GB2312" w:eastAsia="仿宋_GB2312"/>
          <w:sz w:val="32"/>
          <w:szCs w:val="32"/>
          <w:lang w:val="en-US" w:eastAsia="zh-CN"/>
        </w:rPr>
        <w:t>2025年1月1日至12月31日止。</w:t>
      </w:r>
    </w:p>
    <w:p w14:paraId="4B97CBDB">
      <w:pPr>
        <w:pStyle w:val="5"/>
        <w:pageBreakBefore w:val="0"/>
        <w:shd w:val="clear" w:color="auto" w:fill="FFFFFF"/>
        <w:kinsoku/>
        <w:wordWrap/>
        <w:overflowPunct/>
        <w:topLinePunct w:val="0"/>
        <w:autoSpaceDE/>
        <w:autoSpaceDN/>
        <w:bidi w:val="0"/>
        <w:adjustRightInd/>
        <w:spacing w:beforeAutospacing="0" w:afterAutospacing="0" w:line="600" w:lineRule="exact"/>
        <w:ind w:firstLine="640" w:firstLineChars="200"/>
        <w:jc w:val="both"/>
        <w:textAlignment w:val="auto"/>
        <w:outlineLvl w:val="9"/>
        <w:rPr>
          <w:rFonts w:ascii="仿宋_GB2312" w:hAnsi="Times New Roman" w:eastAsia="仿宋_GB2312" w:cs="仿宋_GB2312"/>
          <w:sz w:val="32"/>
          <w:szCs w:val="32"/>
          <w:shd w:val="clear" w:color="auto" w:fill="FFFFFF"/>
        </w:rPr>
      </w:pPr>
      <w:r>
        <w:rPr>
          <w:rFonts w:ascii="仿宋_GB2312" w:hAnsi="Times New Roman" w:eastAsia="仿宋_GB2312" w:cs="仿宋_GB2312"/>
          <w:sz w:val="32"/>
          <w:szCs w:val="32"/>
          <w:shd w:val="clear" w:color="auto" w:fill="FFFFFF"/>
        </w:rPr>
        <w:t>2</w:t>
      </w:r>
      <w:r>
        <w:rPr>
          <w:rFonts w:hint="eastAsia" w:ascii="仿宋_GB2312" w:hAnsi="Times New Roman" w:eastAsia="仿宋_GB2312" w:cs="仿宋_GB2312"/>
          <w:sz w:val="32"/>
          <w:szCs w:val="32"/>
          <w:shd w:val="clear" w:color="auto" w:fill="FFFFFF"/>
          <w:lang w:val="en-US" w:eastAsia="zh-CN"/>
        </w:rPr>
        <w:t>.</w:t>
      </w:r>
      <w:r>
        <w:rPr>
          <w:rFonts w:hint="eastAsia" w:ascii="仿宋_GB2312" w:hAnsi="Times New Roman" w:eastAsia="仿宋_GB2312" w:cs="仿宋_GB2312"/>
          <w:sz w:val="32"/>
          <w:szCs w:val="32"/>
          <w:shd w:val="clear" w:color="auto" w:fill="FFFFFF"/>
        </w:rPr>
        <w:t>行政许可数量、行政处罚和行政强制数</w:t>
      </w:r>
      <w:bookmarkStart w:id="11" w:name="_GoBack"/>
      <w:bookmarkEnd w:id="11"/>
      <w:r>
        <w:rPr>
          <w:rFonts w:hint="eastAsia" w:ascii="仿宋_GB2312" w:hAnsi="Times New Roman" w:eastAsia="仿宋_GB2312" w:cs="仿宋_GB2312"/>
          <w:sz w:val="32"/>
          <w:szCs w:val="32"/>
          <w:shd w:val="clear" w:color="auto" w:fill="FFFFFF"/>
        </w:rPr>
        <w:t>量，包括已公开和依法未公开的全部处理决定。</w:t>
      </w:r>
    </w:p>
    <w:p w14:paraId="6A603BE0">
      <w:pPr>
        <w:pStyle w:val="5"/>
        <w:pageBreakBefore w:val="0"/>
        <w:shd w:val="clear" w:color="auto" w:fill="FFFFFF"/>
        <w:kinsoku/>
        <w:wordWrap/>
        <w:overflowPunct/>
        <w:topLinePunct w:val="0"/>
        <w:autoSpaceDE/>
        <w:autoSpaceDN/>
        <w:bidi w:val="0"/>
        <w:adjustRightInd/>
        <w:spacing w:beforeAutospacing="0" w:afterAutospacing="0" w:line="600" w:lineRule="exact"/>
        <w:ind w:firstLine="640" w:firstLineChars="200"/>
        <w:jc w:val="both"/>
        <w:textAlignment w:val="auto"/>
        <w:outlineLvl w:val="9"/>
        <w:rPr>
          <w:rFonts w:ascii="仿宋_GB2312" w:hAnsi="Times New Roman" w:eastAsia="仿宋_GB2312"/>
          <w:sz w:val="32"/>
          <w:szCs w:val="32"/>
          <w:shd w:val="clear" w:color="auto" w:fill="FFFFFF"/>
        </w:rPr>
      </w:pPr>
      <w:r>
        <w:rPr>
          <w:rFonts w:ascii="仿宋_GB2312" w:hAnsi="Times New Roman" w:eastAsia="仿宋_GB2312" w:cs="仿宋_GB2312"/>
          <w:sz w:val="32"/>
          <w:szCs w:val="32"/>
          <w:shd w:val="clear" w:color="auto" w:fill="FFFFFF"/>
        </w:rPr>
        <w:t>3</w:t>
      </w:r>
      <w:r>
        <w:rPr>
          <w:rFonts w:hint="eastAsia" w:ascii="仿宋_GB2312" w:hAnsi="Times New Roman" w:eastAsia="仿宋_GB2312" w:cs="仿宋_GB2312"/>
          <w:sz w:val="32"/>
          <w:szCs w:val="32"/>
          <w:shd w:val="clear" w:color="auto" w:fill="FFFFFF"/>
          <w:lang w:val="en-US" w:eastAsia="zh-CN"/>
        </w:rPr>
        <w:t>.</w:t>
      </w:r>
      <w:r>
        <w:rPr>
          <w:rFonts w:hint="eastAsia" w:ascii="仿宋_GB2312" w:hAnsi="Times New Roman" w:eastAsia="仿宋_GB2312" w:cs="仿宋_GB2312"/>
          <w:sz w:val="32"/>
          <w:szCs w:val="32"/>
          <w:shd w:val="clear" w:color="auto" w:fill="FFFFFF"/>
        </w:rPr>
        <w:t>行政复议机关作为共同被告的行政诉讼案件，只计算原行为主体的案件数量，不计算行政复议机关的案件数量。</w:t>
      </w:r>
    </w:p>
    <w:p w14:paraId="0BE2B040">
      <w:pPr>
        <w:pStyle w:val="2"/>
        <w:rPr>
          <w:rFonts w:hint="eastAsia" w:eastAsia="宋体"/>
          <w:lang w:val="en-US" w:eastAsia="zh-CN"/>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CESI小标宋-GB2312">
    <w:altName w:val="宋体"/>
    <w:panose1 w:val="02000500000000000000"/>
    <w:charset w:val="86"/>
    <w:family w:val="auto"/>
    <w:pitch w:val="default"/>
    <w:sig w:usb0="00000000" w:usb1="00000000" w:usb2="00000010" w:usb3="00000000" w:csb0="0004000F" w:csb1="00000000"/>
  </w:font>
  <w:font w:name="仿宋_GB2312">
    <w:panose1 w:val="02010609030101010101"/>
    <w:charset w:val="86"/>
    <w:family w:val="decorative"/>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CESI楷体-GB2312">
    <w:altName w:val="楷体_GB2312"/>
    <w:panose1 w:val="02000500000000000000"/>
    <w:charset w:val="86"/>
    <w:family w:val="auto"/>
    <w:pitch w:val="default"/>
    <w:sig w:usb0="00000000" w:usb1="00000000" w:usb2="00000012" w:usb3="00000000" w:csb0="0004000F" w:csb1="00000000"/>
  </w:font>
  <w:font w:name="楷体_GB2312">
    <w:panose1 w:val="02010609030101010101"/>
    <w:charset w:val="86"/>
    <w:family w:val="decorative"/>
    <w:pitch w:val="default"/>
    <w:sig w:usb0="00000001" w:usb1="080E0000" w:usb2="00000000" w:usb3="00000000" w:csb0="00040000" w:csb1="00000000"/>
  </w:font>
  <w:font w:name="汉仪中等线简">
    <w:altName w:val="宋体"/>
    <w:panose1 w:val="02010600000101010101"/>
    <w:charset w:val="86"/>
    <w:family w:val="modern"/>
    <w:pitch w:val="default"/>
    <w:sig w:usb0="00000000" w:usb1="00000000" w:usb2="00000002" w:usb3="00000000" w:csb0="00040000" w:csb1="00000000"/>
  </w:font>
  <w:font w:name="楷体">
    <w:panose1 w:val="02010609060101010101"/>
    <w:charset w:val="86"/>
    <w:family w:val="decorative"/>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00"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B39D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73FF06">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m5dHdAQAAvgMAAA4AAAAAAAAA&#10;AQAgAAAAHgEAAGRycy9lMm9Eb2MueG1sUEsFBgAAAAAGAAYAWQEAAG0FAAAAAA==&#10;">
              <v:fill on="f" focussize="0,0"/>
              <v:stroke on="f"/>
              <v:imagedata o:title=""/>
              <o:lock v:ext="edit" aspectratio="f"/>
              <v:textbox inset="0mm,0mm,0mm,0mm" style="mso-fit-shape-to-text:t;">
                <w:txbxContent>
                  <w:p w14:paraId="3573FF06">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7D07CB"/>
    <w:multiLevelType w:val="singleLevel"/>
    <w:tmpl w:val="487D07CB"/>
    <w:lvl w:ilvl="0" w:tentative="0">
      <w:start w:val="1"/>
      <w:numFmt w:val="chineseCounting"/>
      <w:suff w:val="nothing"/>
      <w:lvlText w:val="%1、"/>
      <w:lvlJc w:val="left"/>
      <w:rPr>
        <w:rFonts w:hint="eastAsia"/>
      </w:rPr>
    </w:lvl>
  </w:abstractNum>
  <w:abstractNum w:abstractNumId="1">
    <w:nsid w:val="54300017"/>
    <w:multiLevelType w:val="singleLevel"/>
    <w:tmpl w:val="54300017"/>
    <w:lvl w:ilvl="0" w:tentative="0">
      <w:start w:val="4"/>
      <w:numFmt w:val="chineseCounting"/>
      <w:suff w:val="nothing"/>
      <w:lvlText w:val="（%1）"/>
      <w:lvlJc w:val="left"/>
      <w:rPr>
        <w:rFonts w:hint="eastAsia"/>
      </w:rPr>
    </w:lvl>
  </w:abstractNum>
  <w:abstractNum w:abstractNumId="2">
    <w:nsid w:val="71479142"/>
    <w:multiLevelType w:val="singleLevel"/>
    <w:tmpl w:val="71479142"/>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7FEF658B"/>
    <w:rsid w:val="09BFAE49"/>
    <w:rsid w:val="0B7D1D96"/>
    <w:rsid w:val="0FFD0A9A"/>
    <w:rsid w:val="142C2025"/>
    <w:rsid w:val="15AF50A8"/>
    <w:rsid w:val="163F2C2D"/>
    <w:rsid w:val="168B019E"/>
    <w:rsid w:val="17BFEB6D"/>
    <w:rsid w:val="17CD8F2E"/>
    <w:rsid w:val="1CF523BA"/>
    <w:rsid w:val="1D7F0271"/>
    <w:rsid w:val="1FD5D705"/>
    <w:rsid w:val="25ED1779"/>
    <w:rsid w:val="25FE3D80"/>
    <w:rsid w:val="2BFFECDA"/>
    <w:rsid w:val="2D07E0AC"/>
    <w:rsid w:val="2D571051"/>
    <w:rsid w:val="2D7F721F"/>
    <w:rsid w:val="2FAF9428"/>
    <w:rsid w:val="2FDF6090"/>
    <w:rsid w:val="30FFC5AF"/>
    <w:rsid w:val="347B346B"/>
    <w:rsid w:val="35F5F7BD"/>
    <w:rsid w:val="36ED2F5F"/>
    <w:rsid w:val="38754646"/>
    <w:rsid w:val="3BCE3EB9"/>
    <w:rsid w:val="3BD38DA5"/>
    <w:rsid w:val="3BFF0F2E"/>
    <w:rsid w:val="3CAB10C6"/>
    <w:rsid w:val="3D1B60F2"/>
    <w:rsid w:val="3DBF5A2C"/>
    <w:rsid w:val="3DFE2019"/>
    <w:rsid w:val="3DFF2151"/>
    <w:rsid w:val="3DFF6C3A"/>
    <w:rsid w:val="3E7A39E2"/>
    <w:rsid w:val="3EBA999F"/>
    <w:rsid w:val="3EF757ED"/>
    <w:rsid w:val="3EF79DD7"/>
    <w:rsid w:val="3EFB272A"/>
    <w:rsid w:val="3EFE9921"/>
    <w:rsid w:val="3EFF3A68"/>
    <w:rsid w:val="3F7B21EB"/>
    <w:rsid w:val="3F9D550D"/>
    <w:rsid w:val="3FC78B58"/>
    <w:rsid w:val="3FDF0794"/>
    <w:rsid w:val="3FE999B0"/>
    <w:rsid w:val="3FEE2C70"/>
    <w:rsid w:val="3FF750D2"/>
    <w:rsid w:val="3FFE923C"/>
    <w:rsid w:val="3FFEA9BE"/>
    <w:rsid w:val="3FFF1B85"/>
    <w:rsid w:val="3FFFD654"/>
    <w:rsid w:val="3FFFD794"/>
    <w:rsid w:val="43FF2EF7"/>
    <w:rsid w:val="47BFD4FF"/>
    <w:rsid w:val="4BF5763D"/>
    <w:rsid w:val="4D5B5553"/>
    <w:rsid w:val="4D7FA9EA"/>
    <w:rsid w:val="4EFF75C3"/>
    <w:rsid w:val="4FAC3C80"/>
    <w:rsid w:val="4FBECA11"/>
    <w:rsid w:val="51E54756"/>
    <w:rsid w:val="51FED7AB"/>
    <w:rsid w:val="53030707"/>
    <w:rsid w:val="53EF3D66"/>
    <w:rsid w:val="53F493FF"/>
    <w:rsid w:val="544FEB14"/>
    <w:rsid w:val="553A8547"/>
    <w:rsid w:val="55EA121A"/>
    <w:rsid w:val="57DF68D6"/>
    <w:rsid w:val="57FF96B1"/>
    <w:rsid w:val="5A570386"/>
    <w:rsid w:val="5B5BAFEC"/>
    <w:rsid w:val="5BFCC93E"/>
    <w:rsid w:val="5C4A1F98"/>
    <w:rsid w:val="5DE33500"/>
    <w:rsid w:val="5DEF253B"/>
    <w:rsid w:val="5DFB2BCB"/>
    <w:rsid w:val="5E7FA522"/>
    <w:rsid w:val="5E9E2CCE"/>
    <w:rsid w:val="5ED33E19"/>
    <w:rsid w:val="5ED5AFFA"/>
    <w:rsid w:val="5EECA290"/>
    <w:rsid w:val="5EEFD745"/>
    <w:rsid w:val="5EFA7CCD"/>
    <w:rsid w:val="5F7E52F8"/>
    <w:rsid w:val="5F8F8379"/>
    <w:rsid w:val="5FBDD6D2"/>
    <w:rsid w:val="5FBEDD70"/>
    <w:rsid w:val="5FEE129C"/>
    <w:rsid w:val="5FF6D530"/>
    <w:rsid w:val="60FFB723"/>
    <w:rsid w:val="628F4EA0"/>
    <w:rsid w:val="62E1223B"/>
    <w:rsid w:val="66BB7986"/>
    <w:rsid w:val="677EB821"/>
    <w:rsid w:val="67A7F5CE"/>
    <w:rsid w:val="67B5DDFC"/>
    <w:rsid w:val="67CF50FE"/>
    <w:rsid w:val="67F759EC"/>
    <w:rsid w:val="6BBFA990"/>
    <w:rsid w:val="6BF78F55"/>
    <w:rsid w:val="6BFFC3DB"/>
    <w:rsid w:val="6C3D09B7"/>
    <w:rsid w:val="6C7F5D64"/>
    <w:rsid w:val="6DDCA9AA"/>
    <w:rsid w:val="6DE7C9C6"/>
    <w:rsid w:val="6DF2E1CE"/>
    <w:rsid w:val="6DFEA2C1"/>
    <w:rsid w:val="6EBF73E3"/>
    <w:rsid w:val="6ED7CCDE"/>
    <w:rsid w:val="6EF4C2E7"/>
    <w:rsid w:val="6F37D775"/>
    <w:rsid w:val="6FBB27F8"/>
    <w:rsid w:val="6FBF0D38"/>
    <w:rsid w:val="6FE333A2"/>
    <w:rsid w:val="6FEE42C7"/>
    <w:rsid w:val="6FF330EE"/>
    <w:rsid w:val="6FFD68DA"/>
    <w:rsid w:val="72CFD79F"/>
    <w:rsid w:val="743D6E53"/>
    <w:rsid w:val="757F11AD"/>
    <w:rsid w:val="75F77CD4"/>
    <w:rsid w:val="767B5FE7"/>
    <w:rsid w:val="76AA3DDE"/>
    <w:rsid w:val="775EB7B1"/>
    <w:rsid w:val="77CA8C2E"/>
    <w:rsid w:val="77E2226A"/>
    <w:rsid w:val="77FEB9F5"/>
    <w:rsid w:val="7A093C36"/>
    <w:rsid w:val="7A659252"/>
    <w:rsid w:val="7A7F311F"/>
    <w:rsid w:val="7A7F43F2"/>
    <w:rsid w:val="7AFF42DA"/>
    <w:rsid w:val="7B5AB41D"/>
    <w:rsid w:val="7BCF7B60"/>
    <w:rsid w:val="7BD783A9"/>
    <w:rsid w:val="7BE5A58A"/>
    <w:rsid w:val="7BEC260E"/>
    <w:rsid w:val="7BED0E57"/>
    <w:rsid w:val="7BFE7A63"/>
    <w:rsid w:val="7BFF0E94"/>
    <w:rsid w:val="7BFF5E57"/>
    <w:rsid w:val="7C6E4FA9"/>
    <w:rsid w:val="7C779C33"/>
    <w:rsid w:val="7CDF3DBD"/>
    <w:rsid w:val="7CEDB899"/>
    <w:rsid w:val="7CFF7EE1"/>
    <w:rsid w:val="7D74B766"/>
    <w:rsid w:val="7D873C6A"/>
    <w:rsid w:val="7DFF0B4D"/>
    <w:rsid w:val="7E6F71AF"/>
    <w:rsid w:val="7E7135BF"/>
    <w:rsid w:val="7E7F3052"/>
    <w:rsid w:val="7EBF93D3"/>
    <w:rsid w:val="7EE56A34"/>
    <w:rsid w:val="7EED5D03"/>
    <w:rsid w:val="7EEF5AF8"/>
    <w:rsid w:val="7EF95957"/>
    <w:rsid w:val="7F13F6CF"/>
    <w:rsid w:val="7F6FD504"/>
    <w:rsid w:val="7F73E18E"/>
    <w:rsid w:val="7F75EFE6"/>
    <w:rsid w:val="7F79716C"/>
    <w:rsid w:val="7F8E3466"/>
    <w:rsid w:val="7FBFAEB4"/>
    <w:rsid w:val="7FEF658B"/>
    <w:rsid w:val="7FFF27F7"/>
    <w:rsid w:val="7FFFB5D4"/>
    <w:rsid w:val="85BC9B61"/>
    <w:rsid w:val="8BB95354"/>
    <w:rsid w:val="8D78DC5A"/>
    <w:rsid w:val="91E93E2F"/>
    <w:rsid w:val="956D85C9"/>
    <w:rsid w:val="97EF4932"/>
    <w:rsid w:val="9B7FC383"/>
    <w:rsid w:val="9CEF00A8"/>
    <w:rsid w:val="9D9797CC"/>
    <w:rsid w:val="9DA30073"/>
    <w:rsid w:val="9EAFAA5D"/>
    <w:rsid w:val="9FFF0F55"/>
    <w:rsid w:val="A7FCE885"/>
    <w:rsid w:val="A9DABC93"/>
    <w:rsid w:val="AA0F8F88"/>
    <w:rsid w:val="AFCFC30E"/>
    <w:rsid w:val="B2E9B92F"/>
    <w:rsid w:val="B6B5480E"/>
    <w:rsid w:val="B77FA11B"/>
    <w:rsid w:val="B7C8F05D"/>
    <w:rsid w:val="BA7B23C6"/>
    <w:rsid w:val="BB7FCE6F"/>
    <w:rsid w:val="BBF92763"/>
    <w:rsid w:val="BC99AAB2"/>
    <w:rsid w:val="BCDAB567"/>
    <w:rsid w:val="BDB7618B"/>
    <w:rsid w:val="BDFFFE4E"/>
    <w:rsid w:val="BE7F16D8"/>
    <w:rsid w:val="BEFEC590"/>
    <w:rsid w:val="BEFF4B1A"/>
    <w:rsid w:val="BEFF91CF"/>
    <w:rsid w:val="BF470EE9"/>
    <w:rsid w:val="BFBA06E8"/>
    <w:rsid w:val="BFDB1BD3"/>
    <w:rsid w:val="BFDE7FE6"/>
    <w:rsid w:val="BFFFA3C3"/>
    <w:rsid w:val="BFFFF9DE"/>
    <w:rsid w:val="CD7FCE29"/>
    <w:rsid w:val="CDDE6BA6"/>
    <w:rsid w:val="CEED47EB"/>
    <w:rsid w:val="CF3DEF47"/>
    <w:rsid w:val="CFEDAE56"/>
    <w:rsid w:val="CFFF7263"/>
    <w:rsid w:val="D3E7E68F"/>
    <w:rsid w:val="D3FDE46D"/>
    <w:rsid w:val="D6BDA0FD"/>
    <w:rsid w:val="D7359B72"/>
    <w:rsid w:val="D7379F0F"/>
    <w:rsid w:val="D7B98E93"/>
    <w:rsid w:val="D7DEF8C9"/>
    <w:rsid w:val="D7F5A054"/>
    <w:rsid w:val="D7FBEBB9"/>
    <w:rsid w:val="D9AF3344"/>
    <w:rsid w:val="D9FFB875"/>
    <w:rsid w:val="DB1F8E78"/>
    <w:rsid w:val="DB76A610"/>
    <w:rsid w:val="DBD7ADD7"/>
    <w:rsid w:val="DBFA1478"/>
    <w:rsid w:val="DD6FDAA3"/>
    <w:rsid w:val="DDC5C86D"/>
    <w:rsid w:val="DEED708E"/>
    <w:rsid w:val="DEFDD219"/>
    <w:rsid w:val="DEFE3B35"/>
    <w:rsid w:val="DF1BD31B"/>
    <w:rsid w:val="DF9A698D"/>
    <w:rsid w:val="DF9CD2A4"/>
    <w:rsid w:val="DFEB4B44"/>
    <w:rsid w:val="DFEE4FA3"/>
    <w:rsid w:val="DFF2682B"/>
    <w:rsid w:val="DFF30864"/>
    <w:rsid w:val="DFF37627"/>
    <w:rsid w:val="DFF9E35E"/>
    <w:rsid w:val="DFFE574B"/>
    <w:rsid w:val="DFFE9125"/>
    <w:rsid w:val="E19FAC9C"/>
    <w:rsid w:val="EB7DFB4E"/>
    <w:rsid w:val="EB9F4F9F"/>
    <w:rsid w:val="EBAA24F9"/>
    <w:rsid w:val="EBBBC8EE"/>
    <w:rsid w:val="ED3E1A38"/>
    <w:rsid w:val="EDFD693B"/>
    <w:rsid w:val="EFA4C132"/>
    <w:rsid w:val="EFF63DBB"/>
    <w:rsid w:val="F0D310D9"/>
    <w:rsid w:val="F18F2102"/>
    <w:rsid w:val="F1BD59D0"/>
    <w:rsid w:val="F25B21BC"/>
    <w:rsid w:val="F37D58FD"/>
    <w:rsid w:val="F37D7D33"/>
    <w:rsid w:val="F3FEE081"/>
    <w:rsid w:val="F4CF5228"/>
    <w:rsid w:val="F57F64D6"/>
    <w:rsid w:val="F5ED3CA1"/>
    <w:rsid w:val="F67F67ED"/>
    <w:rsid w:val="F6AF652A"/>
    <w:rsid w:val="F75F7171"/>
    <w:rsid w:val="F77FAC29"/>
    <w:rsid w:val="F7B7D272"/>
    <w:rsid w:val="F7F7000F"/>
    <w:rsid w:val="F7F75A83"/>
    <w:rsid w:val="F7FF23C3"/>
    <w:rsid w:val="F7FFC80F"/>
    <w:rsid w:val="F8FF947A"/>
    <w:rsid w:val="F972EDE1"/>
    <w:rsid w:val="FAFDB593"/>
    <w:rsid w:val="FB743BE6"/>
    <w:rsid w:val="FBCEBB90"/>
    <w:rsid w:val="FBF3231B"/>
    <w:rsid w:val="FBFB032A"/>
    <w:rsid w:val="FBFFBC43"/>
    <w:rsid w:val="FCFB435D"/>
    <w:rsid w:val="FD1D5D8B"/>
    <w:rsid w:val="FD1D8327"/>
    <w:rsid w:val="FD5F7B13"/>
    <w:rsid w:val="FDBEBB72"/>
    <w:rsid w:val="FDFFA346"/>
    <w:rsid w:val="FE734873"/>
    <w:rsid w:val="FE73510B"/>
    <w:rsid w:val="FEBDF147"/>
    <w:rsid w:val="FED2D094"/>
    <w:rsid w:val="FEDEB4CA"/>
    <w:rsid w:val="FEE63162"/>
    <w:rsid w:val="FEEDCFAA"/>
    <w:rsid w:val="FEF79DFC"/>
    <w:rsid w:val="FEFEE4AF"/>
    <w:rsid w:val="FEFF4951"/>
    <w:rsid w:val="FF2FA6E5"/>
    <w:rsid w:val="FF5C5AE4"/>
    <w:rsid w:val="FF724A99"/>
    <w:rsid w:val="FF737244"/>
    <w:rsid w:val="FFAE1F37"/>
    <w:rsid w:val="FFB76AB9"/>
    <w:rsid w:val="FFBE0763"/>
    <w:rsid w:val="FFBF25AE"/>
    <w:rsid w:val="FFD970A3"/>
    <w:rsid w:val="FFDB7C45"/>
    <w:rsid w:val="FFF45F86"/>
    <w:rsid w:val="FFF662DE"/>
    <w:rsid w:val="FFFD433D"/>
    <w:rsid w:val="FFFD6089"/>
    <w:rsid w:val="FFFE85DA"/>
    <w:rsid w:val="FFFF17DF"/>
    <w:rsid w:val="FFFF34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header"/>
    <w:basedOn w:val="1"/>
    <w:next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er"/>
    <w:basedOn w:val="1"/>
    <w:uiPriority w:val="0"/>
    <w:pPr>
      <w:tabs>
        <w:tab w:val="center" w:pos="4153"/>
        <w:tab w:val="right" w:pos="8306"/>
      </w:tabs>
      <w:snapToGrid w:val="0"/>
      <w:jc w:val="left"/>
    </w:pPr>
    <w:rPr>
      <w:sz w:val="18"/>
    </w:rPr>
  </w:style>
  <w:style w:type="paragraph" w:styleId="5">
    <w:name w:val="Normal (Web)"/>
    <w:basedOn w:val="1"/>
    <w:qFormat/>
    <w:uiPriority w:val="99"/>
    <w:pPr>
      <w:spacing w:beforeAutospacing="1" w:afterAutospacing="1"/>
      <w:jc w:val="left"/>
    </w:pPr>
    <w:rPr>
      <w:rFonts w:cs="Times New Roman"/>
      <w:kern w:val="0"/>
      <w:sz w:val="24"/>
      <w:szCs w:val="24"/>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2789</Words>
  <Characters>2920</Characters>
  <Lines>0</Lines>
  <Paragraphs>0</Paragraphs>
  <TotalTime>1776</TotalTime>
  <ScaleCrop>false</ScaleCrop>
  <LinksUpToDate>false</LinksUpToDate>
  <CharactersWithSpaces>2920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2022-01-10T09:11:00Z</dcterms:created>
  <dc:creator>user</dc:creator>
  <cp:lastModifiedBy>cookie</cp:lastModifiedBy>
  <dcterms:modified xsi:type="dcterms:W3CDTF">2026-01-21T08:41:31Z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CACCFDB36C294037A84B22ECAE70BB51_13</vt:lpwstr>
  </property>
  <property fmtid="{D5CDD505-2E9C-101B-9397-08002B2CF9AE}" pid="4" name="KSOTemplateDocerSaveRecord">
    <vt:lpwstr>eyJoZGlkIjoiYmFiYzI2MWM0NWFiMWQ2ODljYjk4YzY5MTQxZGNlN2IiLCJ1c2VySWQiOiI0MjIyMzUzNjYifQ==</vt:lpwstr>
  </property>
</Properties>
</file>