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579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冠县</w:t>
      </w:r>
      <w:r>
        <w:rPr>
          <w:rFonts w:hint="eastAsia" w:ascii="方正小标宋简体" w:hAnsi="方正小标宋简体" w:eastAsia="方正小标宋简体" w:cs="方正小标宋简体"/>
          <w:sz w:val="44"/>
          <w:szCs w:val="44"/>
          <w:lang w:val="en-US" w:eastAsia="zh-CN"/>
        </w:rPr>
        <w:t>辛集镇人民政府2025年</w:t>
      </w:r>
      <w:r>
        <w:rPr>
          <w:rFonts w:hint="eastAsia" w:ascii="方正小标宋简体" w:hAnsi="方正小标宋简体" w:eastAsia="方正小标宋简体" w:cs="方正小标宋简体"/>
          <w:sz w:val="44"/>
          <w:szCs w:val="44"/>
        </w:rPr>
        <w:t>政府信息公开工作年度报告</w:t>
      </w:r>
    </w:p>
    <w:p w14:paraId="315DC1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p>
    <w:p w14:paraId="02B493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eastAsia="zh-CN"/>
        </w:rPr>
        <w:t>辛集镇人民政府</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辛集镇岳阳路205号；邮编：252514；</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0635-5516101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gxxjzliushujin</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14:paraId="0908E2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14:paraId="7D2227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sz w:val="32"/>
          <w:szCs w:val="32"/>
          <w:lang w:eastAsia="zh-CN"/>
        </w:rPr>
      </w:pPr>
      <w:r>
        <w:rPr>
          <w:rFonts w:hint="eastAsia" w:ascii="仿宋_GB2312" w:hAnsi="仿宋_GB2312" w:eastAsia="仿宋_GB2312" w:cs="仿宋_GB2312"/>
          <w:b w:val="0"/>
          <w:bCs w:val="0"/>
          <w:i w:val="0"/>
          <w:iCs w:val="0"/>
          <w:caps w:val="0"/>
          <w:color w:val="000000"/>
          <w:spacing w:val="0"/>
          <w:sz w:val="32"/>
          <w:szCs w:val="32"/>
        </w:rPr>
        <w:t>2025年，冠县辛集镇人民政府深入贯彻《中华人民共和国政府信息公开条例》，紧紧围绕提升政府工作透明度、强化社会监督、密切联系群众、推进依法行政与廉洁高效执政的目标，坚持巩固基础、拓展深化、规范运行、探索创新的工作思路，扎实推进政务公开各项工作。</w:t>
      </w:r>
    </w:p>
    <w:p w14:paraId="478196FA">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51EEAB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ascii="仿宋_GB2312" w:hAnsi="宋体" w:eastAsia="仿宋_GB2312" w:cs="仿宋_GB2312"/>
          <w:i w:val="0"/>
          <w:iCs w:val="0"/>
          <w:caps w:val="0"/>
          <w:color w:val="000000"/>
          <w:spacing w:val="0"/>
          <w:sz w:val="32"/>
          <w:szCs w:val="32"/>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28条，主要包括机构概况、工作动态、民生服务、财政信息等方面信息。</w:t>
      </w:r>
    </w:p>
    <w:p w14:paraId="4905CAE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EBAE89F">
      <w:pPr>
        <w:pStyle w:val="2"/>
        <w:jc w:val="center"/>
        <w:rPr>
          <w:rFonts w:hint="eastAsia"/>
          <w:lang w:val="en-US" w:eastAsia="zh-CN"/>
        </w:rPr>
      </w:pPr>
    </w:p>
    <w:p w14:paraId="1848D761">
      <w:pPr>
        <w:rPr>
          <w:rFonts w:hint="eastAsia"/>
          <w:lang w:val="en-US" w:eastAsia="zh-CN"/>
        </w:rPr>
      </w:pPr>
    </w:p>
    <w:p w14:paraId="295D8B5E">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14:paraId="01305D93">
      <w:pPr>
        <w:ind w:firstLine="640" w:firstLineChars="200"/>
        <w:rPr>
          <w:rFonts w:hint="eastAsia" w:ascii="仿宋_GB2312" w:eastAsia="仿宋_GB2312" w:cs="汉仪中等线简"/>
          <w:sz w:val="32"/>
          <w:szCs w:val="32"/>
          <w:lang w:eastAsia="zh-CN"/>
        </w:rPr>
      </w:pPr>
      <w:r>
        <w:rPr>
          <w:rFonts w:hint="eastAsia" w:ascii="仿宋_GB2312" w:eastAsia="仿宋_GB2312"/>
          <w:color w:val="auto"/>
          <w:sz w:val="32"/>
          <w:szCs w:val="32"/>
          <w:lang w:val="en-US" w:eastAsia="zh-CN"/>
        </w:rPr>
        <w:t>2025年，共受理政府信息公开申请0件，</w:t>
      </w:r>
      <w:r>
        <w:rPr>
          <w:rFonts w:hint="eastAsia" w:ascii="仿宋_GB2312" w:eastAsia="仿宋_GB2312" w:cs="汉仪中等线简"/>
          <w:sz w:val="32"/>
          <w:szCs w:val="32"/>
          <w:lang w:eastAsia="zh-CN"/>
        </w:rPr>
        <w:t>全年未发生因政府信息公开被行政复议、提起行政诉讼情况。</w:t>
      </w:r>
    </w:p>
    <w:p w14:paraId="1E5A6CDC">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14:paraId="6934B672">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持续强化组织领导，构建纵向贯通、横向协同的责任体系，由镇主要领导负总责，党政办公室具体牵头，配备专职人员负责日常公开工作。紧密跟踪上级政策动态，结合本镇实际，及时准确发布各类惠企利民信息，织密惠民助企服务网络。健全信息发布审核机制，严格执行“三审三校”流程，确保信息内容合法、准确、规范。注重能力建设，定期组织政务公开专题培训，着力提升工作人员业务素养与政策把握能力，不断增强政务公开工作实效与群众获得感。</w:t>
      </w:r>
    </w:p>
    <w:p w14:paraId="312FDF35">
      <w:pPr>
        <w:keepNext w:val="0"/>
        <w:keepLines w:val="0"/>
        <w:pageBreakBefore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14:paraId="495EF51C">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b/>
          <w:bCs/>
          <w:sz w:val="32"/>
          <w:szCs w:val="32"/>
          <w:lang w:eastAsia="zh-CN"/>
        </w:rPr>
      </w:pPr>
      <w:r>
        <w:rPr>
          <w:rFonts w:hint="eastAsia" w:ascii="仿宋_GB2312" w:eastAsia="仿宋_GB2312"/>
          <w:sz w:val="32"/>
          <w:szCs w:val="32"/>
        </w:rPr>
        <w:t>统筹推进线上线下公开平台融合建设。在优化政府网站主渠道功能的同时，积极利用镇村公示栏、电子显示屏、便民服务窗口等实体平台，以及适宜的新媒体载体，拓展信息公开覆盖面。持续完善信息公开目录体系，细化公开内容标准，确保主动公开事项分类科学、界定清晰、易于获取，切实发挥平台服务群众、接受监督的作用。</w:t>
      </w:r>
    </w:p>
    <w:p w14:paraId="42E444DE">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14:paraId="671878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sz w:val="32"/>
          <w:szCs w:val="32"/>
        </w:rPr>
      </w:pPr>
      <w:r>
        <w:rPr>
          <w:rFonts w:hint="eastAsia" w:ascii="仿宋_GB2312" w:eastAsia="仿宋_GB2312"/>
          <w:b/>
          <w:bCs/>
          <w:sz w:val="32"/>
          <w:szCs w:val="32"/>
        </w:rPr>
        <w:t>一是</w:t>
      </w:r>
      <w:r>
        <w:rPr>
          <w:rFonts w:hint="eastAsia" w:ascii="仿宋_GB2312" w:eastAsia="仿宋_GB2312"/>
          <w:b w:val="0"/>
          <w:bCs w:val="0"/>
          <w:sz w:val="32"/>
          <w:szCs w:val="32"/>
        </w:rPr>
        <w:t>强化组织监督，将政务公开纳入重要议事日程和绩效考核体系，压实各环节责任。</w:t>
      </w:r>
      <w:r>
        <w:rPr>
          <w:rFonts w:hint="eastAsia" w:ascii="仿宋_GB2312" w:eastAsia="仿宋_GB2312"/>
          <w:b/>
          <w:bCs/>
          <w:sz w:val="32"/>
          <w:szCs w:val="32"/>
        </w:rPr>
        <w:t>二是</w:t>
      </w:r>
      <w:r>
        <w:rPr>
          <w:rFonts w:hint="eastAsia" w:ascii="仿宋_GB2312" w:eastAsia="仿宋_GB2312"/>
          <w:b w:val="0"/>
          <w:bCs w:val="0"/>
          <w:sz w:val="32"/>
          <w:szCs w:val="32"/>
        </w:rPr>
        <w:t>主动接受社会评议，通过多种形式征集公众意见建议，将群众满意度作为衡量工作成效的重要标准。</w:t>
      </w:r>
      <w:r>
        <w:rPr>
          <w:rFonts w:hint="eastAsia" w:ascii="仿宋_GB2312" w:eastAsia="仿宋_GB2312"/>
          <w:b/>
          <w:bCs/>
          <w:sz w:val="32"/>
          <w:szCs w:val="32"/>
        </w:rPr>
        <w:t>三是</w:t>
      </w:r>
      <w:r>
        <w:rPr>
          <w:rFonts w:hint="eastAsia" w:ascii="仿宋_GB2312" w:eastAsia="仿宋_GB2312"/>
          <w:b w:val="0"/>
          <w:bCs w:val="0"/>
          <w:sz w:val="32"/>
          <w:szCs w:val="32"/>
        </w:rPr>
        <w:t>健全常态化监管机制，指定专人定期巡查已公开信息，重点检查内容准确性、更新及时性和格式规范性，及时清理无效或错误信息。对工作落实不力、进展缓慢的，予以督促整改并视情通报。</w:t>
      </w:r>
    </w:p>
    <w:p w14:paraId="4045814F">
      <w:pPr>
        <w:pStyle w:val="3"/>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5E0A84C7">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7A18A8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6D68321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0A0755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3295C4A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1D8ECD3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0631211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512209D3">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712AFF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068B6709">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96F6E9C">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F27CB18">
            <w:pPr>
              <w:widowControl/>
              <w:jc w:val="center"/>
              <w:rPr>
                <w:rFonts w:hint="eastAsia" w:ascii="仿宋_GB2312" w:hAnsi="Calibri" w:eastAsia="仿宋_GB2312" w:cs="Calibri"/>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5C857769">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5D4676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3E11A7C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68CD01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70EEFE75">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r w14:paraId="3490692A">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ABC6C0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3CF63E53">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08D5D8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23A83F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B721E9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63BB8E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4EBEFD4D">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r w14:paraId="5BD50989">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81CD54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62AC362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16AB9F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21A504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72E9C549">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026169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5501677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14:paraId="6E1DBAEE">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694173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591820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14:paraId="69AE93B1">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280DFE6">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73499AF7">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16D52D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4603FB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6FE51BAB">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D1FF40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361E34D9">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bl>
    <w:p w14:paraId="60CFE99C">
      <w:pPr>
        <w:numPr>
          <w:ilvl w:val="0"/>
          <w:numId w:val="0"/>
        </w:numPr>
        <w:rPr>
          <w:rFonts w:hint="eastAsia"/>
        </w:rPr>
      </w:pPr>
    </w:p>
    <w:p w14:paraId="5143C337">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6B8FFE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1F149DBD">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6FC5969D">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5A7FA536">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684809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419A9FE8">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404CE9BC">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5A3D6DE8">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4E4C67DB">
            <w:pPr>
              <w:widowControl/>
              <w:jc w:val="center"/>
              <w:rPr>
                <w:rFonts w:ascii="黑体" w:hAnsi="黑体" w:eastAsia="黑体"/>
                <w:szCs w:val="21"/>
              </w:rPr>
            </w:pPr>
            <w:r>
              <w:rPr>
                <w:rFonts w:hint="eastAsia" w:ascii="黑体" w:hAnsi="黑体" w:eastAsia="黑体"/>
                <w:kern w:val="0"/>
                <w:szCs w:val="21"/>
              </w:rPr>
              <w:t>总计</w:t>
            </w:r>
          </w:p>
        </w:tc>
      </w:tr>
      <w:tr w14:paraId="217C4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78E8D9EB">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291E4C8A">
            <w:pPr>
              <w:jc w:val="center"/>
              <w:rPr>
                <w:rFonts w:ascii="黑体" w:hAnsi="黑体" w:eastAsia="黑体"/>
                <w:szCs w:val="21"/>
              </w:rPr>
            </w:pPr>
          </w:p>
        </w:tc>
        <w:tc>
          <w:tcPr>
            <w:tcW w:w="567" w:type="dxa"/>
            <w:noWrap w:val="0"/>
            <w:tcMar>
              <w:left w:w="108" w:type="dxa"/>
              <w:right w:w="108" w:type="dxa"/>
            </w:tcMar>
            <w:vAlign w:val="center"/>
          </w:tcPr>
          <w:p w14:paraId="4104C2B3">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3CA22B4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12A07D39">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28A2C78E">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2B377DFF">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48AC3A80">
            <w:pPr>
              <w:jc w:val="center"/>
              <w:rPr>
                <w:rFonts w:ascii="仿宋_GB2312" w:hAnsi="Times New Roman" w:eastAsia="仿宋_GB2312"/>
                <w:szCs w:val="21"/>
              </w:rPr>
            </w:pPr>
          </w:p>
        </w:tc>
      </w:tr>
      <w:tr w14:paraId="7A738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0784BC92">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5A5E7E7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762A2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7D0511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82C20D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AF3194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D679CA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F73B99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6C34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C23AAB2">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4640663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09BAD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5A75D2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930A4F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39CFC1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5CDF0E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9E900E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F383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6B4DCE49">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2A9E1A29">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4F35DE8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BBC952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D0FEAC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44B760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7838E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AB434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55F5D4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482EE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CFA92F1">
            <w:pPr>
              <w:rPr>
                <w:rFonts w:ascii="黑体" w:hAnsi="黑体" w:eastAsia="黑体"/>
                <w:szCs w:val="21"/>
              </w:rPr>
            </w:pPr>
          </w:p>
        </w:tc>
        <w:tc>
          <w:tcPr>
            <w:tcW w:w="4677" w:type="dxa"/>
            <w:gridSpan w:val="2"/>
            <w:noWrap w:val="0"/>
            <w:tcMar>
              <w:left w:w="108" w:type="dxa"/>
              <w:right w:w="108" w:type="dxa"/>
            </w:tcMar>
            <w:vAlign w:val="center"/>
          </w:tcPr>
          <w:p w14:paraId="7BB41B66">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4E9D20F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25E571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98DFF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87AA84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E203DE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554428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1FE973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4BC3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13F69DC">
            <w:pPr>
              <w:rPr>
                <w:rFonts w:ascii="黑体" w:hAnsi="黑体" w:eastAsia="黑体"/>
                <w:szCs w:val="21"/>
              </w:rPr>
            </w:pPr>
          </w:p>
        </w:tc>
        <w:tc>
          <w:tcPr>
            <w:tcW w:w="1701" w:type="dxa"/>
            <w:vMerge w:val="restart"/>
            <w:noWrap w:val="0"/>
            <w:tcMar>
              <w:left w:w="108" w:type="dxa"/>
              <w:right w:w="108" w:type="dxa"/>
            </w:tcMar>
            <w:vAlign w:val="center"/>
          </w:tcPr>
          <w:p w14:paraId="32FBCDCF">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5BC1273B">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3A84DC9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FF457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5B2BA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96EA2E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26BF8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DE48B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04DCAA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8CB1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6973C09">
            <w:pPr>
              <w:rPr>
                <w:rFonts w:ascii="黑体" w:hAnsi="黑体" w:eastAsia="黑体"/>
                <w:szCs w:val="21"/>
              </w:rPr>
            </w:pPr>
          </w:p>
        </w:tc>
        <w:tc>
          <w:tcPr>
            <w:tcW w:w="1701" w:type="dxa"/>
            <w:vMerge w:val="continue"/>
            <w:noWrap w:val="0"/>
            <w:tcMar>
              <w:left w:w="108" w:type="dxa"/>
              <w:right w:w="108" w:type="dxa"/>
            </w:tcMar>
            <w:vAlign w:val="center"/>
          </w:tcPr>
          <w:p w14:paraId="08B153CA">
            <w:pPr>
              <w:spacing w:line="200" w:lineRule="exact"/>
              <w:rPr>
                <w:rFonts w:ascii="黑体" w:hAnsi="黑体" w:eastAsia="黑体"/>
                <w:szCs w:val="21"/>
              </w:rPr>
            </w:pPr>
          </w:p>
        </w:tc>
        <w:tc>
          <w:tcPr>
            <w:tcW w:w="2976" w:type="dxa"/>
            <w:noWrap w:val="0"/>
            <w:tcMar>
              <w:left w:w="108" w:type="dxa"/>
              <w:right w:w="108" w:type="dxa"/>
            </w:tcMar>
            <w:vAlign w:val="center"/>
          </w:tcPr>
          <w:p w14:paraId="5CD33427">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3C021B7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B2CB0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71874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66AAD7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CCEF4A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1860DD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C5B8D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FC29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9E82729">
            <w:pPr>
              <w:rPr>
                <w:rFonts w:ascii="黑体" w:hAnsi="黑体" w:eastAsia="黑体"/>
                <w:szCs w:val="21"/>
              </w:rPr>
            </w:pPr>
          </w:p>
        </w:tc>
        <w:tc>
          <w:tcPr>
            <w:tcW w:w="1701" w:type="dxa"/>
            <w:vMerge w:val="continue"/>
            <w:noWrap w:val="0"/>
            <w:tcMar>
              <w:left w:w="108" w:type="dxa"/>
              <w:right w:w="108" w:type="dxa"/>
            </w:tcMar>
            <w:vAlign w:val="center"/>
          </w:tcPr>
          <w:p w14:paraId="36D61D7C">
            <w:pPr>
              <w:spacing w:line="200" w:lineRule="exact"/>
              <w:rPr>
                <w:rFonts w:ascii="黑体" w:hAnsi="黑体" w:eastAsia="黑体"/>
                <w:szCs w:val="21"/>
              </w:rPr>
            </w:pPr>
          </w:p>
        </w:tc>
        <w:tc>
          <w:tcPr>
            <w:tcW w:w="2976" w:type="dxa"/>
            <w:noWrap w:val="0"/>
            <w:tcMar>
              <w:left w:w="108" w:type="dxa"/>
              <w:right w:w="108" w:type="dxa"/>
            </w:tcMar>
            <w:vAlign w:val="center"/>
          </w:tcPr>
          <w:p w14:paraId="393C2ED6">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5DDC117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16264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EA870A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1B69D8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579F09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35FF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124E0B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2F9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6B8D847">
            <w:pPr>
              <w:rPr>
                <w:rFonts w:ascii="黑体" w:hAnsi="黑体" w:eastAsia="黑体"/>
                <w:szCs w:val="21"/>
              </w:rPr>
            </w:pPr>
          </w:p>
        </w:tc>
        <w:tc>
          <w:tcPr>
            <w:tcW w:w="1701" w:type="dxa"/>
            <w:vMerge w:val="continue"/>
            <w:noWrap w:val="0"/>
            <w:tcMar>
              <w:left w:w="108" w:type="dxa"/>
              <w:right w:w="108" w:type="dxa"/>
            </w:tcMar>
            <w:vAlign w:val="center"/>
          </w:tcPr>
          <w:p w14:paraId="6CB2739A">
            <w:pPr>
              <w:spacing w:line="200" w:lineRule="exact"/>
              <w:rPr>
                <w:rFonts w:ascii="黑体" w:hAnsi="黑体" w:eastAsia="黑体"/>
                <w:szCs w:val="21"/>
              </w:rPr>
            </w:pPr>
          </w:p>
        </w:tc>
        <w:tc>
          <w:tcPr>
            <w:tcW w:w="2976" w:type="dxa"/>
            <w:noWrap w:val="0"/>
            <w:tcMar>
              <w:left w:w="108" w:type="dxa"/>
              <w:right w:w="108" w:type="dxa"/>
            </w:tcMar>
            <w:vAlign w:val="center"/>
          </w:tcPr>
          <w:p w14:paraId="0A1BD450">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4F7A3E6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E384FF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8E2055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8C78FB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573B99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AF9B6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5A751B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01D10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838DB4C">
            <w:pPr>
              <w:rPr>
                <w:rFonts w:ascii="黑体" w:hAnsi="黑体" w:eastAsia="黑体"/>
                <w:szCs w:val="21"/>
              </w:rPr>
            </w:pPr>
          </w:p>
        </w:tc>
        <w:tc>
          <w:tcPr>
            <w:tcW w:w="1701" w:type="dxa"/>
            <w:vMerge w:val="continue"/>
            <w:noWrap w:val="0"/>
            <w:tcMar>
              <w:left w:w="108" w:type="dxa"/>
              <w:right w:w="108" w:type="dxa"/>
            </w:tcMar>
            <w:vAlign w:val="center"/>
          </w:tcPr>
          <w:p w14:paraId="33E7064E">
            <w:pPr>
              <w:spacing w:line="200" w:lineRule="exact"/>
              <w:rPr>
                <w:rFonts w:ascii="黑体" w:hAnsi="黑体" w:eastAsia="黑体"/>
                <w:szCs w:val="21"/>
              </w:rPr>
            </w:pPr>
          </w:p>
        </w:tc>
        <w:tc>
          <w:tcPr>
            <w:tcW w:w="2976" w:type="dxa"/>
            <w:noWrap w:val="0"/>
            <w:tcMar>
              <w:left w:w="108" w:type="dxa"/>
              <w:right w:w="108" w:type="dxa"/>
            </w:tcMar>
            <w:vAlign w:val="center"/>
          </w:tcPr>
          <w:p w14:paraId="58E9BB09">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7DFC5E0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A12F9C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3295E7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4A1F06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A6F05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4A022E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4D0C2E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CEB0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99353C7">
            <w:pPr>
              <w:rPr>
                <w:rFonts w:ascii="黑体" w:hAnsi="黑体" w:eastAsia="黑体"/>
                <w:szCs w:val="21"/>
              </w:rPr>
            </w:pPr>
          </w:p>
        </w:tc>
        <w:tc>
          <w:tcPr>
            <w:tcW w:w="1701" w:type="dxa"/>
            <w:vMerge w:val="continue"/>
            <w:noWrap w:val="0"/>
            <w:tcMar>
              <w:left w:w="108" w:type="dxa"/>
              <w:right w:w="108" w:type="dxa"/>
            </w:tcMar>
            <w:vAlign w:val="center"/>
          </w:tcPr>
          <w:p w14:paraId="3C1A3CC9">
            <w:pPr>
              <w:spacing w:line="200" w:lineRule="exact"/>
              <w:rPr>
                <w:rFonts w:ascii="黑体" w:hAnsi="黑体" w:eastAsia="黑体"/>
                <w:szCs w:val="21"/>
              </w:rPr>
            </w:pPr>
          </w:p>
        </w:tc>
        <w:tc>
          <w:tcPr>
            <w:tcW w:w="2976" w:type="dxa"/>
            <w:noWrap w:val="0"/>
            <w:tcMar>
              <w:left w:w="108" w:type="dxa"/>
              <w:right w:w="108" w:type="dxa"/>
            </w:tcMar>
            <w:vAlign w:val="center"/>
          </w:tcPr>
          <w:p w14:paraId="3E8F751F">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494FF5D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64BC7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50B388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20AAD2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10A6E4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1058D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4C0F6C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9BDB5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3188AFD">
            <w:pPr>
              <w:rPr>
                <w:rFonts w:ascii="黑体" w:hAnsi="黑体" w:eastAsia="黑体"/>
                <w:szCs w:val="21"/>
              </w:rPr>
            </w:pPr>
          </w:p>
        </w:tc>
        <w:tc>
          <w:tcPr>
            <w:tcW w:w="1701" w:type="dxa"/>
            <w:vMerge w:val="continue"/>
            <w:noWrap w:val="0"/>
            <w:tcMar>
              <w:left w:w="108" w:type="dxa"/>
              <w:right w:w="108" w:type="dxa"/>
            </w:tcMar>
            <w:vAlign w:val="center"/>
          </w:tcPr>
          <w:p w14:paraId="380ABD5E">
            <w:pPr>
              <w:spacing w:line="200" w:lineRule="exact"/>
              <w:rPr>
                <w:rFonts w:ascii="黑体" w:hAnsi="黑体" w:eastAsia="黑体"/>
                <w:szCs w:val="21"/>
              </w:rPr>
            </w:pPr>
          </w:p>
        </w:tc>
        <w:tc>
          <w:tcPr>
            <w:tcW w:w="2976" w:type="dxa"/>
            <w:noWrap w:val="0"/>
            <w:tcMar>
              <w:left w:w="108" w:type="dxa"/>
              <w:right w:w="108" w:type="dxa"/>
            </w:tcMar>
            <w:vAlign w:val="center"/>
          </w:tcPr>
          <w:p w14:paraId="09A76EBD">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00CB565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BDFAEB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AA23A8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7E4EEE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CA540A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92819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511217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C1A9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9BAE4F3">
            <w:pPr>
              <w:rPr>
                <w:rFonts w:ascii="黑体" w:hAnsi="黑体" w:eastAsia="黑体"/>
                <w:szCs w:val="21"/>
              </w:rPr>
            </w:pPr>
          </w:p>
        </w:tc>
        <w:tc>
          <w:tcPr>
            <w:tcW w:w="1701" w:type="dxa"/>
            <w:vMerge w:val="continue"/>
            <w:noWrap w:val="0"/>
            <w:tcMar>
              <w:left w:w="108" w:type="dxa"/>
              <w:right w:w="108" w:type="dxa"/>
            </w:tcMar>
            <w:vAlign w:val="center"/>
          </w:tcPr>
          <w:p w14:paraId="32EE5BF3">
            <w:pPr>
              <w:spacing w:line="200" w:lineRule="exact"/>
              <w:rPr>
                <w:rFonts w:ascii="黑体" w:hAnsi="黑体" w:eastAsia="黑体"/>
                <w:szCs w:val="21"/>
              </w:rPr>
            </w:pPr>
          </w:p>
        </w:tc>
        <w:tc>
          <w:tcPr>
            <w:tcW w:w="2976" w:type="dxa"/>
            <w:noWrap w:val="0"/>
            <w:tcMar>
              <w:left w:w="108" w:type="dxa"/>
              <w:right w:w="108" w:type="dxa"/>
            </w:tcMar>
            <w:vAlign w:val="center"/>
          </w:tcPr>
          <w:p w14:paraId="25921677">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0EF2248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57FD4B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5380B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1CC2D7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F522FB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AC72A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F61A5C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ED25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EA7D82F">
            <w:pPr>
              <w:rPr>
                <w:rFonts w:ascii="黑体" w:hAnsi="黑体" w:eastAsia="黑体"/>
                <w:szCs w:val="21"/>
              </w:rPr>
            </w:pPr>
          </w:p>
        </w:tc>
        <w:tc>
          <w:tcPr>
            <w:tcW w:w="1701" w:type="dxa"/>
            <w:vMerge w:val="restart"/>
            <w:noWrap w:val="0"/>
            <w:tcMar>
              <w:left w:w="108" w:type="dxa"/>
              <w:right w:w="108" w:type="dxa"/>
            </w:tcMar>
            <w:vAlign w:val="center"/>
          </w:tcPr>
          <w:p w14:paraId="7888DC53">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4059EFB8">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09141F9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AAEC04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5BC0F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5087E1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BA5A69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CB79DC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E3E64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1D13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74ACA81">
            <w:pPr>
              <w:rPr>
                <w:rFonts w:ascii="黑体" w:hAnsi="黑体" w:eastAsia="黑体"/>
                <w:szCs w:val="21"/>
              </w:rPr>
            </w:pPr>
          </w:p>
        </w:tc>
        <w:tc>
          <w:tcPr>
            <w:tcW w:w="1701" w:type="dxa"/>
            <w:vMerge w:val="continue"/>
            <w:noWrap w:val="0"/>
            <w:tcMar>
              <w:left w:w="108" w:type="dxa"/>
              <w:right w:w="108" w:type="dxa"/>
            </w:tcMar>
            <w:vAlign w:val="center"/>
          </w:tcPr>
          <w:p w14:paraId="4B1FFD61">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4369014D">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1E4EEE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D4FD2A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93A80F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F30C96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DC52A5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9487BA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A39253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B065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8A96455">
            <w:pPr>
              <w:rPr>
                <w:rFonts w:ascii="黑体" w:hAnsi="黑体" w:eastAsia="黑体"/>
                <w:szCs w:val="21"/>
              </w:rPr>
            </w:pPr>
          </w:p>
        </w:tc>
        <w:tc>
          <w:tcPr>
            <w:tcW w:w="1701" w:type="dxa"/>
            <w:vMerge w:val="continue"/>
            <w:noWrap w:val="0"/>
            <w:tcMar>
              <w:left w:w="108" w:type="dxa"/>
              <w:right w:w="108" w:type="dxa"/>
            </w:tcMar>
            <w:vAlign w:val="center"/>
          </w:tcPr>
          <w:p w14:paraId="2F792B98">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77D22E77">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2BC842B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516D68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E8F1CD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B77D48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BCA480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6FEB10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7784D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E821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75F6626">
            <w:pPr>
              <w:rPr>
                <w:rFonts w:ascii="黑体" w:hAnsi="黑体" w:eastAsia="黑体"/>
                <w:szCs w:val="21"/>
              </w:rPr>
            </w:pPr>
          </w:p>
        </w:tc>
        <w:tc>
          <w:tcPr>
            <w:tcW w:w="1701" w:type="dxa"/>
            <w:vMerge w:val="restart"/>
            <w:noWrap w:val="0"/>
            <w:tcMar>
              <w:left w:w="108" w:type="dxa"/>
              <w:right w:w="108" w:type="dxa"/>
            </w:tcMar>
            <w:vAlign w:val="center"/>
          </w:tcPr>
          <w:p w14:paraId="1C7ED94A">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24533022">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0EEE617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B495F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267E91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A8BADD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576DC5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F3A0B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40F3F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C1CE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A0C955E">
            <w:pPr>
              <w:rPr>
                <w:rFonts w:ascii="黑体" w:hAnsi="黑体" w:eastAsia="黑体"/>
                <w:szCs w:val="21"/>
              </w:rPr>
            </w:pPr>
          </w:p>
        </w:tc>
        <w:tc>
          <w:tcPr>
            <w:tcW w:w="1701" w:type="dxa"/>
            <w:vMerge w:val="continue"/>
            <w:noWrap w:val="0"/>
            <w:tcMar>
              <w:left w:w="108" w:type="dxa"/>
              <w:right w:w="108" w:type="dxa"/>
            </w:tcMar>
            <w:vAlign w:val="center"/>
          </w:tcPr>
          <w:p w14:paraId="01603849">
            <w:pPr>
              <w:spacing w:line="200" w:lineRule="exact"/>
              <w:rPr>
                <w:rFonts w:ascii="黑体" w:hAnsi="黑体" w:eastAsia="黑体"/>
                <w:szCs w:val="21"/>
              </w:rPr>
            </w:pPr>
          </w:p>
        </w:tc>
        <w:tc>
          <w:tcPr>
            <w:tcW w:w="2976" w:type="dxa"/>
            <w:noWrap w:val="0"/>
            <w:tcMar>
              <w:left w:w="108" w:type="dxa"/>
              <w:right w:w="108" w:type="dxa"/>
            </w:tcMar>
            <w:vAlign w:val="center"/>
          </w:tcPr>
          <w:p w14:paraId="12530776">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63C9127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3B0030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53ED58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540EBF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69239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2528EE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63EDF1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0C6F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A7EC4A6">
            <w:pPr>
              <w:rPr>
                <w:rFonts w:ascii="黑体" w:hAnsi="黑体" w:eastAsia="黑体"/>
                <w:szCs w:val="21"/>
              </w:rPr>
            </w:pPr>
          </w:p>
        </w:tc>
        <w:tc>
          <w:tcPr>
            <w:tcW w:w="1701" w:type="dxa"/>
            <w:vMerge w:val="continue"/>
            <w:noWrap w:val="0"/>
            <w:tcMar>
              <w:left w:w="108" w:type="dxa"/>
              <w:right w:w="108" w:type="dxa"/>
            </w:tcMar>
            <w:vAlign w:val="center"/>
          </w:tcPr>
          <w:p w14:paraId="23781AAF">
            <w:pPr>
              <w:spacing w:line="200" w:lineRule="exact"/>
              <w:rPr>
                <w:rFonts w:ascii="黑体" w:hAnsi="黑体" w:eastAsia="黑体"/>
                <w:szCs w:val="21"/>
              </w:rPr>
            </w:pPr>
          </w:p>
        </w:tc>
        <w:tc>
          <w:tcPr>
            <w:tcW w:w="2976" w:type="dxa"/>
            <w:noWrap w:val="0"/>
            <w:tcMar>
              <w:left w:w="108" w:type="dxa"/>
              <w:right w:w="108" w:type="dxa"/>
            </w:tcMar>
            <w:vAlign w:val="center"/>
          </w:tcPr>
          <w:p w14:paraId="759652D3">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44CA4D4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BFDF96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C9E36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BE8FF8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C70EE8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6CA02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4EDAC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28209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F7EACD0">
            <w:pPr>
              <w:rPr>
                <w:rFonts w:ascii="黑体" w:hAnsi="黑体" w:eastAsia="黑体"/>
                <w:szCs w:val="21"/>
              </w:rPr>
            </w:pPr>
          </w:p>
        </w:tc>
        <w:tc>
          <w:tcPr>
            <w:tcW w:w="1701" w:type="dxa"/>
            <w:vMerge w:val="continue"/>
            <w:noWrap w:val="0"/>
            <w:tcMar>
              <w:left w:w="108" w:type="dxa"/>
              <w:right w:w="108" w:type="dxa"/>
            </w:tcMar>
            <w:vAlign w:val="center"/>
          </w:tcPr>
          <w:p w14:paraId="15D6E53F">
            <w:pPr>
              <w:spacing w:line="200" w:lineRule="exact"/>
              <w:rPr>
                <w:rFonts w:ascii="黑体" w:hAnsi="黑体" w:eastAsia="黑体"/>
                <w:szCs w:val="21"/>
              </w:rPr>
            </w:pPr>
          </w:p>
        </w:tc>
        <w:tc>
          <w:tcPr>
            <w:tcW w:w="2976" w:type="dxa"/>
            <w:noWrap w:val="0"/>
            <w:tcMar>
              <w:left w:w="108" w:type="dxa"/>
              <w:right w:w="108" w:type="dxa"/>
            </w:tcMar>
            <w:vAlign w:val="center"/>
          </w:tcPr>
          <w:p w14:paraId="28E1958A">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0153F1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FF0495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BAF04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E71F6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AE70A1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1E671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FFFF5E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744B6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04A2EDC">
            <w:pPr>
              <w:rPr>
                <w:rFonts w:ascii="黑体" w:hAnsi="黑体" w:eastAsia="黑体"/>
                <w:szCs w:val="21"/>
              </w:rPr>
            </w:pPr>
          </w:p>
        </w:tc>
        <w:tc>
          <w:tcPr>
            <w:tcW w:w="1701" w:type="dxa"/>
            <w:vMerge w:val="continue"/>
            <w:noWrap w:val="0"/>
            <w:tcMar>
              <w:left w:w="108" w:type="dxa"/>
              <w:right w:w="108" w:type="dxa"/>
            </w:tcMar>
            <w:vAlign w:val="center"/>
          </w:tcPr>
          <w:p w14:paraId="6FA53EE0">
            <w:pPr>
              <w:spacing w:line="200" w:lineRule="exact"/>
              <w:rPr>
                <w:rFonts w:ascii="黑体" w:hAnsi="黑体" w:eastAsia="黑体"/>
                <w:szCs w:val="21"/>
              </w:rPr>
            </w:pPr>
          </w:p>
        </w:tc>
        <w:tc>
          <w:tcPr>
            <w:tcW w:w="2976" w:type="dxa"/>
            <w:noWrap w:val="0"/>
            <w:tcMar>
              <w:left w:w="108" w:type="dxa"/>
              <w:right w:w="108" w:type="dxa"/>
            </w:tcMar>
            <w:vAlign w:val="center"/>
          </w:tcPr>
          <w:p w14:paraId="37CE98DD">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33A0674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4D243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287BF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AA1114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1409BB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93811F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4E2BBC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93DA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69E1052">
            <w:pPr>
              <w:rPr>
                <w:rFonts w:ascii="黑体" w:hAnsi="黑体" w:eastAsia="黑体"/>
                <w:szCs w:val="21"/>
              </w:rPr>
            </w:pPr>
          </w:p>
        </w:tc>
        <w:tc>
          <w:tcPr>
            <w:tcW w:w="1701" w:type="dxa"/>
            <w:vMerge w:val="restart"/>
            <w:noWrap w:val="0"/>
            <w:tcMar>
              <w:left w:w="108" w:type="dxa"/>
              <w:right w:w="108" w:type="dxa"/>
            </w:tcMar>
            <w:vAlign w:val="center"/>
          </w:tcPr>
          <w:p w14:paraId="068DC1CC">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654E8BBF">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0224BE2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47B52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65E2F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5E0813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4B0B7E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AAF770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72414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B86B5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130B6B0">
            <w:pPr>
              <w:rPr>
                <w:rFonts w:ascii="黑体" w:hAnsi="黑体" w:eastAsia="黑体"/>
                <w:szCs w:val="21"/>
              </w:rPr>
            </w:pPr>
          </w:p>
        </w:tc>
        <w:tc>
          <w:tcPr>
            <w:tcW w:w="1701" w:type="dxa"/>
            <w:vMerge w:val="continue"/>
            <w:noWrap w:val="0"/>
            <w:tcMar>
              <w:left w:w="108" w:type="dxa"/>
              <w:right w:w="108" w:type="dxa"/>
            </w:tcMar>
            <w:vAlign w:val="center"/>
          </w:tcPr>
          <w:p w14:paraId="1273DBBE">
            <w:pPr>
              <w:widowControl/>
              <w:spacing w:line="300" w:lineRule="exact"/>
              <w:rPr>
                <w:rFonts w:ascii="黑体" w:hAnsi="黑体" w:eastAsia="黑体"/>
                <w:kern w:val="0"/>
                <w:szCs w:val="21"/>
              </w:rPr>
            </w:pPr>
          </w:p>
        </w:tc>
        <w:tc>
          <w:tcPr>
            <w:tcW w:w="2976" w:type="dxa"/>
            <w:noWrap w:val="0"/>
            <w:vAlign w:val="center"/>
          </w:tcPr>
          <w:p w14:paraId="79ED841F">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59FC810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3F3F5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C909A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CC32FE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220B78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FC9DA8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93FA5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AB66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17C6D20">
            <w:pPr>
              <w:rPr>
                <w:rFonts w:ascii="黑体" w:hAnsi="黑体" w:eastAsia="黑体"/>
                <w:szCs w:val="21"/>
              </w:rPr>
            </w:pPr>
          </w:p>
        </w:tc>
        <w:tc>
          <w:tcPr>
            <w:tcW w:w="1701" w:type="dxa"/>
            <w:vMerge w:val="continue"/>
            <w:noWrap w:val="0"/>
            <w:tcMar>
              <w:left w:w="108" w:type="dxa"/>
              <w:right w:w="108" w:type="dxa"/>
            </w:tcMar>
            <w:vAlign w:val="center"/>
          </w:tcPr>
          <w:p w14:paraId="7CA597DB">
            <w:pPr>
              <w:widowControl/>
              <w:spacing w:line="300" w:lineRule="exact"/>
              <w:rPr>
                <w:rFonts w:ascii="黑体" w:hAnsi="黑体" w:eastAsia="黑体"/>
                <w:kern w:val="0"/>
                <w:szCs w:val="21"/>
              </w:rPr>
            </w:pPr>
          </w:p>
        </w:tc>
        <w:tc>
          <w:tcPr>
            <w:tcW w:w="2976" w:type="dxa"/>
            <w:noWrap w:val="0"/>
            <w:vAlign w:val="center"/>
          </w:tcPr>
          <w:p w14:paraId="06B4EA01">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3C7B656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9851B0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AA2FD8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E78D2F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20C556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63F97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35273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1C8F0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DAD3DAB">
            <w:pPr>
              <w:rPr>
                <w:rFonts w:ascii="黑体" w:hAnsi="黑体" w:eastAsia="黑体"/>
                <w:szCs w:val="21"/>
              </w:rPr>
            </w:pPr>
          </w:p>
        </w:tc>
        <w:tc>
          <w:tcPr>
            <w:tcW w:w="4677" w:type="dxa"/>
            <w:gridSpan w:val="2"/>
            <w:noWrap w:val="0"/>
            <w:tcMar>
              <w:left w:w="108" w:type="dxa"/>
              <w:right w:w="108" w:type="dxa"/>
            </w:tcMar>
            <w:vAlign w:val="center"/>
          </w:tcPr>
          <w:p w14:paraId="06EABE89">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747FB75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2C9F1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349C3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0C805D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55C22D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E4E5C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7D1797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74EF0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392FEDAB">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72D6F6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42EE59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31A2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D304A5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64317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EF977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2D597F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6466A685">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B4628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5DB045">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84E0C95">
            <w:pPr>
              <w:widowControl/>
              <w:jc w:val="center"/>
              <w:rPr>
                <w:rFonts w:ascii="黑体" w:hAnsi="黑体" w:eastAsia="黑体"/>
              </w:rPr>
            </w:pPr>
            <w:r>
              <w:rPr>
                <w:rFonts w:ascii="黑体" w:hAnsi="黑体" w:eastAsia="黑体"/>
                <w:kern w:val="0"/>
                <w:sz w:val="20"/>
                <w:szCs w:val="20"/>
              </w:rPr>
              <w:t>行政诉讼</w:t>
            </w:r>
          </w:p>
        </w:tc>
      </w:tr>
      <w:tr w14:paraId="3BE26F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CE5471D">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7F0C31A6">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B8039F9">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9D8B3F3">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9D283B4">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109CE6E6">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E324F0B">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7470401B">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3C99CE3">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D4EB226">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68ED3A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346B363">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185FD46D">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B981465">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6D150AC">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31D5AFC">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5E1FA4A4">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73F6CDA">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33B1437">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23668E0E">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BF37204">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3C763E7A">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8929536">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B3D4F07">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6A25CD9">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9CCDA99">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CEB03BD">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49C46F7">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3EF1097">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278EECD">
            <w:pPr>
              <w:widowControl/>
              <w:jc w:val="center"/>
              <w:rPr>
                <w:rFonts w:ascii="黑体" w:hAnsi="黑体" w:eastAsia="黑体"/>
              </w:rPr>
            </w:pPr>
            <w:r>
              <w:rPr>
                <w:rFonts w:ascii="黑体" w:hAnsi="黑体" w:eastAsia="黑体"/>
                <w:kern w:val="0"/>
                <w:sz w:val="20"/>
                <w:szCs w:val="20"/>
              </w:rPr>
              <w:t>总计</w:t>
            </w:r>
          </w:p>
        </w:tc>
      </w:tr>
      <w:tr w14:paraId="229772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389638E">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5FF510E">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1C28BAD">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28E9777">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1B0EC784">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D3A287D">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DB0B73D">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6A500AA">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048A81A">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DB88CF4">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4D99E6F">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FBA7A06">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AF9F715">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830E5CE">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F6EEAC5">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r>
    </w:tbl>
    <w:p w14:paraId="06626B2E">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5D3A5D9C">
      <w:pPr>
        <w:pStyle w:val="2"/>
        <w:ind w:firstLine="643" w:firstLineChars="200"/>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14:paraId="048AD694">
      <w:pPr>
        <w:ind w:firstLine="643" w:firstLineChars="200"/>
        <w:rPr>
          <w:rFonts w:hint="default" w:ascii="仿宋_GB2312" w:eastAsia="仿宋_GB2312"/>
          <w:sz w:val="32"/>
          <w:szCs w:val="32"/>
          <w:lang w:val="en-US" w:eastAsia="zh-CN"/>
        </w:rPr>
      </w:pPr>
      <w:r>
        <w:rPr>
          <w:rFonts w:hint="eastAsia" w:ascii="仿宋_GB2312" w:eastAsia="仿宋_GB2312"/>
          <w:b/>
          <w:bCs/>
          <w:sz w:val="32"/>
          <w:szCs w:val="32"/>
          <w:lang w:val="en-US" w:eastAsia="zh-CN"/>
        </w:rPr>
        <w:t>一是</w:t>
      </w:r>
      <w:r>
        <w:rPr>
          <w:rFonts w:hint="eastAsia" w:ascii="仿宋_GB2312" w:eastAsia="仿宋_GB2312"/>
          <w:b w:val="0"/>
          <w:bCs w:val="0"/>
          <w:sz w:val="32"/>
          <w:szCs w:val="32"/>
          <w:lang w:val="en-US" w:eastAsia="zh-CN"/>
        </w:rPr>
        <w:t>工作机制协同性有待加强，部门间信息共享与公开联动效率仍需提升。</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公开渠道覆盖面需进一步拓展，尤其面向农村地区、老年群体等信息获取相对不便人群的服务方式有待创新。</w:t>
      </w:r>
      <w:r>
        <w:rPr>
          <w:rFonts w:hint="eastAsia" w:ascii="仿宋_GB2312" w:eastAsia="仿宋_GB2312"/>
          <w:b/>
          <w:bCs/>
          <w:sz w:val="32"/>
          <w:szCs w:val="32"/>
          <w:lang w:val="en-US" w:eastAsia="zh-CN"/>
        </w:rPr>
        <w:t>三是</w:t>
      </w:r>
      <w:r>
        <w:rPr>
          <w:rFonts w:hint="eastAsia" w:ascii="仿宋_GB2312" w:eastAsia="仿宋_GB2312"/>
          <w:b w:val="0"/>
          <w:bCs w:val="0"/>
          <w:sz w:val="32"/>
          <w:szCs w:val="32"/>
          <w:lang w:val="en-US" w:eastAsia="zh-CN"/>
        </w:rPr>
        <w:t>政策理解与应用能力有待提升，部分工作人员对复杂政策的解读转化能力尚需锤炼。</w:t>
      </w:r>
    </w:p>
    <w:p w14:paraId="10930C4B">
      <w:pPr>
        <w:pStyle w:val="2"/>
        <w:ind w:firstLine="643" w:firstLineChars="200"/>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14:paraId="66794FBB">
      <w:pPr>
        <w:ind w:firstLine="643" w:firstLineChars="200"/>
        <w:rPr>
          <w:rFonts w:ascii="仿宋_GB2312" w:eastAsia="仿宋_GB2312"/>
          <w:sz w:val="32"/>
          <w:szCs w:val="32"/>
          <w:u w:val="none"/>
        </w:rPr>
      </w:pPr>
      <w:r>
        <w:rPr>
          <w:rFonts w:hint="eastAsia" w:ascii="仿宋_GB2312" w:eastAsia="仿宋_GB2312"/>
          <w:b/>
          <w:bCs/>
          <w:sz w:val="32"/>
          <w:szCs w:val="32"/>
          <w:lang w:val="en-US" w:eastAsia="zh-CN"/>
        </w:rPr>
        <w:t>一是</w:t>
      </w:r>
      <w:r>
        <w:rPr>
          <w:rFonts w:hint="eastAsia" w:ascii="仿宋_GB2312" w:eastAsia="仿宋_GB2312"/>
          <w:b w:val="0"/>
          <w:bCs w:val="0"/>
          <w:sz w:val="32"/>
          <w:szCs w:val="32"/>
          <w:lang w:val="en-US" w:eastAsia="zh-CN"/>
        </w:rPr>
        <w:t>完善跨部门协作与信息流转机制，明确公开责任与时限，提升整体工作效能。</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探索“线上+线下”“集中+入户”等融合公开模式，采用广播、宣传册、院坝会等更贴近群众的方式传递信息。</w:t>
      </w:r>
      <w:r>
        <w:rPr>
          <w:rFonts w:hint="eastAsia" w:ascii="仿宋_GB2312" w:eastAsia="仿宋_GB2312"/>
          <w:b/>
          <w:bCs/>
          <w:sz w:val="32"/>
          <w:szCs w:val="32"/>
          <w:lang w:val="en-US" w:eastAsia="zh-CN"/>
        </w:rPr>
        <w:t>三是</w:t>
      </w:r>
      <w:r>
        <w:rPr>
          <w:rFonts w:hint="eastAsia" w:ascii="仿宋_GB2312" w:eastAsia="仿宋_GB2312"/>
          <w:b w:val="0"/>
          <w:bCs w:val="0"/>
          <w:sz w:val="32"/>
          <w:szCs w:val="32"/>
          <w:lang w:val="en-US" w:eastAsia="zh-CN"/>
        </w:rPr>
        <w:t>组织开展专题政策研讨与案例教学，增强工作人员政策把握、解读回应与舆情应对的综合能力。</w:t>
      </w:r>
    </w:p>
    <w:p w14:paraId="3F4723CE">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14:paraId="7B2E51AE">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149B9609">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55CA05C3">
      <w:pPr>
        <w:ind w:firstLine="643" w:firstLineChars="200"/>
        <w:rPr>
          <w:rFonts w:hint="eastAsia" w:ascii="CESI楷体-GB2312" w:hAnsi="CESI楷体-GB2312" w:eastAsia="CESI楷体-GB2312" w:cs="CESI楷体-GB2312"/>
          <w:b/>
          <w:bCs/>
          <w:color w:val="0000FF"/>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41F69222">
      <w:pPr>
        <w:ind w:firstLine="640" w:firstLineChars="200"/>
        <w:rPr>
          <w:rFonts w:hint="eastAsia" w:ascii="仿宋_GB2312" w:hAnsi="文星仿宋" w:eastAsia="仿宋_GB2312"/>
          <w:sz w:val="32"/>
          <w:szCs w:val="32"/>
          <w:lang w:eastAsia="zh-CN"/>
        </w:rPr>
      </w:pPr>
      <w:r>
        <w:rPr>
          <w:rFonts w:hint="eastAsia" w:ascii="仿宋_GB2312" w:hAnsi="文星仿宋" w:eastAsia="仿宋_GB2312"/>
          <w:sz w:val="32"/>
          <w:szCs w:val="32"/>
          <w:lang w:eastAsia="zh-CN"/>
        </w:rPr>
        <w:t>严格落实《冠县人民政府办公室关于2025年政务公开重点工作任务分工的通知》要求，不断提升政务公开工作的质量与效能，持续推进政务公开标准化、规范化建设，2025年完成上级要求的各项政务公开任务。</w:t>
      </w:r>
    </w:p>
    <w:p w14:paraId="7DB9A364">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14:paraId="03BA1684">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2025年未收到建议提案</w:t>
      </w:r>
      <w:r>
        <w:rPr>
          <w:rFonts w:hint="eastAsia" w:ascii="仿宋_GB2312" w:eastAsia="仿宋_GB2312"/>
          <w:sz w:val="32"/>
          <w:szCs w:val="32"/>
          <w:lang w:eastAsia="zh-CN"/>
        </w:rPr>
        <w:t>。</w:t>
      </w:r>
    </w:p>
    <w:p w14:paraId="099B5FB5">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14:paraId="40159585">
      <w:pPr>
        <w:ind w:firstLine="640" w:firstLineChars="200"/>
        <w:rPr>
          <w:rFonts w:hint="eastAsia" w:ascii="仿宋_GB2312" w:hAnsi="文星仿宋" w:eastAsia="仿宋_GB2312"/>
          <w:sz w:val="32"/>
          <w:szCs w:val="32"/>
          <w:lang w:eastAsia="zh-CN"/>
        </w:rPr>
      </w:pPr>
      <w:r>
        <w:rPr>
          <w:rFonts w:hint="eastAsia" w:ascii="仿宋_GB2312" w:hAnsi="文星仿宋" w:eastAsia="仿宋_GB2312"/>
          <w:sz w:val="32"/>
          <w:szCs w:val="32"/>
          <w:lang w:eastAsia="zh-CN"/>
        </w:rPr>
        <w:t>冠县辛集镇人民政府着力规范依申请公开工作流程，优化受理、办理、答复等环节。加强内部协调与法律审核，提升答复质量和效率。同时，关注并学习借鉴其他地区先进经验，积极探索提升政务公开实效的新路径、新方法。</w:t>
      </w:r>
    </w:p>
    <w:p w14:paraId="578E303D">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14:paraId="083172CC">
      <w:pPr>
        <w:ind w:firstLine="640" w:firstLineChars="200"/>
        <w:rPr>
          <w:rFonts w:hint="eastAsia" w:ascii="仿宋_GB2312" w:eastAsia="仿宋_GB2312"/>
          <w:sz w:val="32"/>
          <w:szCs w:val="32"/>
          <w:lang w:val="en-US" w:eastAsia="zh-CN"/>
        </w:rPr>
      </w:pPr>
      <w:bookmarkStart w:id="11" w:name="_GoBack"/>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14:paraId="32C8B592">
      <w:pPr>
        <w:pStyle w:val="5"/>
        <w:shd w:val="clear" w:color="auto"/>
        <w:spacing w:beforeAutospacing="0" w:afterAutospacing="0" w:line="600" w:lineRule="exact"/>
        <w:ind w:firstLine="640" w:firstLineChars="200"/>
        <w:jc w:val="both"/>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p>
    <w:p w14:paraId="7F2C3DD4">
      <w:pPr>
        <w:pStyle w:val="5"/>
        <w:shd w:val="clear" w:color="auto"/>
        <w:spacing w:beforeAutospacing="0" w:afterAutospacing="0" w:line="600" w:lineRule="exact"/>
        <w:ind w:firstLine="640" w:firstLineChars="200"/>
        <w:jc w:val="both"/>
        <w:rPr>
          <w:rFonts w:hint="eastAsia" w:ascii="仿宋_GB2312" w:hAnsi="Times New Roman" w:eastAsia="仿宋_GB2312"/>
          <w:sz w:val="32"/>
          <w:szCs w:val="32"/>
          <w:shd w:val="clear" w:color="auto" w:fill="FFFFFF"/>
          <w:lang w:val="en-US" w:eastAsia="zh-CN"/>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bookmarkEnd w:id="11"/>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5C244D-AB64-4A32-AFD7-4F62DD2D33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366D4E-9CB7-40ED-8C7F-CFD9DD8D47F1}"/>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B6C3713B-2A5F-4BF7-BA51-640995FACA7F}"/>
  </w:font>
  <w:font w:name="仿宋_GB2312">
    <w:panose1 w:val="02010609030101010101"/>
    <w:charset w:val="86"/>
    <w:family w:val="decorative"/>
    <w:pitch w:val="default"/>
    <w:sig w:usb0="00000001" w:usb1="080E0000" w:usb2="00000000" w:usb3="00000000" w:csb0="00040000" w:csb1="00000000"/>
    <w:embedRegular r:id="rId4" w:fontKey="{BCFC6F68-752F-47B0-9D36-83EDC61AA767}"/>
  </w:font>
  <w:font w:name="CESI黑体-GB2312">
    <w:altName w:val="黑体"/>
    <w:panose1 w:val="02000500000000000000"/>
    <w:charset w:val="86"/>
    <w:family w:val="auto"/>
    <w:pitch w:val="default"/>
    <w:sig w:usb0="00000000" w:usb1="00000000" w:usb2="00000012" w:usb3="00000000" w:csb0="0004000F" w:csb1="00000000"/>
    <w:embedRegular r:id="rId5" w:fontKey="{236AA2E6-3928-4AC8-8ECB-7CBE0636E088}"/>
  </w:font>
  <w:font w:name="CESI楷体-GB2312">
    <w:altName w:val="楷体_GB2312"/>
    <w:panose1 w:val="02000500000000000000"/>
    <w:charset w:val="86"/>
    <w:family w:val="auto"/>
    <w:pitch w:val="default"/>
    <w:sig w:usb0="00000000" w:usb1="00000000" w:usb2="00000012" w:usb3="00000000" w:csb0="0004000F" w:csb1="00000000"/>
    <w:embedRegular r:id="rId6" w:fontKey="{D200270D-76D2-4868-8D98-8FBDDD053A1E}"/>
  </w:font>
  <w:font w:name="楷体_GB2312">
    <w:panose1 w:val="02010609030101010101"/>
    <w:charset w:val="86"/>
    <w:family w:val="decorative"/>
    <w:pitch w:val="default"/>
    <w:sig w:usb0="00000001" w:usb1="080E0000" w:usb2="00000000" w:usb3="00000000" w:csb0="00040000" w:csb1="00000000"/>
    <w:embedRegular r:id="rId7" w:fontKey="{56A30D65-8233-4F4F-942A-7A619C415A10}"/>
  </w:font>
  <w:font w:name="汉仪中等线简">
    <w:altName w:val="宋体"/>
    <w:panose1 w:val="02010600000101010101"/>
    <w:charset w:val="86"/>
    <w:family w:val="modern"/>
    <w:pitch w:val="default"/>
    <w:sig w:usb0="00000000" w:usb1="00000000" w:usb2="00000002" w:usb3="00000000" w:csb0="00040000" w:csb1="00000000"/>
    <w:embedRegular r:id="rId8" w:fontKey="{A5E44D46-BE49-4426-A0C8-5D7755B80812}"/>
  </w:font>
  <w:font w:name="楷体">
    <w:panose1 w:val="02010609060101010101"/>
    <w:charset w:val="86"/>
    <w:family w:val="decorative"/>
    <w:pitch w:val="default"/>
    <w:sig w:usb0="800002BF" w:usb1="38CF7CFA" w:usb2="00000016" w:usb3="00000000" w:csb0="00040001" w:csb1="00000000"/>
    <w:embedRegular r:id="rId9" w:fontKey="{725E5A42-9330-466F-BCA7-A20F220929C4}"/>
  </w:font>
  <w:font w:name="文星仿宋">
    <w:altName w:val="仿宋"/>
    <w:panose1 w:val="00000000000000000000"/>
    <w:charset w:val="00"/>
    <w:family w:val="auto"/>
    <w:pitch w:val="default"/>
    <w:sig w:usb0="00000000" w:usb1="00000000" w:usb2="00000000" w:usb3="00000000" w:csb0="00040001" w:csb1="00000000"/>
    <w:embedRegular r:id="rId10" w:fontKey="{A7136E9D-86F3-4B93-8C3F-B2E63E2F5FAB}"/>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A549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F54CFC">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V0E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hVdBHdAQAAvgMAAA4AAAAAAAAA&#10;AQAgAAAAHgEAAGRycy9lMm9Eb2MueG1sUEsFBgAAAAAGAAYAWQEAAG0FAAAAAA==&#10;">
              <v:fill on="f" focussize="0,0"/>
              <v:stroke on="f"/>
              <v:imagedata o:title=""/>
              <o:lock v:ext="edit" aspectratio="f"/>
              <v:textbox inset="0mm,0mm,0mm,0mm" style="mso-fit-shape-to-text:t;">
                <w:txbxContent>
                  <w:p w14:paraId="46F54CF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00017"/>
    <w:multiLevelType w:val="singleLevel"/>
    <w:tmpl w:val="54300017"/>
    <w:lvl w:ilvl="0" w:tentative="0">
      <w:start w:val="4"/>
      <w:numFmt w:val="chineseCounting"/>
      <w:suff w:val="nothing"/>
      <w:lvlText w:val="（%1）"/>
      <w:lvlJc w:val="left"/>
      <w:rPr>
        <w:rFonts w:hint="eastAsia"/>
      </w:rPr>
    </w:lvl>
  </w:abstractNum>
  <w:abstractNum w:abstractNumId="1">
    <w:nsid w:val="71479142"/>
    <w:multiLevelType w:val="singleLevel"/>
    <w:tmpl w:val="7147914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7FEF658B"/>
    <w:rsid w:val="04B76FF9"/>
    <w:rsid w:val="09BFAE49"/>
    <w:rsid w:val="0B7D1D96"/>
    <w:rsid w:val="0C0972C9"/>
    <w:rsid w:val="0FFD0A9A"/>
    <w:rsid w:val="142C2025"/>
    <w:rsid w:val="145057C4"/>
    <w:rsid w:val="163F2C2D"/>
    <w:rsid w:val="17BFEB6D"/>
    <w:rsid w:val="17CD8F2E"/>
    <w:rsid w:val="1CF523BA"/>
    <w:rsid w:val="1D7F0271"/>
    <w:rsid w:val="1FD5D705"/>
    <w:rsid w:val="25ED1779"/>
    <w:rsid w:val="25FE3D80"/>
    <w:rsid w:val="2BFFECDA"/>
    <w:rsid w:val="2D07E0AC"/>
    <w:rsid w:val="2D571051"/>
    <w:rsid w:val="2D7F721F"/>
    <w:rsid w:val="2FAF9428"/>
    <w:rsid w:val="30FFC5AF"/>
    <w:rsid w:val="329A0F6A"/>
    <w:rsid w:val="35F5F7BD"/>
    <w:rsid w:val="36ED2F5F"/>
    <w:rsid w:val="38754646"/>
    <w:rsid w:val="3B032D02"/>
    <w:rsid w:val="3BCE3EB9"/>
    <w:rsid w:val="3BD38DA5"/>
    <w:rsid w:val="3BFF0F2E"/>
    <w:rsid w:val="3CAB10C6"/>
    <w:rsid w:val="3D1B60F2"/>
    <w:rsid w:val="3DBF5A2C"/>
    <w:rsid w:val="3DFE2019"/>
    <w:rsid w:val="3DFF2151"/>
    <w:rsid w:val="3DFF6C3A"/>
    <w:rsid w:val="3E7A39E2"/>
    <w:rsid w:val="3EBA999F"/>
    <w:rsid w:val="3EF757ED"/>
    <w:rsid w:val="3EF79DD7"/>
    <w:rsid w:val="3EFB272A"/>
    <w:rsid w:val="3EFE9921"/>
    <w:rsid w:val="3EFF3A68"/>
    <w:rsid w:val="3F7B21EB"/>
    <w:rsid w:val="3F9D550D"/>
    <w:rsid w:val="3FC78B58"/>
    <w:rsid w:val="3FE999B0"/>
    <w:rsid w:val="3FEE2C70"/>
    <w:rsid w:val="3FF750D2"/>
    <w:rsid w:val="3FFE923C"/>
    <w:rsid w:val="3FFEA9BE"/>
    <w:rsid w:val="3FFF1B85"/>
    <w:rsid w:val="3FFFD654"/>
    <w:rsid w:val="3FFFD794"/>
    <w:rsid w:val="43FF2EF7"/>
    <w:rsid w:val="44AC226E"/>
    <w:rsid w:val="47BFD4FF"/>
    <w:rsid w:val="4BF5763D"/>
    <w:rsid w:val="4D5B5553"/>
    <w:rsid w:val="4D7FA9EA"/>
    <w:rsid w:val="4EFF75C3"/>
    <w:rsid w:val="4FAC3C80"/>
    <w:rsid w:val="4FBECA11"/>
    <w:rsid w:val="51E54756"/>
    <w:rsid w:val="51FED7AB"/>
    <w:rsid w:val="53030707"/>
    <w:rsid w:val="53EF3D66"/>
    <w:rsid w:val="53F493FF"/>
    <w:rsid w:val="544FEB14"/>
    <w:rsid w:val="553A8547"/>
    <w:rsid w:val="57DF68D6"/>
    <w:rsid w:val="57FF96B1"/>
    <w:rsid w:val="5A570386"/>
    <w:rsid w:val="5B5BAFEC"/>
    <w:rsid w:val="5BFCC93E"/>
    <w:rsid w:val="5C4A1F98"/>
    <w:rsid w:val="5DEF253B"/>
    <w:rsid w:val="5DFB2BCB"/>
    <w:rsid w:val="5E7FA522"/>
    <w:rsid w:val="5E8C0F8B"/>
    <w:rsid w:val="5ED5AFFA"/>
    <w:rsid w:val="5ED74BD0"/>
    <w:rsid w:val="5EECA290"/>
    <w:rsid w:val="5EEFD745"/>
    <w:rsid w:val="5EFA7CCD"/>
    <w:rsid w:val="5F7E52F8"/>
    <w:rsid w:val="5F8F8379"/>
    <w:rsid w:val="5FBDD6D2"/>
    <w:rsid w:val="5FBEDD70"/>
    <w:rsid w:val="5FEE129C"/>
    <w:rsid w:val="5FF6D530"/>
    <w:rsid w:val="60FFB723"/>
    <w:rsid w:val="62166177"/>
    <w:rsid w:val="628F4EA0"/>
    <w:rsid w:val="62E1223B"/>
    <w:rsid w:val="677EB821"/>
    <w:rsid w:val="67A7F5CE"/>
    <w:rsid w:val="67B5DDFC"/>
    <w:rsid w:val="67CF50FE"/>
    <w:rsid w:val="67F759EC"/>
    <w:rsid w:val="6BBFA990"/>
    <w:rsid w:val="6BFFC3DB"/>
    <w:rsid w:val="6C3D09B7"/>
    <w:rsid w:val="6C7F5D64"/>
    <w:rsid w:val="6DDCA9AA"/>
    <w:rsid w:val="6DE7C9C6"/>
    <w:rsid w:val="6DF2E1CE"/>
    <w:rsid w:val="6DFEA2C1"/>
    <w:rsid w:val="6EBF73E3"/>
    <w:rsid w:val="6ED7CCDE"/>
    <w:rsid w:val="6EF4C2E7"/>
    <w:rsid w:val="6F37D775"/>
    <w:rsid w:val="6FBB27F8"/>
    <w:rsid w:val="6FBF0D38"/>
    <w:rsid w:val="6FEE42C7"/>
    <w:rsid w:val="6FF330EE"/>
    <w:rsid w:val="6FFD68DA"/>
    <w:rsid w:val="72CFD79F"/>
    <w:rsid w:val="743D6E53"/>
    <w:rsid w:val="757F11AD"/>
    <w:rsid w:val="75F77CD4"/>
    <w:rsid w:val="767B5FE7"/>
    <w:rsid w:val="775EB7B1"/>
    <w:rsid w:val="77CA8C2E"/>
    <w:rsid w:val="77E2226A"/>
    <w:rsid w:val="77FEB9F5"/>
    <w:rsid w:val="79874CE1"/>
    <w:rsid w:val="7A093C36"/>
    <w:rsid w:val="7A659252"/>
    <w:rsid w:val="7A7F311F"/>
    <w:rsid w:val="7A7F43F2"/>
    <w:rsid w:val="7AFF42DA"/>
    <w:rsid w:val="7B5AB41D"/>
    <w:rsid w:val="7BCF7B60"/>
    <w:rsid w:val="7BD783A9"/>
    <w:rsid w:val="7BE5A58A"/>
    <w:rsid w:val="7BEC260E"/>
    <w:rsid w:val="7BED0E57"/>
    <w:rsid w:val="7BFE7A63"/>
    <w:rsid w:val="7BFF0E94"/>
    <w:rsid w:val="7BFF5E57"/>
    <w:rsid w:val="7C6E4FA9"/>
    <w:rsid w:val="7C779C33"/>
    <w:rsid w:val="7CDF3DBD"/>
    <w:rsid w:val="7CE710FA"/>
    <w:rsid w:val="7CEDB899"/>
    <w:rsid w:val="7CFF7EE1"/>
    <w:rsid w:val="7D74B766"/>
    <w:rsid w:val="7D873C6A"/>
    <w:rsid w:val="7DFF0B4D"/>
    <w:rsid w:val="7E6F71AF"/>
    <w:rsid w:val="7E7135BF"/>
    <w:rsid w:val="7E7F3052"/>
    <w:rsid w:val="7EBF93D3"/>
    <w:rsid w:val="7EE56A34"/>
    <w:rsid w:val="7EED5D03"/>
    <w:rsid w:val="7EEF5AF8"/>
    <w:rsid w:val="7EF95957"/>
    <w:rsid w:val="7F13F6CF"/>
    <w:rsid w:val="7F6FD504"/>
    <w:rsid w:val="7F73E18E"/>
    <w:rsid w:val="7F75EFE6"/>
    <w:rsid w:val="7F8E3466"/>
    <w:rsid w:val="7FBFAEB4"/>
    <w:rsid w:val="7FEF658B"/>
    <w:rsid w:val="7FFF27F7"/>
    <w:rsid w:val="7FFFB5D4"/>
    <w:rsid w:val="85BC9B61"/>
    <w:rsid w:val="8BB95354"/>
    <w:rsid w:val="8D78DC5A"/>
    <w:rsid w:val="91E93E2F"/>
    <w:rsid w:val="956D85C9"/>
    <w:rsid w:val="97EF4932"/>
    <w:rsid w:val="9B7FC383"/>
    <w:rsid w:val="9CEF00A8"/>
    <w:rsid w:val="9D9797CC"/>
    <w:rsid w:val="9DA30073"/>
    <w:rsid w:val="9EAFAA5D"/>
    <w:rsid w:val="9FFF0F55"/>
    <w:rsid w:val="A7FCE885"/>
    <w:rsid w:val="A9DABC93"/>
    <w:rsid w:val="AA0F8F88"/>
    <w:rsid w:val="AFCFC30E"/>
    <w:rsid w:val="B2E9B92F"/>
    <w:rsid w:val="B6B5480E"/>
    <w:rsid w:val="B77FA11B"/>
    <w:rsid w:val="B7C8F05D"/>
    <w:rsid w:val="B927EBCA"/>
    <w:rsid w:val="BA7B23C6"/>
    <w:rsid w:val="BB7FCE6F"/>
    <w:rsid w:val="BBF92763"/>
    <w:rsid w:val="BC99AAB2"/>
    <w:rsid w:val="BCDAB567"/>
    <w:rsid w:val="BDB7618B"/>
    <w:rsid w:val="BDFFFE4E"/>
    <w:rsid w:val="BE7F16D8"/>
    <w:rsid w:val="BEFEC590"/>
    <w:rsid w:val="BEFF4B1A"/>
    <w:rsid w:val="BEFF91CF"/>
    <w:rsid w:val="BF470EE9"/>
    <w:rsid w:val="BFBA06E8"/>
    <w:rsid w:val="BFDB1BD3"/>
    <w:rsid w:val="BFDE7FE6"/>
    <w:rsid w:val="BFFFA3C3"/>
    <w:rsid w:val="BFFFF9DE"/>
    <w:rsid w:val="CDDE6BA6"/>
    <w:rsid w:val="CEED47EB"/>
    <w:rsid w:val="CF3DEF47"/>
    <w:rsid w:val="CFEDAE56"/>
    <w:rsid w:val="CFFF7263"/>
    <w:rsid w:val="D3E7E68F"/>
    <w:rsid w:val="D3FDE46D"/>
    <w:rsid w:val="D6BDA0FD"/>
    <w:rsid w:val="D7359B72"/>
    <w:rsid w:val="D7379F0F"/>
    <w:rsid w:val="D7B98E93"/>
    <w:rsid w:val="D7DEF8C9"/>
    <w:rsid w:val="D7F5A054"/>
    <w:rsid w:val="D7FBEBB9"/>
    <w:rsid w:val="D9AF3344"/>
    <w:rsid w:val="D9FFB875"/>
    <w:rsid w:val="DB1F8E78"/>
    <w:rsid w:val="DB76A610"/>
    <w:rsid w:val="DBD7ADD7"/>
    <w:rsid w:val="DBFA1478"/>
    <w:rsid w:val="DD6FDAA3"/>
    <w:rsid w:val="DDC5C86D"/>
    <w:rsid w:val="DEED708E"/>
    <w:rsid w:val="DEFDD219"/>
    <w:rsid w:val="DEFE3B35"/>
    <w:rsid w:val="DF1BD31B"/>
    <w:rsid w:val="DF9A698D"/>
    <w:rsid w:val="DF9CD2A4"/>
    <w:rsid w:val="DFEB4B44"/>
    <w:rsid w:val="DFEE4FA3"/>
    <w:rsid w:val="DFF2682B"/>
    <w:rsid w:val="DFF30864"/>
    <w:rsid w:val="DFF37627"/>
    <w:rsid w:val="DFF9E35E"/>
    <w:rsid w:val="DFFE574B"/>
    <w:rsid w:val="DFFE9125"/>
    <w:rsid w:val="E19FAC9C"/>
    <w:rsid w:val="EB7DFB4E"/>
    <w:rsid w:val="EB9F4F9F"/>
    <w:rsid w:val="EBAA24F9"/>
    <w:rsid w:val="EBBBC8EE"/>
    <w:rsid w:val="ED3E1A38"/>
    <w:rsid w:val="EDFD693B"/>
    <w:rsid w:val="EFA4C132"/>
    <w:rsid w:val="EFF63DBB"/>
    <w:rsid w:val="F0D310D9"/>
    <w:rsid w:val="F18F2102"/>
    <w:rsid w:val="F1BD59D0"/>
    <w:rsid w:val="F25B21BC"/>
    <w:rsid w:val="F37D58FD"/>
    <w:rsid w:val="F37D7D33"/>
    <w:rsid w:val="F3FEE081"/>
    <w:rsid w:val="F4CF5228"/>
    <w:rsid w:val="F57F64D6"/>
    <w:rsid w:val="F5ED3CA1"/>
    <w:rsid w:val="F67F67ED"/>
    <w:rsid w:val="F6AF652A"/>
    <w:rsid w:val="F75F7171"/>
    <w:rsid w:val="F77FAC29"/>
    <w:rsid w:val="F7B7D272"/>
    <w:rsid w:val="F7F7000F"/>
    <w:rsid w:val="F7F75A83"/>
    <w:rsid w:val="F7FF23C3"/>
    <w:rsid w:val="F7FFC80F"/>
    <w:rsid w:val="F8FF947A"/>
    <w:rsid w:val="FAFDB593"/>
    <w:rsid w:val="FB743BE6"/>
    <w:rsid w:val="FBCEBB90"/>
    <w:rsid w:val="FBF3231B"/>
    <w:rsid w:val="FBFB032A"/>
    <w:rsid w:val="FBFFBC43"/>
    <w:rsid w:val="FCFB435D"/>
    <w:rsid w:val="FD1D5D8B"/>
    <w:rsid w:val="FD1D8327"/>
    <w:rsid w:val="FD5F7B13"/>
    <w:rsid w:val="FDBEBB72"/>
    <w:rsid w:val="FDFFA346"/>
    <w:rsid w:val="FE734873"/>
    <w:rsid w:val="FE73510B"/>
    <w:rsid w:val="FEBDF147"/>
    <w:rsid w:val="FED2D094"/>
    <w:rsid w:val="FEDEB4CA"/>
    <w:rsid w:val="FEE63162"/>
    <w:rsid w:val="FEEDCFAA"/>
    <w:rsid w:val="FEF79DFC"/>
    <w:rsid w:val="FEFEE4AF"/>
    <w:rsid w:val="FEFF4951"/>
    <w:rsid w:val="FF2FA6E5"/>
    <w:rsid w:val="FF5C5AE4"/>
    <w:rsid w:val="FF724A99"/>
    <w:rsid w:val="FF737244"/>
    <w:rsid w:val="FFAE1F37"/>
    <w:rsid w:val="FFB76AB9"/>
    <w:rsid w:val="FFBE0763"/>
    <w:rsid w:val="FFBF25AE"/>
    <w:rsid w:val="FFD970A3"/>
    <w:rsid w:val="FFDB7C45"/>
    <w:rsid w:val="FFF45F86"/>
    <w:rsid w:val="FFF662DE"/>
    <w:rsid w:val="FFFD433D"/>
    <w:rsid w:val="FFFD6089"/>
    <w:rsid w:val="FFFE85DA"/>
    <w:rsid w:val="FFFF34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Lbls>
            <c:delete val="1"/>
          </c:dLbls>
          <c:cat>
            <c:strRef>
              <c:f>[工作簿1]Sheet1!$A$1:$A$10</c:f>
              <c:strCache>
                <c:ptCount val="10"/>
                <c:pt idx="0">
                  <c:v>镇街动态</c:v>
                </c:pt>
                <c:pt idx="1">
                  <c:v>通知公告</c:v>
                </c:pt>
                <c:pt idx="2">
                  <c:v>程序信息</c:v>
                </c:pt>
                <c:pt idx="3">
                  <c:v>依据信息</c:v>
                </c:pt>
                <c:pt idx="4">
                  <c:v>职责信息</c:v>
                </c:pt>
                <c:pt idx="5">
                  <c:v>主体信息</c:v>
                </c:pt>
                <c:pt idx="6">
                  <c:v>执法制度</c:v>
                </c:pt>
                <c:pt idx="7">
                  <c:v>部门决算</c:v>
                </c:pt>
                <c:pt idx="8">
                  <c:v>监督信息</c:v>
                </c:pt>
                <c:pt idx="9">
                  <c:v>信息公开</c:v>
                </c:pt>
              </c:strCache>
            </c:strRef>
          </c:cat>
          <c:val>
            <c:numRef>
              <c:f>[工作簿1]Sheet1!$B$1:$B$10</c:f>
              <c:numCache>
                <c:formatCode>General</c:formatCode>
                <c:ptCount val="10"/>
                <c:pt idx="0">
                  <c:v>5</c:v>
                </c:pt>
                <c:pt idx="1">
                  <c:v>3</c:v>
                </c:pt>
                <c:pt idx="2">
                  <c:v>6</c:v>
                </c:pt>
                <c:pt idx="3">
                  <c:v>1</c:v>
                </c:pt>
                <c:pt idx="4">
                  <c:v>1</c:v>
                </c:pt>
                <c:pt idx="5">
                  <c:v>2</c:v>
                </c:pt>
                <c:pt idx="6">
                  <c:v>1</c:v>
                </c:pt>
                <c:pt idx="7">
                  <c:v>2</c:v>
                </c:pt>
                <c:pt idx="8">
                  <c:v>1</c:v>
                </c:pt>
                <c:pt idx="9">
                  <c:v>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4888b8-784b-48cf-a8f8-af4a749b23b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2831</Words>
  <Characters>2973</Characters>
  <Lines>0</Lines>
  <Paragraphs>0</Paragraphs>
  <TotalTime>268</TotalTime>
  <ScaleCrop>false</ScaleCrop>
  <LinksUpToDate>false</LinksUpToDate>
  <CharactersWithSpaces>2973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2022-01-10T01:11:00Z</dcterms:created>
  <dc:creator>user</dc:creator>
  <cp:lastModifiedBy>cookie</cp:lastModifiedBy>
  <dcterms:modified xsi:type="dcterms:W3CDTF">2026-01-27T01:38:55Z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70E10169077E4973A78BA7D603DEC92E_13</vt:lpwstr>
  </property>
  <property fmtid="{D5CDD505-2E9C-101B-9397-08002B2CF9AE}" pid="4" name="KSOTemplateDocerSaveRecord">
    <vt:lpwstr>eyJoZGlkIjoiYmFiYzI2MWM0NWFiMWQ2ODljYjk4YzY5MTQxZGNlN2IiLCJ1c2VySWQiOiI0MjIyMzUzNjYifQ==</vt:lpwstr>
  </property>
</Properties>
</file>