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Autospacing="0" w:afterAutospacing="0"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冠县</w:t>
      </w:r>
      <w:r>
        <w:rPr>
          <w:rFonts w:hint="eastAsia" w:ascii="方正小标宋简体" w:hAnsi="方正小标宋简体" w:eastAsia="方正小标宋简体" w:cs="方正小标宋简体"/>
          <w:sz w:val="44"/>
          <w:szCs w:val="44"/>
          <w:lang w:val="en-US" w:eastAsia="zh-CN"/>
        </w:rPr>
        <w:t>退役军人事务局</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2025年</w:t>
      </w:r>
      <w:r>
        <w:rPr>
          <w:rFonts w:hint="eastAsia" w:ascii="方正小标宋简体" w:hAnsi="方正小标宋简体" w:eastAsia="方正小标宋简体" w:cs="方正小标宋简体"/>
          <w:sz w:val="44"/>
          <w:szCs w:val="44"/>
        </w:rPr>
        <w:t>政府信息公开工作年度报告</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年度</w:t>
      </w:r>
      <w:r>
        <w:rPr>
          <w:rFonts w:hint="eastAsia" w:ascii="仿宋_GB2312" w:hAnsi="仿宋_GB2312" w:eastAsia="仿宋_GB2312" w:cs="仿宋_GB2312"/>
          <w:sz w:val="32"/>
          <w:szCs w:val="32"/>
        </w:rPr>
        <w:t>报告根据《中华人民共和国政府信息公开条例》（以下简称《条例》）</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《国务院办公厅政府信息与政务公开办公室关于印发&lt;中华人民共和国政府信息公开工作年度报告格式&gt;的通知》（国办公开办函〔2021〕30号）相关要求编制</w:t>
      </w:r>
      <w:r>
        <w:rPr>
          <w:rFonts w:hint="eastAsia" w:ascii="仿宋_GB2312" w:hAnsi="仿宋_GB2312" w:eastAsia="仿宋_GB2312" w:cs="仿宋_GB2312"/>
          <w:sz w:val="32"/>
          <w:szCs w:val="32"/>
          <w:lang w:eastAsia="zh-CN"/>
        </w:rPr>
        <w:t>，全文</w:t>
      </w:r>
      <w:r>
        <w:rPr>
          <w:rFonts w:hint="eastAsia" w:ascii="仿宋_GB2312" w:hAnsi="仿宋_GB2312" w:eastAsia="仿宋_GB2312" w:cs="仿宋_GB2312"/>
          <w:sz w:val="32"/>
          <w:szCs w:val="32"/>
        </w:rPr>
        <w:t>包括总体情况、主动公开政府信息情况、收到和处理政府信息公开申请情况、</w:t>
      </w:r>
      <w:r>
        <w:rPr>
          <w:rFonts w:hint="eastAsia" w:ascii="仿宋_GB2312" w:hAnsi="仿宋_GB2312" w:eastAsia="仿宋_GB2312" w:cs="仿宋_GB2312"/>
          <w:sz w:val="32"/>
          <w:szCs w:val="32"/>
          <w:lang w:val="en-US" w:eastAsia="zh-CN"/>
        </w:rPr>
        <w:t>因政府信息公开工作被申请行政复议和提起行政诉讼情况、政府信息公开工作</w:t>
      </w:r>
      <w:r>
        <w:rPr>
          <w:rFonts w:hint="eastAsia" w:ascii="仿宋_GB2312" w:hAnsi="仿宋_GB2312" w:eastAsia="仿宋_GB2312" w:cs="仿宋_GB2312"/>
          <w:sz w:val="32"/>
          <w:szCs w:val="32"/>
        </w:rPr>
        <w:t>存在的主要问题及改进情况、其他需要报告的事项</w:t>
      </w:r>
      <w:r>
        <w:rPr>
          <w:rFonts w:hint="eastAsia" w:ascii="仿宋_GB2312" w:hAnsi="仿宋_GB2312" w:eastAsia="仿宋_GB2312" w:cs="仿宋_GB2312"/>
          <w:sz w:val="32"/>
          <w:szCs w:val="32"/>
          <w:lang w:eastAsia="zh-CN"/>
        </w:rPr>
        <w:t>等六个部分</w:t>
      </w:r>
      <w:r>
        <w:rPr>
          <w:rFonts w:hint="eastAsia" w:ascii="仿宋_GB2312" w:hAnsi="仿宋_GB2312" w:eastAsia="仿宋_GB2312" w:cs="仿宋_GB2312"/>
          <w:sz w:val="32"/>
          <w:szCs w:val="32"/>
        </w:rPr>
        <w:t>。</w:t>
      </w:r>
      <w:bookmarkStart w:id="0" w:name="_Hlk67405801"/>
      <w:r>
        <w:rPr>
          <w:rFonts w:hint="eastAsia" w:ascii="仿宋_GB2312" w:hAnsi="仿宋_GB2312" w:eastAsia="仿宋_GB2312" w:cs="仿宋_GB2312"/>
          <w:sz w:val="32"/>
          <w:szCs w:val="32"/>
        </w:rPr>
        <w:t>本年度报告中所列数据统计期限从202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年1月1日</w:t>
      </w:r>
      <w:r>
        <w:rPr>
          <w:rFonts w:hint="eastAsia" w:ascii="仿宋_GB2312" w:hAnsi="仿宋_GB2312" w:eastAsia="仿宋_GB2312" w:cs="仿宋_GB2312"/>
          <w:sz w:val="32"/>
          <w:szCs w:val="32"/>
          <w:lang w:eastAsia="zh-CN"/>
        </w:rPr>
        <w:t>至</w:t>
      </w:r>
      <w:r>
        <w:rPr>
          <w:rFonts w:hint="eastAsia" w:ascii="仿宋_GB2312" w:hAnsi="仿宋_GB2312" w:eastAsia="仿宋_GB2312" w:cs="仿宋_GB2312"/>
          <w:sz w:val="32"/>
          <w:szCs w:val="32"/>
        </w:rPr>
        <w:t>12月31日</w:t>
      </w:r>
      <w:bookmarkEnd w:id="0"/>
      <w:r>
        <w:rPr>
          <w:rFonts w:hint="eastAsia" w:ascii="仿宋_GB2312" w:hAnsi="仿宋_GB2312" w:eastAsia="仿宋_GB2312" w:cs="仿宋_GB2312"/>
          <w:sz w:val="32"/>
          <w:szCs w:val="32"/>
        </w:rPr>
        <w:t>。本年度报告电子版可从</w:t>
      </w:r>
      <w:r>
        <w:rPr>
          <w:rFonts w:hint="eastAsia" w:ascii="仿宋_GB2312" w:hAnsi="仿宋_GB2312" w:eastAsia="仿宋_GB2312" w:cs="仿宋_GB2312"/>
          <w:sz w:val="32"/>
          <w:szCs w:val="32"/>
          <w:lang w:eastAsia="zh-CN"/>
        </w:rPr>
        <w:t>冠县人民政府网站</w:t>
      </w:r>
      <w:r>
        <w:rPr>
          <w:rFonts w:hint="eastAsia" w:ascii="仿宋_GB2312" w:hAnsi="仿宋_GB2312" w:eastAsia="仿宋_GB2312" w:cs="仿宋_GB2312"/>
          <w:sz w:val="32"/>
          <w:szCs w:val="32"/>
        </w:rPr>
        <w:t>（http://www.guanxian.gov.cn/）下载。</w:t>
      </w:r>
      <w:r>
        <w:rPr>
          <w:rFonts w:hint="eastAsia" w:ascii="仿宋_GB2312" w:hAnsi="仿宋_GB2312" w:eastAsia="仿宋_GB2312" w:cs="仿宋_GB2312"/>
          <w:sz w:val="32"/>
          <w:szCs w:val="32"/>
          <w:lang w:eastAsia="zh-CN"/>
        </w:rPr>
        <w:t>公众</w:t>
      </w:r>
      <w:r>
        <w:rPr>
          <w:rFonts w:hint="eastAsia" w:ascii="仿宋_GB2312" w:hAnsi="仿宋_GB2312" w:eastAsia="仿宋_GB2312" w:cs="仿宋_GB2312"/>
          <w:sz w:val="32"/>
          <w:szCs w:val="32"/>
        </w:rPr>
        <w:t>如</w:t>
      </w:r>
      <w:r>
        <w:rPr>
          <w:rFonts w:hint="eastAsia" w:ascii="仿宋_GB2312" w:hAnsi="仿宋_GB2312" w:eastAsia="仿宋_GB2312" w:cs="仿宋_GB2312"/>
          <w:sz w:val="32"/>
          <w:szCs w:val="32"/>
          <w:lang w:eastAsia="zh-CN"/>
        </w:rPr>
        <w:t>需进一步咨询了解相关信息</w:t>
      </w:r>
      <w:r>
        <w:rPr>
          <w:rFonts w:hint="eastAsia" w:ascii="仿宋_GB2312" w:hAnsi="仿宋_GB2312" w:eastAsia="仿宋_GB2312" w:cs="仿宋_GB2312"/>
          <w:sz w:val="32"/>
          <w:szCs w:val="32"/>
        </w:rPr>
        <w:t>，请与冠县</w:t>
      </w:r>
      <w:r>
        <w:rPr>
          <w:rFonts w:hint="eastAsia" w:ascii="仿宋_GB2312" w:hAnsi="仿宋_GB2312" w:eastAsia="仿宋_GB2312" w:cs="仿宋_GB2312"/>
          <w:sz w:val="32"/>
          <w:szCs w:val="32"/>
          <w:lang w:val="en-US" w:eastAsia="zh-CN"/>
        </w:rPr>
        <w:t>退役军人事务局</w:t>
      </w:r>
      <w:r>
        <w:rPr>
          <w:rFonts w:hint="eastAsia" w:ascii="仿宋_GB2312" w:hAnsi="仿宋_GB2312" w:eastAsia="仿宋_GB2312" w:cs="仿宋_GB2312"/>
          <w:sz w:val="32"/>
          <w:szCs w:val="32"/>
        </w:rPr>
        <w:t>联系（</w:t>
      </w:r>
      <w:r>
        <w:rPr>
          <w:rFonts w:hint="eastAsia" w:ascii="仿宋_GB2312" w:hAnsi="仿宋_GB2312" w:eastAsia="仿宋_GB2312" w:cs="仿宋_GB2312"/>
          <w:sz w:val="32"/>
          <w:szCs w:val="32"/>
          <w:lang w:eastAsia="zh-CN"/>
        </w:rPr>
        <w:t>地址：山东省聊城市冠县</w:t>
      </w:r>
      <w:r>
        <w:rPr>
          <w:rFonts w:hint="eastAsia" w:ascii="仿宋_GB2312" w:hAnsi="仿宋_GB2312" w:eastAsia="仿宋_GB2312" w:cs="仿宋_GB2312"/>
          <w:sz w:val="32"/>
          <w:szCs w:val="32"/>
          <w:lang w:val="en-US" w:eastAsia="zh-CN"/>
        </w:rPr>
        <w:t>建设北路79号；邮编：252500；</w:t>
      </w:r>
      <w:r>
        <w:rPr>
          <w:rFonts w:hint="eastAsia" w:ascii="仿宋_GB2312" w:hAnsi="仿宋_GB2312" w:eastAsia="仿宋_GB2312" w:cs="仿宋_GB2312"/>
          <w:sz w:val="32"/>
          <w:szCs w:val="32"/>
        </w:rPr>
        <w:t>电话:</w:t>
      </w:r>
      <w:r>
        <w:rPr>
          <w:rFonts w:hint="eastAsia" w:ascii="仿宋_GB2312" w:hAnsi="仿宋_GB2312" w:eastAsia="仿宋_GB2312" w:cs="仿宋_GB2312"/>
          <w:sz w:val="32"/>
          <w:szCs w:val="32"/>
          <w:lang w:val="en-US" w:eastAsia="zh-CN"/>
        </w:rPr>
        <w:t>0635-5551361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邮箱:</w:t>
      </w:r>
      <w:r>
        <w:rPr>
          <w:rFonts w:hint="eastAsia" w:ascii="仿宋_GB2312" w:hAnsi="仿宋_GB2312" w:eastAsia="仿宋_GB2312" w:cs="仿宋_GB2312"/>
          <w:sz w:val="32"/>
          <w:szCs w:val="32"/>
          <w:lang w:val="en-US" w:eastAsia="zh-CN"/>
        </w:rPr>
        <w:t>lcgxtyjrswjbgs</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lc.</w:t>
      </w:r>
      <w:r>
        <w:rPr>
          <w:rFonts w:hint="eastAsia" w:ascii="仿宋_GB2312" w:hAnsi="仿宋_GB2312" w:eastAsia="仿宋_GB2312" w:cs="仿宋_GB2312"/>
          <w:sz w:val="32"/>
          <w:szCs w:val="32"/>
        </w:rPr>
        <w:t>shandong.cn）。</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一、</w:t>
      </w:r>
      <w:r>
        <w:rPr>
          <w:rFonts w:hint="eastAsia" w:ascii="黑体" w:hAnsi="黑体" w:eastAsia="黑体" w:cs="黑体"/>
          <w:sz w:val="32"/>
          <w:szCs w:val="32"/>
        </w:rPr>
        <w:t>总体情况</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（一）主动公开</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2025年，通过冠县人民政府网站主动公开发布政府信息</w:t>
      </w:r>
      <w:r>
        <w:rPr>
          <w:rFonts w:hint="eastAsia" w:ascii="仿宋_GB2312" w:hAnsi="仿宋_GB2312" w:eastAsia="仿宋_GB2312" w:cs="仿宋_GB2312"/>
          <w:sz w:val="32"/>
          <w:szCs w:val="32"/>
          <w:lang w:val="en-US" w:eastAsia="zh-CN"/>
        </w:rPr>
        <w:t>58</w:t>
      </w:r>
      <w:r>
        <w:rPr>
          <w:rFonts w:hint="default" w:ascii="仿宋_GB2312" w:hAnsi="仿宋_GB2312" w:eastAsia="仿宋_GB2312" w:cs="仿宋_GB2312"/>
          <w:sz w:val="32"/>
          <w:szCs w:val="32"/>
          <w:lang w:val="en-US" w:eastAsia="zh-CN"/>
        </w:rPr>
        <w:t>条，主要包括政策文件</w:t>
      </w:r>
      <w:r>
        <w:rPr>
          <w:rFonts w:hint="eastAsia" w:ascii="仿宋_GB2312" w:hAnsi="仿宋_GB2312" w:eastAsia="仿宋_GB2312" w:cs="仿宋_GB2312"/>
          <w:sz w:val="32"/>
          <w:szCs w:val="32"/>
          <w:lang w:val="en-US" w:eastAsia="zh-CN"/>
        </w:rPr>
        <w:t>及</w:t>
      </w:r>
      <w:r>
        <w:rPr>
          <w:rFonts w:hint="eastAsia" w:ascii="仿宋_GB2312" w:eastAsia="仿宋_GB2312"/>
          <w:sz w:val="32"/>
          <w:szCs w:val="32"/>
          <w:lang w:val="en-US" w:eastAsia="zh-CN"/>
        </w:rPr>
        <w:t>解读、</w:t>
      </w:r>
      <w:r>
        <w:rPr>
          <w:rFonts w:hint="default" w:ascii="仿宋_GB2312" w:hAnsi="仿宋_GB2312" w:eastAsia="仿宋_GB2312" w:cs="仿宋_GB2312"/>
          <w:sz w:val="32"/>
          <w:szCs w:val="32"/>
          <w:lang w:val="en-US" w:eastAsia="zh-CN"/>
        </w:rPr>
        <w:t>财政</w:t>
      </w:r>
      <w:r>
        <w:rPr>
          <w:rFonts w:hint="eastAsia" w:ascii="仿宋_GB2312" w:hAnsi="仿宋_GB2312" w:eastAsia="仿宋_GB2312" w:cs="仿宋_GB2312"/>
          <w:sz w:val="32"/>
          <w:szCs w:val="32"/>
          <w:lang w:val="en-US" w:eastAsia="zh-CN"/>
        </w:rPr>
        <w:t>预决算</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行政执法公示、稳岗就业政策等</w:t>
      </w:r>
      <w:r>
        <w:rPr>
          <w:rFonts w:hint="default"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drawing>
          <wp:inline distT="0" distB="0" distL="114300" distR="114300">
            <wp:extent cx="5539105" cy="3559810"/>
            <wp:effectExtent l="0" t="0" r="4445" b="2540"/>
            <wp:docPr id="2" name="图片 2" descr="2026-01-28_11-45-4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descr="2026-01-28_11-45-48"/>
                    <pic:cNvPicPr>
                      <a:picLocks noChangeAspect="true"/>
                    </pic:cNvPicPr>
                  </pic:nvPicPr>
                  <pic:blipFill>
                    <a:blip r:embed="rId4"/>
                    <a:stretch>
                      <a:fillRect/>
                    </a:stretch>
                  </pic:blipFill>
                  <pic:spPr>
                    <a:xfrm>
                      <a:off x="0" y="0"/>
                      <a:ext cx="5539105" cy="355981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（二）依申请公开</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2025年，共受理政府信息公开申请0件。全年未发生因政府信息公开被行政复议、提起行政诉讼情况。</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楷体_GB2312" w:hAnsi="楷体_GB2312" w:eastAsia="楷体_GB2312" w:cs="楷体_GB2312"/>
          <w:sz w:val="32"/>
          <w:szCs w:val="32"/>
          <w:lang w:val="en-US" w:eastAsia="zh-CN"/>
        </w:rPr>
      </w:pPr>
      <w:r>
        <w:rPr>
          <w:rFonts w:hint="default" w:ascii="楷体_GB2312" w:hAnsi="楷体_GB2312" w:eastAsia="楷体_GB2312" w:cs="楷体_GB2312"/>
          <w:sz w:val="32"/>
          <w:szCs w:val="32"/>
          <w:lang w:val="en-US" w:eastAsia="zh-CN"/>
        </w:rPr>
        <w:t>（三）政府信息管理</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仿宋_GB2312" w:eastAsia="仿宋_GB2312"/>
          <w:color w:val="auto"/>
          <w:sz w:val="32"/>
          <w:szCs w:val="32"/>
          <w:lang w:val="en-US" w:eastAsia="zh-CN"/>
        </w:rPr>
      </w:pPr>
      <w:r>
        <w:rPr>
          <w:rFonts w:hint="default" w:ascii="仿宋_GB2312" w:eastAsia="仿宋_GB2312"/>
          <w:color w:val="auto"/>
          <w:sz w:val="32"/>
          <w:szCs w:val="32"/>
          <w:lang w:val="en-US" w:eastAsia="zh-CN"/>
        </w:rPr>
        <w:t>完善政府信息管理制度，规范</w:t>
      </w:r>
      <w:r>
        <w:rPr>
          <w:rFonts w:hint="eastAsia" w:ascii="仿宋_GB2312" w:eastAsia="仿宋_GB2312"/>
          <w:color w:val="auto"/>
          <w:sz w:val="32"/>
          <w:szCs w:val="32"/>
          <w:lang w:val="en-US" w:eastAsia="zh-CN"/>
        </w:rPr>
        <w:t>政府</w:t>
      </w:r>
      <w:r>
        <w:rPr>
          <w:rFonts w:hint="default" w:ascii="仿宋_GB2312" w:eastAsia="仿宋_GB2312"/>
          <w:color w:val="auto"/>
          <w:sz w:val="32"/>
          <w:szCs w:val="32"/>
          <w:lang w:val="en-US" w:eastAsia="zh-CN"/>
        </w:rPr>
        <w:t>信息采集、审核、发布、归档等流程。政府信息动态调整，每季度对存量信息进行梳理排查，及时更新失效信息、补充完善缺失信息，确保信息准确性和时效性。严格落实保密审查制度，所有公开信息均经过三级审核，全年未发生信息泄露事件。</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（四）政府信息公开平台建设</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充分发挥冠县人民政府网站平台作用，及时准确发布退役军人就业、补贴等各类退役军人领域政府信息，为退役军人提供最大程度便利。</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（五）监督保障</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配备专职工作人员1名，负责统筹协调推进全局政府信息公开工作。强化业务培训，积极参加全县政务公开专题培训，开展内部业务学习，提升工作人员政策理解和实操能力。将政府信息公开工作纳入年度绩效考核体系，细化考核指标，定期开展自查自评，对发现的问题及时整改，提升工作质效。</w:t>
      </w:r>
    </w:p>
    <w:p>
      <w:pPr>
        <w:pStyle w:val="4"/>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600" w:lineRule="exact"/>
        <w:ind w:firstLine="720" w:firstLineChars="200"/>
        <w:textAlignment w:val="auto"/>
        <w:rPr>
          <w:rFonts w:hint="eastAsia"/>
        </w:rPr>
      </w:pPr>
      <w:r>
        <w:rPr>
          <w:rFonts w:hint="eastAsia" w:ascii="CESI黑体-GB2312" w:hAnsi="CESI黑体-GB2312" w:eastAsia="CESI黑体-GB2312" w:cs="CESI黑体-GB2312"/>
          <w:b w:val="0"/>
          <w:bCs w:val="0"/>
          <w:lang w:eastAsia="zh-CN"/>
        </w:rPr>
        <w:t>二、</w:t>
      </w:r>
      <w:r>
        <w:rPr>
          <w:rFonts w:hint="eastAsia" w:ascii="CESI黑体-GB2312" w:hAnsi="CESI黑体-GB2312" w:eastAsia="CESI黑体-GB2312" w:cs="CESI黑体-GB2312"/>
          <w:b w:val="0"/>
          <w:bCs w:val="0"/>
        </w:rPr>
        <w:t>主动公开政府信息情况</w:t>
      </w:r>
    </w:p>
    <w:tbl>
      <w:tblPr>
        <w:tblStyle w:val="6"/>
        <w:tblpPr w:leftFromText="180" w:rightFromText="180" w:vertAnchor="text" w:horzAnchor="page" w:tblpXSpec="center" w:tblpY="596"/>
        <w:tblOverlap w:val="never"/>
        <w:tblW w:w="5000" w:type="pct"/>
        <w:jc w:val="center"/>
        <w:tblLayout w:type="autofit"/>
        <w:tblCellMar>
          <w:top w:w="0" w:type="dxa"/>
          <w:left w:w="108" w:type="dxa"/>
          <w:bottom w:w="0" w:type="dxa"/>
          <w:right w:w="108" w:type="dxa"/>
        </w:tblCellMar>
      </w:tblPr>
      <w:tblGrid>
        <w:gridCol w:w="2237"/>
        <w:gridCol w:w="2237"/>
        <w:gridCol w:w="2237"/>
        <w:gridCol w:w="2237"/>
      </w:tblGrid>
      <w:tr>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1250" w:type="pct"/>
            <w:tcBorders>
              <w:top w:val="nil"/>
              <w:left w:val="nil"/>
              <w:bottom w:val="single" w:color="auto" w:sz="8" w:space="0"/>
              <w:right w:val="single" w:color="auto" w:sz="8" w:space="0"/>
            </w:tcBorders>
            <w:noWrap w:val="0"/>
            <w:vAlign w:val="center"/>
          </w:tcPr>
          <w:p>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default"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bl>
    <w:p>
      <w:pPr>
        <w:numPr>
          <w:ilvl w:val="0"/>
          <w:numId w:val="0"/>
        </w:numPr>
        <w:rPr>
          <w:rFonts w:hint="eastAsia"/>
        </w:rPr>
      </w:pPr>
    </w:p>
    <w:p>
      <w:pPr>
        <w:ind w:firstLine="640" w:firstLineChars="200"/>
        <w:jc w:val="left"/>
        <w:rPr>
          <w:rFonts w:hint="eastAsia" w:ascii="CESI黑体-GB2312" w:hAnsi="CESI黑体-GB2312" w:eastAsia="CESI黑体-GB2312" w:cs="CESI黑体-GB2312"/>
          <w:sz w:val="32"/>
          <w:szCs w:val="32"/>
        </w:rPr>
      </w:pPr>
      <w:r>
        <w:rPr>
          <w:rFonts w:hint="eastAsia" w:ascii="CESI黑体-GB2312" w:hAnsi="CESI黑体-GB2312" w:eastAsia="CESI黑体-GB2312" w:cs="CESI黑体-GB2312"/>
          <w:sz w:val="32"/>
          <w:szCs w:val="32"/>
          <w:lang w:eastAsia="zh-CN"/>
        </w:rPr>
        <w:t>三、</w:t>
      </w:r>
      <w:r>
        <w:rPr>
          <w:rFonts w:hint="eastAsia" w:ascii="CESI黑体-GB2312" w:hAnsi="CESI黑体-GB2312" w:eastAsia="CESI黑体-GB2312" w:cs="CESI黑体-GB2312"/>
          <w:sz w:val="32"/>
          <w:szCs w:val="32"/>
        </w:rPr>
        <w:t>收到和处理政府信息公开申请情况</w:t>
      </w:r>
    </w:p>
    <w:tbl>
      <w:tblPr>
        <w:tblStyle w:val="6"/>
        <w:tblW w:w="945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715"/>
        <w:gridCol w:w="548"/>
        <w:gridCol w:w="558"/>
        <w:gridCol w:w="735"/>
        <w:gridCol w:w="652"/>
        <w:gridCol w:w="610"/>
        <w:gridCol w:w="54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noWrap w:val="0"/>
            <w:tcMar>
              <w:left w:w="108" w:type="dxa"/>
              <w:right w:w="108" w:type="dxa"/>
            </w:tcMar>
            <w:vAlign w:val="center"/>
          </w:tcPr>
          <w:p>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366" w:type="dxa"/>
            <w:gridSpan w:val="7"/>
            <w:noWrap w:val="0"/>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pPr>
              <w:jc w:val="center"/>
              <w:rPr>
                <w:rFonts w:ascii="仿宋_GB2312" w:hAnsi="Times New Roman" w:eastAsia="仿宋_GB2312"/>
                <w:szCs w:val="21"/>
              </w:rPr>
            </w:pPr>
          </w:p>
        </w:tc>
        <w:tc>
          <w:tcPr>
            <w:tcW w:w="715" w:type="dxa"/>
            <w:vMerge w:val="restart"/>
            <w:noWrap w:val="0"/>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自然人</w:t>
            </w:r>
          </w:p>
        </w:tc>
        <w:tc>
          <w:tcPr>
            <w:tcW w:w="3103" w:type="dxa"/>
            <w:gridSpan w:val="5"/>
            <w:noWrap w:val="0"/>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548" w:type="dxa"/>
            <w:vMerge w:val="restart"/>
            <w:noWrap w:val="0"/>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noWrap w:val="0"/>
            <w:tcMar>
              <w:left w:w="108" w:type="dxa"/>
              <w:right w:w="108" w:type="dxa"/>
            </w:tcMar>
            <w:vAlign w:val="center"/>
          </w:tcPr>
          <w:p>
            <w:pPr>
              <w:jc w:val="center"/>
              <w:rPr>
                <w:rFonts w:ascii="仿宋_GB2312" w:hAnsi="Times New Roman" w:eastAsia="仿宋_GB2312"/>
                <w:szCs w:val="21"/>
              </w:rPr>
            </w:pPr>
          </w:p>
        </w:tc>
        <w:tc>
          <w:tcPr>
            <w:tcW w:w="715" w:type="dxa"/>
            <w:vMerge w:val="continue"/>
            <w:noWrap w:val="0"/>
            <w:tcMar>
              <w:left w:w="108" w:type="dxa"/>
              <w:right w:w="108" w:type="dxa"/>
            </w:tcMar>
            <w:vAlign w:val="center"/>
          </w:tcPr>
          <w:p>
            <w:pPr>
              <w:jc w:val="center"/>
              <w:rPr>
                <w:rFonts w:ascii="黑体" w:hAnsi="黑体" w:eastAsia="黑体"/>
                <w:szCs w:val="21"/>
              </w:rPr>
            </w:pPr>
          </w:p>
        </w:tc>
        <w:tc>
          <w:tcPr>
            <w:tcW w:w="548" w:type="dxa"/>
            <w:noWrap w:val="0"/>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58" w:type="dxa"/>
            <w:noWrap w:val="0"/>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35" w:type="dxa"/>
            <w:noWrap w:val="0"/>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652" w:type="dxa"/>
            <w:noWrap w:val="0"/>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610" w:type="dxa"/>
            <w:noWrap w:val="0"/>
            <w:tcMar>
              <w:left w:w="108" w:type="dxa"/>
              <w:right w:w="108" w:type="dxa"/>
            </w:tcMar>
            <w:vAlign w:val="center"/>
          </w:tcPr>
          <w:p>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548" w:type="dxa"/>
            <w:vMerge w:val="continue"/>
            <w:noWrap w:val="0"/>
            <w:tcMar>
              <w:left w:w="108" w:type="dxa"/>
              <w:right w:w="108" w:type="dxa"/>
            </w:tcMar>
            <w:vAlign w:val="center"/>
          </w:tcPr>
          <w:p>
            <w:pPr>
              <w:jc w:val="center"/>
              <w:rPr>
                <w:rFonts w:ascii="仿宋_GB2312" w:hAnsi="Times New Roman"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w:t>
            </w:r>
            <w:bookmarkStart w:id="1" w:name="_Hlk66973412"/>
            <w:r>
              <w:rPr>
                <w:rFonts w:hint="eastAsia" w:ascii="黑体" w:hAnsi="黑体" w:eastAsia="黑体"/>
                <w:kern w:val="0"/>
                <w:szCs w:val="21"/>
              </w:rPr>
              <w:t>本年新收政府信息公开申请数量</w:t>
            </w:r>
            <w:bookmarkEnd w:id="1"/>
          </w:p>
        </w:tc>
        <w:tc>
          <w:tcPr>
            <w:tcW w:w="715" w:type="dxa"/>
            <w:noWrap w:val="0"/>
            <w:tcMar>
              <w:left w:w="108" w:type="dxa"/>
              <w:right w:w="108" w:type="dxa"/>
            </w:tcMar>
            <w:vAlign w:val="bottom"/>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48" w:type="dxa"/>
            <w:noWrap w:val="0"/>
            <w:tcMar>
              <w:left w:w="108" w:type="dxa"/>
              <w:right w:w="108" w:type="dxa"/>
            </w:tcMar>
            <w:vAlign w:val="bottom"/>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58" w:type="dxa"/>
            <w:noWrap w:val="0"/>
            <w:tcMar>
              <w:left w:w="108" w:type="dxa"/>
              <w:right w:w="108" w:type="dxa"/>
            </w:tcMar>
            <w:vAlign w:val="bottom"/>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5" w:type="dxa"/>
            <w:noWrap w:val="0"/>
            <w:tcMar>
              <w:left w:w="108" w:type="dxa"/>
              <w:right w:w="108" w:type="dxa"/>
            </w:tcMar>
            <w:vAlign w:val="bottom"/>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52" w:type="dxa"/>
            <w:noWrap w:val="0"/>
            <w:tcMar>
              <w:left w:w="108" w:type="dxa"/>
              <w:right w:w="108" w:type="dxa"/>
            </w:tcMar>
            <w:vAlign w:val="bottom"/>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10" w:type="dxa"/>
            <w:noWrap w:val="0"/>
            <w:tcMar>
              <w:left w:w="108" w:type="dxa"/>
              <w:right w:w="108" w:type="dxa"/>
            </w:tcMar>
            <w:vAlign w:val="bottom"/>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48" w:type="dxa"/>
            <w:noWrap w:val="0"/>
            <w:tcMar>
              <w:left w:w="108" w:type="dxa"/>
              <w:right w:w="108" w:type="dxa"/>
            </w:tcMar>
            <w:vAlign w:val="bottom"/>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二、上年结转政府信息公开申请数量</w:t>
            </w:r>
          </w:p>
        </w:tc>
        <w:tc>
          <w:tcPr>
            <w:tcW w:w="715" w:type="dxa"/>
            <w:noWrap w:val="0"/>
            <w:tcMar>
              <w:left w:w="108" w:type="dxa"/>
              <w:right w:w="108" w:type="dxa"/>
            </w:tcMar>
            <w:vAlign w:val="bottom"/>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48" w:type="dxa"/>
            <w:noWrap w:val="0"/>
            <w:tcMar>
              <w:left w:w="108" w:type="dxa"/>
              <w:right w:w="108" w:type="dxa"/>
            </w:tcMar>
            <w:vAlign w:val="bottom"/>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58" w:type="dxa"/>
            <w:noWrap w:val="0"/>
            <w:tcMar>
              <w:left w:w="108" w:type="dxa"/>
              <w:right w:w="108" w:type="dxa"/>
            </w:tcMar>
            <w:vAlign w:val="bottom"/>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5" w:type="dxa"/>
            <w:noWrap w:val="0"/>
            <w:tcMar>
              <w:left w:w="108" w:type="dxa"/>
              <w:right w:w="108" w:type="dxa"/>
            </w:tcMar>
            <w:vAlign w:val="bottom"/>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52" w:type="dxa"/>
            <w:noWrap w:val="0"/>
            <w:tcMar>
              <w:left w:w="108" w:type="dxa"/>
              <w:right w:w="108" w:type="dxa"/>
            </w:tcMar>
            <w:vAlign w:val="bottom"/>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10" w:type="dxa"/>
            <w:noWrap w:val="0"/>
            <w:tcMar>
              <w:left w:w="108" w:type="dxa"/>
              <w:right w:w="108" w:type="dxa"/>
            </w:tcMar>
            <w:vAlign w:val="bottom"/>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48" w:type="dxa"/>
            <w:noWrap w:val="0"/>
            <w:tcMar>
              <w:left w:w="108" w:type="dxa"/>
              <w:right w:w="108" w:type="dxa"/>
            </w:tcMar>
            <w:vAlign w:val="bottom"/>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noWrap w:val="0"/>
            <w:tcMar>
              <w:left w:w="108" w:type="dxa"/>
              <w:right w:w="108" w:type="dxa"/>
            </w:tcMar>
            <w:vAlign w:val="center"/>
          </w:tcPr>
          <w:p>
            <w:pPr>
              <w:widowControl/>
              <w:spacing w:after="180"/>
              <w:rPr>
                <w:rFonts w:ascii="黑体" w:hAnsi="黑体" w:eastAsia="黑体"/>
                <w:szCs w:val="21"/>
              </w:rPr>
            </w:pPr>
            <w:r>
              <w:rPr>
                <w:rFonts w:hint="eastAsia" w:ascii="黑体" w:hAnsi="黑体" w:eastAsia="黑体"/>
                <w:kern w:val="0"/>
                <w:szCs w:val="21"/>
              </w:rPr>
              <w:t>三、本年度办理结果</w:t>
            </w:r>
          </w:p>
        </w:tc>
        <w:tc>
          <w:tcPr>
            <w:tcW w:w="4677" w:type="dxa"/>
            <w:gridSpan w:val="2"/>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（一）予以公开</w:t>
            </w:r>
          </w:p>
        </w:tc>
        <w:tc>
          <w:tcPr>
            <w:tcW w:w="715" w:type="dxa"/>
            <w:noWrap w:val="0"/>
            <w:tcMar>
              <w:left w:w="108" w:type="dxa"/>
              <w:right w:w="108" w:type="dxa"/>
            </w:tcMar>
            <w:vAlign w:val="bottom"/>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48" w:type="dxa"/>
            <w:noWrap w:val="0"/>
            <w:tcMar>
              <w:left w:w="108" w:type="dxa"/>
              <w:right w:w="108" w:type="dxa"/>
            </w:tcMar>
            <w:vAlign w:val="bottom"/>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58" w:type="dxa"/>
            <w:noWrap w:val="0"/>
            <w:tcMar>
              <w:left w:w="108" w:type="dxa"/>
              <w:right w:w="108" w:type="dxa"/>
            </w:tcMar>
            <w:vAlign w:val="bottom"/>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5" w:type="dxa"/>
            <w:noWrap w:val="0"/>
            <w:tcMar>
              <w:left w:w="108" w:type="dxa"/>
              <w:right w:w="108" w:type="dxa"/>
            </w:tcMar>
            <w:vAlign w:val="bottom"/>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52" w:type="dxa"/>
            <w:noWrap w:val="0"/>
            <w:tcMar>
              <w:left w:w="108" w:type="dxa"/>
              <w:right w:w="108" w:type="dxa"/>
            </w:tcMar>
            <w:vAlign w:val="bottom"/>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10" w:type="dxa"/>
            <w:noWrap w:val="0"/>
            <w:tcMar>
              <w:left w:w="108" w:type="dxa"/>
              <w:right w:w="108" w:type="dxa"/>
            </w:tcMar>
            <w:vAlign w:val="bottom"/>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48" w:type="dxa"/>
            <w:noWrap w:val="0"/>
            <w:tcMar>
              <w:left w:w="108" w:type="dxa"/>
              <w:right w:w="108" w:type="dxa"/>
            </w:tcMar>
            <w:vAlign w:val="bottom"/>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4677" w:type="dxa"/>
            <w:gridSpan w:val="2"/>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（二）部分公开（</w:t>
            </w:r>
            <w:bookmarkStart w:id="2" w:name="_Hlk66973981"/>
            <w:r>
              <w:rPr>
                <w:rFonts w:hint="eastAsia" w:ascii="黑体" w:hAnsi="黑体" w:eastAsia="黑体"/>
                <w:kern w:val="0"/>
                <w:szCs w:val="21"/>
              </w:rPr>
              <w:t>区分处理的，只计这一情形，不计其他情形</w:t>
            </w:r>
            <w:bookmarkEnd w:id="2"/>
            <w:r>
              <w:rPr>
                <w:rFonts w:hint="eastAsia" w:ascii="黑体" w:hAnsi="黑体" w:eastAsia="黑体"/>
                <w:kern w:val="0"/>
                <w:szCs w:val="21"/>
              </w:rPr>
              <w:t>）</w:t>
            </w:r>
          </w:p>
        </w:tc>
        <w:tc>
          <w:tcPr>
            <w:tcW w:w="715"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4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5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5"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652"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610"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4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（三）不予公开</w:t>
            </w: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ascii="仿宋_GB2312" w:hAnsi="黑体" w:eastAsia="仿宋_GB2312"/>
                <w:kern w:val="0"/>
                <w:szCs w:val="21"/>
              </w:rPr>
            </w:pPr>
            <w:r>
              <w:rPr>
                <w:rFonts w:hint="eastAsia" w:ascii="仿宋_GB2312" w:hAnsi="黑体" w:eastAsia="仿宋_GB2312"/>
                <w:kern w:val="0"/>
                <w:szCs w:val="21"/>
              </w:rPr>
              <w:t>1.属于国家秘密</w:t>
            </w:r>
          </w:p>
        </w:tc>
        <w:tc>
          <w:tcPr>
            <w:tcW w:w="715"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4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5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5"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652"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610"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4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ascii="仿宋_GB2312" w:hAnsi="黑体" w:eastAsia="仿宋_GB2312"/>
                <w:kern w:val="0"/>
                <w:szCs w:val="21"/>
              </w:rPr>
            </w:pPr>
            <w:r>
              <w:rPr>
                <w:rFonts w:hint="eastAsia" w:ascii="仿宋_GB2312" w:hAnsi="黑体" w:eastAsia="仿宋_GB2312"/>
                <w:kern w:val="0"/>
                <w:szCs w:val="21"/>
              </w:rPr>
              <w:t>2.</w:t>
            </w:r>
            <w:bookmarkStart w:id="3" w:name="_Hlk66974104"/>
            <w:r>
              <w:rPr>
                <w:rFonts w:hint="eastAsia" w:ascii="仿宋_GB2312" w:hAnsi="黑体" w:eastAsia="仿宋_GB2312"/>
                <w:kern w:val="0"/>
                <w:szCs w:val="21"/>
              </w:rPr>
              <w:t>其他法律行政法规禁止公开</w:t>
            </w:r>
            <w:bookmarkEnd w:id="3"/>
          </w:p>
        </w:tc>
        <w:tc>
          <w:tcPr>
            <w:tcW w:w="715"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4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5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5"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652"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610"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4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ascii="仿宋_GB2312" w:hAnsi="黑体" w:eastAsia="仿宋_GB2312"/>
                <w:kern w:val="0"/>
                <w:szCs w:val="21"/>
              </w:rPr>
            </w:pPr>
            <w:r>
              <w:rPr>
                <w:rFonts w:hint="eastAsia" w:ascii="仿宋_GB2312" w:hAnsi="黑体" w:eastAsia="仿宋_GB2312"/>
                <w:kern w:val="0"/>
                <w:szCs w:val="21"/>
              </w:rPr>
              <w:t>3.危及“三安全一稳定”</w:t>
            </w:r>
          </w:p>
        </w:tc>
        <w:tc>
          <w:tcPr>
            <w:tcW w:w="715"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4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5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5"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652"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610"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4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ascii="仿宋_GB2312" w:hAnsi="黑体" w:eastAsia="仿宋_GB2312"/>
                <w:kern w:val="0"/>
                <w:szCs w:val="21"/>
              </w:rPr>
            </w:pPr>
            <w:r>
              <w:rPr>
                <w:rFonts w:hint="eastAsia" w:ascii="仿宋_GB2312" w:hAnsi="黑体" w:eastAsia="仿宋_GB2312"/>
                <w:kern w:val="0"/>
                <w:szCs w:val="21"/>
              </w:rPr>
              <w:t>4.</w:t>
            </w:r>
            <w:bookmarkStart w:id="4" w:name="_Hlk66974290"/>
            <w:r>
              <w:rPr>
                <w:rFonts w:hint="eastAsia" w:ascii="仿宋_GB2312" w:hAnsi="黑体" w:eastAsia="仿宋_GB2312"/>
                <w:kern w:val="0"/>
                <w:szCs w:val="21"/>
              </w:rPr>
              <w:t>保护第三方合法权益</w:t>
            </w:r>
            <w:bookmarkEnd w:id="4"/>
          </w:p>
        </w:tc>
        <w:tc>
          <w:tcPr>
            <w:tcW w:w="715"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4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5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5"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652"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610"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4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715"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4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5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5"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652"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610"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4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ascii="仿宋_GB2312" w:hAnsi="黑体" w:eastAsia="仿宋_GB2312"/>
                <w:kern w:val="0"/>
                <w:szCs w:val="21"/>
              </w:rPr>
            </w:pPr>
            <w:r>
              <w:rPr>
                <w:rFonts w:hint="eastAsia" w:ascii="仿宋_GB2312" w:hAnsi="黑体" w:eastAsia="仿宋_GB2312"/>
                <w:kern w:val="0"/>
                <w:szCs w:val="21"/>
              </w:rPr>
              <w:t>6.</w:t>
            </w:r>
            <w:bookmarkStart w:id="5" w:name="_Hlk66974555"/>
            <w:r>
              <w:rPr>
                <w:rFonts w:hint="eastAsia" w:ascii="仿宋_GB2312" w:hAnsi="黑体" w:eastAsia="仿宋_GB2312"/>
                <w:kern w:val="0"/>
                <w:szCs w:val="21"/>
              </w:rPr>
              <w:t>属于四类过程性信息</w:t>
            </w:r>
            <w:bookmarkEnd w:id="5"/>
          </w:p>
        </w:tc>
        <w:tc>
          <w:tcPr>
            <w:tcW w:w="715"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4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5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5"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652"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610"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4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ascii="仿宋_GB2312" w:hAnsi="黑体" w:eastAsia="仿宋_GB2312"/>
                <w:kern w:val="0"/>
                <w:szCs w:val="21"/>
              </w:rPr>
            </w:pPr>
            <w:r>
              <w:rPr>
                <w:rFonts w:hint="eastAsia" w:ascii="仿宋_GB2312" w:hAnsi="黑体" w:eastAsia="仿宋_GB2312"/>
                <w:kern w:val="0"/>
                <w:szCs w:val="21"/>
              </w:rPr>
              <w:t>7.属于行政执法案卷</w:t>
            </w:r>
          </w:p>
        </w:tc>
        <w:tc>
          <w:tcPr>
            <w:tcW w:w="715"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4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5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5"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652"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610"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4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ascii="仿宋_GB2312" w:hAnsi="黑体" w:eastAsia="仿宋_GB2312"/>
                <w:kern w:val="0"/>
                <w:szCs w:val="21"/>
              </w:rPr>
            </w:pPr>
            <w:r>
              <w:rPr>
                <w:rFonts w:hint="eastAsia" w:ascii="仿宋_GB2312" w:hAnsi="黑体" w:eastAsia="仿宋_GB2312"/>
                <w:kern w:val="0"/>
                <w:szCs w:val="21"/>
              </w:rPr>
              <w:t>8.</w:t>
            </w:r>
            <w:bookmarkStart w:id="6" w:name="_Hlk66975211"/>
            <w:r>
              <w:rPr>
                <w:rFonts w:hint="eastAsia" w:ascii="仿宋_GB2312" w:hAnsi="黑体" w:eastAsia="仿宋_GB2312"/>
                <w:kern w:val="0"/>
                <w:szCs w:val="21"/>
              </w:rPr>
              <w:t>属于行政查询事项</w:t>
            </w:r>
            <w:bookmarkEnd w:id="6"/>
          </w:p>
        </w:tc>
        <w:tc>
          <w:tcPr>
            <w:tcW w:w="715"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4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5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5"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652"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610"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4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（四）无法提供</w:t>
            </w: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715"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4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5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5"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652"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610"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4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ind w:left="-107" w:leftChars="-51"/>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ascii="仿宋_GB2312" w:hAnsi="黑体" w:eastAsia="仿宋_GB2312"/>
                <w:kern w:val="0"/>
                <w:szCs w:val="21"/>
              </w:rPr>
            </w:pPr>
            <w:r>
              <w:rPr>
                <w:rFonts w:hint="eastAsia" w:ascii="仿宋_GB2312" w:hAnsi="黑体" w:eastAsia="仿宋_GB2312"/>
                <w:kern w:val="0"/>
                <w:szCs w:val="21"/>
              </w:rPr>
              <w:t>2.</w:t>
            </w:r>
            <w:bookmarkStart w:id="7" w:name="_Hlk66975392"/>
            <w:r>
              <w:rPr>
                <w:rFonts w:hint="eastAsia" w:ascii="仿宋_GB2312" w:hAnsi="黑体" w:eastAsia="仿宋_GB2312"/>
                <w:kern w:val="0"/>
                <w:szCs w:val="21"/>
              </w:rPr>
              <w:t>没有现成信息需要另行制作</w:t>
            </w:r>
            <w:bookmarkEnd w:id="7"/>
          </w:p>
        </w:tc>
        <w:tc>
          <w:tcPr>
            <w:tcW w:w="715"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4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5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5"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652"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610"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4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ind w:left="-107" w:leftChars="-51"/>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ascii="仿宋_GB2312" w:hAnsi="黑体" w:eastAsia="仿宋_GB2312"/>
                <w:kern w:val="0"/>
                <w:szCs w:val="21"/>
              </w:rPr>
            </w:pPr>
            <w:r>
              <w:rPr>
                <w:rFonts w:hint="eastAsia" w:ascii="仿宋_GB2312" w:hAnsi="黑体" w:eastAsia="仿宋_GB2312"/>
                <w:kern w:val="0"/>
                <w:szCs w:val="21"/>
              </w:rPr>
              <w:t>3.</w:t>
            </w:r>
            <w:bookmarkStart w:id="8" w:name="_Hlk66975466"/>
            <w:r>
              <w:rPr>
                <w:rFonts w:hint="eastAsia" w:ascii="仿宋_GB2312" w:hAnsi="黑体" w:eastAsia="仿宋_GB2312"/>
                <w:kern w:val="0"/>
                <w:szCs w:val="21"/>
              </w:rPr>
              <w:t>补正后申请内容仍不明确</w:t>
            </w:r>
            <w:bookmarkEnd w:id="8"/>
          </w:p>
        </w:tc>
        <w:tc>
          <w:tcPr>
            <w:tcW w:w="715"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4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5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5"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652"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610"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4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（五）不予处理</w:t>
            </w: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ascii="仿宋_GB2312" w:hAnsi="黑体" w:eastAsia="仿宋_GB2312"/>
                <w:kern w:val="0"/>
                <w:szCs w:val="21"/>
              </w:rPr>
            </w:pPr>
            <w:r>
              <w:rPr>
                <w:rFonts w:hint="eastAsia" w:ascii="仿宋_GB2312" w:hAnsi="黑体" w:eastAsia="仿宋_GB2312"/>
                <w:kern w:val="0"/>
                <w:szCs w:val="21"/>
              </w:rPr>
              <w:t>1.</w:t>
            </w:r>
            <w:bookmarkStart w:id="9" w:name="_Hlk66975537"/>
            <w:r>
              <w:rPr>
                <w:rFonts w:hint="eastAsia" w:ascii="仿宋_GB2312" w:hAnsi="黑体" w:eastAsia="仿宋_GB2312"/>
                <w:kern w:val="0"/>
                <w:szCs w:val="21"/>
              </w:rPr>
              <w:t>信访举报投诉类申请</w:t>
            </w:r>
            <w:bookmarkEnd w:id="9"/>
          </w:p>
        </w:tc>
        <w:tc>
          <w:tcPr>
            <w:tcW w:w="715"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4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5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5"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652"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610"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4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ascii="仿宋_GB2312" w:hAnsi="黑体" w:eastAsia="仿宋_GB2312"/>
                <w:kern w:val="0"/>
                <w:szCs w:val="21"/>
              </w:rPr>
            </w:pPr>
            <w:r>
              <w:rPr>
                <w:rFonts w:hint="eastAsia" w:ascii="仿宋_GB2312" w:hAnsi="黑体" w:eastAsia="仿宋_GB2312"/>
                <w:kern w:val="0"/>
                <w:szCs w:val="21"/>
              </w:rPr>
              <w:t>2.重复申请</w:t>
            </w:r>
          </w:p>
        </w:tc>
        <w:tc>
          <w:tcPr>
            <w:tcW w:w="715"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4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5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5"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652"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610"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4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ascii="仿宋_GB2312" w:hAnsi="黑体" w:eastAsia="仿宋_GB2312"/>
                <w:szCs w:val="21"/>
              </w:rPr>
            </w:pPr>
            <w:r>
              <w:rPr>
                <w:rFonts w:hint="eastAsia" w:ascii="仿宋_GB2312" w:hAnsi="黑体" w:eastAsia="仿宋_GB2312"/>
                <w:kern w:val="0"/>
                <w:szCs w:val="21"/>
              </w:rPr>
              <w:t>3.要求提供公开出版物</w:t>
            </w:r>
          </w:p>
        </w:tc>
        <w:tc>
          <w:tcPr>
            <w:tcW w:w="715"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4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5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5"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652"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610"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4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ascii="仿宋_GB2312" w:hAnsi="黑体" w:eastAsia="仿宋_GB2312"/>
                <w:szCs w:val="21"/>
              </w:rPr>
            </w:pPr>
            <w:r>
              <w:rPr>
                <w:rFonts w:hint="eastAsia" w:ascii="仿宋_GB2312" w:hAnsi="黑体" w:eastAsia="仿宋_GB2312"/>
                <w:kern w:val="0"/>
                <w:szCs w:val="21"/>
              </w:rPr>
              <w:t>4.无正当理由大量反复申请</w:t>
            </w:r>
          </w:p>
        </w:tc>
        <w:tc>
          <w:tcPr>
            <w:tcW w:w="715"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4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5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5"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652"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610"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4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ascii="仿宋_GB2312" w:hAnsi="黑体" w:eastAsia="仿宋_GB2312"/>
                <w:szCs w:val="21"/>
              </w:rPr>
            </w:pPr>
            <w:r>
              <w:rPr>
                <w:rFonts w:hint="eastAsia" w:ascii="仿宋_GB2312" w:hAnsi="黑体" w:eastAsia="仿宋_GB2312"/>
                <w:kern w:val="0"/>
                <w:szCs w:val="21"/>
              </w:rPr>
              <w:t>5.要求行政机关确认或重新出具已获取信息</w:t>
            </w:r>
          </w:p>
        </w:tc>
        <w:tc>
          <w:tcPr>
            <w:tcW w:w="715"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4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5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5"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652"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610"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4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6" w:type="dxa"/>
            <w:noWrap w:val="0"/>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715"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4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5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5"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652"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610"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4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widowControl/>
              <w:spacing w:line="300" w:lineRule="exact"/>
              <w:rPr>
                <w:rFonts w:ascii="黑体" w:hAnsi="黑体" w:eastAsia="黑体"/>
                <w:kern w:val="0"/>
                <w:szCs w:val="21"/>
              </w:rPr>
            </w:pPr>
          </w:p>
        </w:tc>
        <w:tc>
          <w:tcPr>
            <w:tcW w:w="2976" w:type="dxa"/>
            <w:noWrap w:val="0"/>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715"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4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5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5"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652"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610"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4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widowControl/>
              <w:spacing w:line="300" w:lineRule="exact"/>
              <w:rPr>
                <w:rFonts w:ascii="黑体" w:hAnsi="黑体" w:eastAsia="黑体"/>
                <w:kern w:val="0"/>
                <w:szCs w:val="21"/>
              </w:rPr>
            </w:pPr>
          </w:p>
        </w:tc>
        <w:tc>
          <w:tcPr>
            <w:tcW w:w="2976" w:type="dxa"/>
            <w:noWrap w:val="0"/>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ascii="仿宋_GB2312" w:hAnsi="黑体" w:eastAsia="仿宋_GB2312"/>
                <w:kern w:val="0"/>
                <w:szCs w:val="21"/>
              </w:rPr>
            </w:pPr>
            <w:r>
              <w:rPr>
                <w:rFonts w:hint="eastAsia" w:ascii="仿宋_GB2312" w:hAnsi="楷体" w:eastAsia="仿宋_GB2312"/>
              </w:rPr>
              <w:t>3.其他</w:t>
            </w:r>
          </w:p>
        </w:tc>
        <w:tc>
          <w:tcPr>
            <w:tcW w:w="715"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4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5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5"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652"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610"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4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4677" w:type="dxa"/>
            <w:gridSpan w:val="2"/>
            <w:noWrap w:val="0"/>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715"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4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5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5"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652"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610"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4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noWrap w:val="0"/>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715"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4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5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5"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652"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610"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48" w:type="dxa"/>
            <w:noWrap w:val="0"/>
            <w:tcMar>
              <w:left w:w="108" w:type="dxa"/>
              <w:right w:w="108" w:type="dxa"/>
            </w:tcMar>
            <w:vAlign w:val="bottom"/>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bl>
    <w:p>
      <w:pPr>
        <w:ind w:firstLine="640" w:firstLineChars="200"/>
        <w:jc w:val="left"/>
        <w:rPr>
          <w:rFonts w:hint="eastAsia" w:ascii="CESI黑体-GB2312" w:hAnsi="CESI黑体-GB2312" w:eastAsia="CESI黑体-GB2312" w:cs="CESI黑体-GB2312"/>
          <w:sz w:val="32"/>
          <w:szCs w:val="32"/>
        </w:rPr>
      </w:pPr>
      <w:r>
        <w:rPr>
          <w:rFonts w:hint="eastAsia" w:ascii="CESI黑体-GB2312" w:hAnsi="CESI黑体-GB2312" w:eastAsia="CESI黑体-GB2312" w:cs="CESI黑体-GB2312"/>
          <w:sz w:val="32"/>
          <w:szCs w:val="32"/>
          <w:lang w:eastAsia="zh-CN"/>
        </w:rPr>
        <w:t>四、</w:t>
      </w:r>
      <w:r>
        <w:rPr>
          <w:rFonts w:hint="eastAsia" w:ascii="CESI黑体-GB2312" w:hAnsi="CESI黑体-GB2312" w:eastAsia="CESI黑体-GB2312" w:cs="CESI黑体-GB2312"/>
          <w:sz w:val="32"/>
          <w:szCs w:val="32"/>
        </w:rPr>
        <w:t>政府信息公开行政复议、行政诉讼情况</w:t>
      </w:r>
    </w:p>
    <w:tbl>
      <w:tblPr>
        <w:tblStyle w:val="6"/>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bookmarkStart w:id="10" w:name="_Hlk67039688"/>
            <w:r>
              <w:rPr>
                <w:rFonts w:ascii="黑体" w:hAnsi="黑体" w:eastAsia="黑体"/>
                <w:kern w:val="0"/>
                <w:sz w:val="20"/>
                <w:szCs w:val="20"/>
              </w:rPr>
              <w:t>复议后起诉</w:t>
            </w:r>
            <w:bookmarkEnd w:id="10"/>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r>
    </w:tbl>
    <w:p>
      <w:pPr>
        <w:ind w:firstLine="640" w:firstLineChars="200"/>
        <w:jc w:val="left"/>
        <w:rPr>
          <w:rFonts w:hint="eastAsia" w:ascii="CESI黑体-GB2312" w:hAnsi="CESI黑体-GB2312" w:eastAsia="CESI黑体-GB2312" w:cs="CESI黑体-GB2312"/>
          <w:sz w:val="32"/>
          <w:szCs w:val="32"/>
          <w:lang w:val="en-US" w:eastAsia="zh-CN"/>
        </w:rPr>
      </w:pPr>
      <w:r>
        <w:rPr>
          <w:rFonts w:hint="eastAsia" w:ascii="CESI黑体-GB2312" w:hAnsi="CESI黑体-GB2312" w:eastAsia="CESI黑体-GB2312" w:cs="CESI黑体-GB2312"/>
          <w:sz w:val="32"/>
          <w:szCs w:val="32"/>
          <w:lang w:val="en-US" w:eastAsia="zh-CN"/>
        </w:rPr>
        <w:t>五、存在的主要问题及改进情况</w:t>
      </w:r>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（一）存在的主要问题</w:t>
      </w:r>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文星仿宋" w:eastAsia="仿宋_GB2312" w:cs="Times New Roman"/>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一是信息公开流程衔接效率有待提升。</w:t>
      </w:r>
      <w:r>
        <w:rPr>
          <w:rFonts w:hint="eastAsia" w:ascii="仿宋_GB2312" w:hAnsi="文星仿宋" w:eastAsia="仿宋_GB2312" w:cs="Times New Roman"/>
          <w:b w:val="0"/>
          <w:bCs w:val="0"/>
          <w:kern w:val="2"/>
          <w:sz w:val="32"/>
          <w:szCs w:val="32"/>
          <w:lang w:val="en-US" w:eastAsia="zh-CN" w:bidi="ar-SA"/>
        </w:rPr>
        <w:t>在公开信息的梳理、审核、发布全流程中，各环节衔接不够顺畅，存在公开信息发布时限略长的情况，影响信息公开的及时性。</w:t>
      </w:r>
      <w:r>
        <w:rPr>
          <w:rFonts w:hint="eastAsia" w:ascii="仿宋_GB2312" w:hAnsi="仿宋_GB2312" w:eastAsia="仿宋_GB2312" w:cs="仿宋_GB2312"/>
          <w:b w:val="0"/>
          <w:bCs w:val="0"/>
          <w:kern w:val="2"/>
          <w:sz w:val="32"/>
          <w:szCs w:val="32"/>
          <w:lang w:val="en-US" w:eastAsia="zh-CN" w:bidi="ar-SA"/>
        </w:rPr>
        <w:t>二是公开信息宣传引导力度不足。</w:t>
      </w:r>
      <w:r>
        <w:rPr>
          <w:rFonts w:hint="eastAsia" w:ascii="仿宋_GB2312" w:hAnsi="文星仿宋" w:eastAsia="仿宋_GB2312" w:cs="Times New Roman"/>
          <w:b w:val="0"/>
          <w:bCs w:val="0"/>
          <w:kern w:val="2"/>
          <w:sz w:val="32"/>
          <w:szCs w:val="32"/>
          <w:lang w:val="en-US" w:eastAsia="zh-CN" w:bidi="ar-SA"/>
        </w:rPr>
        <w:t>对公开的政策文件、办事指引等信息，缺乏有效的线下宣传力度，部分退役军人对线上公开渠道和公开内容知晓度不高，未能充分发挥已公开信息的服务效能。</w:t>
      </w:r>
      <w:r>
        <w:rPr>
          <w:rFonts w:hint="eastAsia" w:ascii="仿宋_GB2312" w:hAnsi="仿宋_GB2312" w:eastAsia="仿宋_GB2312" w:cs="仿宋_GB2312"/>
          <w:b w:val="0"/>
          <w:bCs w:val="0"/>
          <w:kern w:val="2"/>
          <w:sz w:val="32"/>
          <w:szCs w:val="32"/>
          <w:lang w:val="en-US" w:eastAsia="zh-CN" w:bidi="ar-SA"/>
        </w:rPr>
        <w:t>三是公开队伍专业能力有待提升。</w:t>
      </w:r>
      <w:r>
        <w:rPr>
          <w:rFonts w:hint="eastAsia" w:ascii="仿宋_GB2312" w:hAnsi="文星仿宋" w:eastAsia="仿宋_GB2312" w:cs="Times New Roman"/>
          <w:b w:val="0"/>
          <w:bCs w:val="0"/>
          <w:kern w:val="2"/>
          <w:sz w:val="32"/>
          <w:szCs w:val="32"/>
          <w:lang w:val="en-US" w:eastAsia="zh-CN" w:bidi="ar-SA"/>
        </w:rPr>
        <w:t>工作人员对政府信息公开相关法规政策的理解不够深入，在敏感信息精准甄别、公开文件规范梳理等方面的专业能</w:t>
      </w:r>
      <w:r>
        <w:rPr>
          <w:rFonts w:hint="eastAsia" w:ascii="仿宋_GB2312" w:hAnsi="文星仿宋" w:eastAsia="仿宋_GB2312" w:cs="Times New Roman"/>
          <w:b w:val="0"/>
          <w:bCs w:val="0"/>
          <w:kern w:val="2"/>
          <w:sz w:val="32"/>
          <w:szCs w:val="32"/>
          <w:lang w:val="en-US" w:eastAsia="zh-CN" w:bidi="ar-SA"/>
        </w:rPr>
        <w:t>力需进一步强化，以更好适应公开工作的规范化要求。</w:t>
      </w:r>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（二）改进情况</w:t>
      </w:r>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文星仿宋" w:eastAsia="仿宋_GB2312" w:cs="Times New Roman"/>
          <w:b w:val="0"/>
          <w:bCs w:val="0"/>
          <w:kern w:val="2"/>
          <w:sz w:val="32"/>
          <w:szCs w:val="32"/>
          <w:lang w:val="en-US" w:eastAsia="zh-CN" w:bidi="ar-SA"/>
        </w:rPr>
      </w:pPr>
      <w:r>
        <w:rPr>
          <w:rFonts w:hint="eastAsia" w:ascii="仿宋_GB2312" w:hAnsi="文星仿宋" w:eastAsia="仿宋_GB2312" w:cs="Times New Roman"/>
          <w:b w:val="0"/>
          <w:bCs w:val="0"/>
          <w:kern w:val="2"/>
          <w:sz w:val="32"/>
          <w:szCs w:val="32"/>
          <w:lang w:val="en-US" w:eastAsia="zh-CN" w:bidi="ar-SA"/>
        </w:rPr>
        <w:t>一是优化信息公开工作流程。进一步细化公开信息梳理、审核、发布各环节责任清单和时限要求，建立流程衔接台账，明确各环节对接标准，压缩信息发布周期，提升公开信息发布的及时性。二是强化公开信息宣传引导。依托乡镇（街道）退役军人服务站，常态化开展信息宣传活动，通过现场讲解、发放宣传手册等方式，提升公开信息的知晓率。三是加强队伍能力建设。定期组织开展政府信息公开政策法规培训，增强工作人员业务素养和实操能力，提升政府信息公</w:t>
      </w:r>
      <w:r>
        <w:rPr>
          <w:rFonts w:hint="eastAsia" w:ascii="仿宋_GB2312" w:hAnsi="文星仿宋" w:eastAsia="仿宋_GB2312" w:cs="Times New Roman"/>
          <w:b w:val="0"/>
          <w:bCs w:val="0"/>
          <w:kern w:val="2"/>
          <w:sz w:val="32"/>
          <w:szCs w:val="32"/>
          <w:lang w:val="en-US" w:eastAsia="zh-CN" w:bidi="ar-SA"/>
        </w:rPr>
        <w:t>开工作的规范化水平和服务实效。</w:t>
      </w:r>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六、其他需要报告的事项</w:t>
      </w:r>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（一）政府信息公开信息处理费收取情况</w:t>
      </w:r>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文星仿宋" w:eastAsia="仿宋_GB2312" w:cs="Times New Roman"/>
          <w:b w:val="0"/>
          <w:bCs w:val="0"/>
          <w:kern w:val="2"/>
          <w:sz w:val="32"/>
          <w:szCs w:val="32"/>
          <w:lang w:val="en-US" w:eastAsia="zh-CN" w:bidi="ar-SA"/>
        </w:rPr>
      </w:pPr>
      <w:r>
        <w:rPr>
          <w:rFonts w:hint="eastAsia" w:ascii="仿宋_GB2312" w:hAnsi="文星仿宋" w:eastAsia="仿宋_GB2312" w:cs="Times New Roman"/>
          <w:b w:val="0"/>
          <w:bCs w:val="0"/>
          <w:kern w:val="2"/>
          <w:sz w:val="32"/>
          <w:szCs w:val="32"/>
          <w:lang w:val="en-US" w:eastAsia="zh-CN" w:bidi="ar-SA"/>
        </w:rPr>
        <w:t>认真落实《国务院办公厅关于印发&lt;政府信息公开信息处理费管理办法&gt;的通知》（国办函〔2020〕109号）和《山东省人民政府办公厅关于做好政府信息公开信息处理费管理工作有关事项的通知》（鲁政办字〔2020〕179号）规定，本年度政府信息公开未收取信息处理费。</w:t>
      </w:r>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（二）落实年度政务公开工作要点情况</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文星仿宋" w:eastAsia="仿宋_GB2312" w:cs="Times New Roman"/>
          <w:b w:val="0"/>
          <w:bCs w:val="0"/>
          <w:kern w:val="2"/>
          <w:sz w:val="32"/>
          <w:szCs w:val="32"/>
          <w:lang w:val="en-US" w:eastAsia="zh-CN" w:bidi="ar-SA"/>
        </w:rPr>
      </w:pPr>
      <w:r>
        <w:rPr>
          <w:rFonts w:hint="eastAsia" w:ascii="仿宋_GB2312" w:hAnsi="文星仿宋" w:eastAsia="仿宋_GB2312" w:cs="Times New Roman"/>
          <w:b w:val="0"/>
          <w:bCs w:val="0"/>
          <w:kern w:val="2"/>
          <w:sz w:val="32"/>
          <w:szCs w:val="32"/>
          <w:lang w:val="en-US" w:eastAsia="zh-CN" w:bidi="ar-SA"/>
        </w:rPr>
        <w:t>严格落实《冠县人民政府办公室关于2025年政务公开重点工作任务分工的通知》要求，</w:t>
      </w:r>
      <w:r>
        <w:rPr>
          <w:rFonts w:hint="default" w:ascii="仿宋_GB2312" w:hAnsi="仿宋_GB2312" w:eastAsia="仿宋_GB2312" w:cs="仿宋_GB2312"/>
          <w:sz w:val="32"/>
          <w:szCs w:val="32"/>
          <w:lang w:val="en-US" w:eastAsia="zh-CN"/>
        </w:rPr>
        <w:t>围绕退役军人优抚安置、就业创业、权益维护等核心职能，统筹推进</w:t>
      </w:r>
      <w:r>
        <w:rPr>
          <w:rFonts w:hint="eastAsia" w:ascii="仿宋_GB2312" w:hAnsi="仿宋_GB2312" w:eastAsia="仿宋_GB2312" w:cs="仿宋_GB2312"/>
          <w:sz w:val="32"/>
          <w:szCs w:val="32"/>
          <w:lang w:val="en-US" w:eastAsia="zh-CN"/>
        </w:rPr>
        <w:t>政府</w:t>
      </w:r>
      <w:r>
        <w:rPr>
          <w:rFonts w:hint="default" w:ascii="仿宋_GB2312" w:hAnsi="仿宋_GB2312" w:eastAsia="仿宋_GB2312" w:cs="仿宋_GB2312"/>
          <w:sz w:val="32"/>
          <w:szCs w:val="32"/>
          <w:lang w:val="en-US" w:eastAsia="zh-CN"/>
        </w:rPr>
        <w:t>信息公开与业务工作深度融合，不断提升公开质量和实效，切实保障</w:t>
      </w:r>
      <w:r>
        <w:rPr>
          <w:rFonts w:hint="eastAsia" w:ascii="仿宋_GB2312" w:hAnsi="仿宋_GB2312" w:eastAsia="仿宋_GB2312" w:cs="仿宋_GB2312"/>
          <w:sz w:val="32"/>
          <w:szCs w:val="32"/>
          <w:lang w:val="en-US" w:eastAsia="zh-CN"/>
        </w:rPr>
        <w:t>退役军人</w:t>
      </w:r>
      <w:r>
        <w:rPr>
          <w:rFonts w:hint="default" w:ascii="仿宋_GB2312" w:hAnsi="仿宋_GB2312" w:eastAsia="仿宋_GB2312" w:cs="仿宋_GB2312"/>
          <w:sz w:val="32"/>
          <w:szCs w:val="32"/>
          <w:lang w:val="en-US" w:eastAsia="zh-CN"/>
        </w:rPr>
        <w:t>的知情权、参与权和监督权。全年政府信息公开工作组织有序、落实有力，有效服务了全县退役军人工作高质量发展。</w:t>
      </w:r>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（三）人大代表建议和政协提案办理结果公开情况</w:t>
      </w:r>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b w:val="0"/>
          <w:bCs w:val="0"/>
          <w:kern w:val="2"/>
          <w:sz w:val="32"/>
          <w:szCs w:val="32"/>
          <w:lang w:val="en-US" w:eastAsia="zh-CN" w:bidi="ar-SA"/>
        </w:rPr>
      </w:pPr>
      <w:r>
        <w:rPr>
          <w:rFonts w:hint="eastAsia" w:ascii="仿宋_GB2312" w:hAnsi="文星仿宋" w:eastAsia="仿宋_GB2312" w:cs="Times New Roman"/>
          <w:b w:val="0"/>
          <w:bCs w:val="0"/>
          <w:kern w:val="2"/>
          <w:sz w:val="32"/>
          <w:szCs w:val="32"/>
          <w:lang w:val="en-US" w:eastAsia="zh-CN" w:bidi="ar-SA"/>
        </w:rPr>
        <w:t>2025年未收到人大代表建议和政协提案。</w:t>
      </w:r>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（四）政府信息公开年度报告数据统计需要说明的事项</w:t>
      </w:r>
    </w:p>
    <w:p>
      <w:pPr>
        <w:shd w:val="clea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w:t>
      </w:r>
      <w:r>
        <w:rPr>
          <w:rFonts w:hint="eastAsia" w:ascii="仿宋_GB2312" w:eastAsia="仿宋_GB2312"/>
          <w:sz w:val="32"/>
          <w:szCs w:val="32"/>
          <w:lang w:eastAsia="zh-CN"/>
        </w:rPr>
        <w:t>本年度报告中所列数据统计期限从</w:t>
      </w:r>
      <w:r>
        <w:rPr>
          <w:rFonts w:hint="eastAsia" w:ascii="仿宋_GB2312" w:eastAsia="仿宋_GB2312"/>
          <w:sz w:val="32"/>
          <w:szCs w:val="32"/>
          <w:lang w:val="en-US" w:eastAsia="zh-CN"/>
        </w:rPr>
        <w:t>2025年1月1日到12月31日止。</w:t>
      </w:r>
    </w:p>
    <w:p>
      <w:pPr>
        <w:pStyle w:val="5"/>
        <w:shd w:val="clear" w:color="auto"/>
        <w:spacing w:beforeAutospacing="0" w:afterAutospacing="0" w:line="600" w:lineRule="exact"/>
        <w:ind w:firstLine="640" w:firstLineChars="200"/>
        <w:jc w:val="both"/>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2.行政许可数量、行政处罚和行政强制数量，包括已公开和依法未公开的全部处理决定。</w:t>
      </w:r>
    </w:p>
    <w:p>
      <w:pPr>
        <w:pStyle w:val="5"/>
        <w:shd w:val="clear" w:color="auto"/>
        <w:spacing w:beforeAutospacing="0" w:afterAutospacing="0" w:line="600" w:lineRule="exact"/>
        <w:ind w:firstLine="640" w:firstLineChars="200"/>
        <w:jc w:val="both"/>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3.行政复议机关作为共同被告的行政诉讼案件，只计算原行为主体的案件数量，不计算行政复议机关的案件数量。</w:t>
      </w:r>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文星仿宋" w:eastAsia="仿宋_GB2312" w:cs="Times New Roman"/>
          <w:b w:val="0"/>
          <w:bCs w:val="0"/>
          <w:kern w:val="2"/>
          <w:sz w:val="32"/>
          <w:szCs w:val="32"/>
          <w:lang w:val="en-US" w:eastAsia="zh-CN" w:bidi="ar-SA"/>
        </w:rPr>
      </w:pPr>
      <w:bookmarkStart w:id="11" w:name="_GoBack"/>
      <w:bookmarkEnd w:id="11"/>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文星仿宋" w:eastAsia="仿宋_GB2312" w:cs="Times New Roman"/>
          <w:b w:val="0"/>
          <w:bCs w:val="0"/>
          <w:kern w:val="2"/>
          <w:sz w:val="32"/>
          <w:szCs w:val="32"/>
          <w:lang w:val="en-US" w:eastAsia="zh-CN" w:bidi="ar-SA"/>
        </w:rPr>
      </w:pPr>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文星仿宋" w:eastAsia="仿宋_GB2312" w:cs="Times New Roman"/>
          <w:b w:val="0"/>
          <w:bCs w:val="0"/>
          <w:kern w:val="2"/>
          <w:sz w:val="32"/>
          <w:szCs w:val="32"/>
          <w:lang w:val="en-US" w:eastAsia="zh-CN" w:bidi="ar-SA"/>
        </w:rPr>
      </w:pPr>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文星仿宋" w:eastAsia="仿宋_GB2312" w:cs="Times New Roman"/>
          <w:b w:val="0"/>
          <w:bCs w:val="0"/>
          <w:kern w:val="2"/>
          <w:sz w:val="32"/>
          <w:szCs w:val="32"/>
          <w:lang w:val="en-US" w:eastAsia="zh-CN" w:bidi="ar-SA"/>
        </w:rPr>
      </w:pPr>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文星仿宋" w:eastAsia="仿宋_GB2312" w:cs="Times New Roman"/>
          <w:b w:val="0"/>
          <w:bCs w:val="0"/>
          <w:kern w:val="2"/>
          <w:sz w:val="32"/>
          <w:szCs w:val="32"/>
          <w:lang w:val="en-US" w:eastAsia="zh-CN" w:bidi="ar-SA"/>
        </w:rPr>
      </w:pPr>
    </w:p>
    <w:sectPr>
      <w:pgSz w:w="11906" w:h="16838"/>
      <w:pgMar w:top="1701" w:right="1587" w:bottom="1587"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 w:name="CESI黑体-GB2312">
    <w:panose1 w:val="02000500000000000000"/>
    <w:charset w:val="86"/>
    <w:family w:val="auto"/>
    <w:pitch w:val="default"/>
    <w:sig w:usb0="800002BF" w:usb1="184F6CF8" w:usb2="00000012" w:usb3="00000000" w:csb0="0004000F" w:csb1="00000000"/>
  </w:font>
  <w:font w:name="楷体">
    <w:altName w:val="方正楷体_GBK"/>
    <w:panose1 w:val="02010609060101010101"/>
    <w:charset w:val="86"/>
    <w:family w:val="decorative"/>
    <w:pitch w:val="default"/>
    <w:sig w:usb0="00000000" w:usb1="00000000" w:usb2="00000016" w:usb3="00000000" w:csb0="00040001" w:csb1="00000000"/>
  </w:font>
  <w:font w:name="文星仿宋">
    <w:altName w:val="方正仿宋_GBK"/>
    <w:panose1 w:val="00000000000000000000"/>
    <w:charset w:val="00"/>
    <w:family w:val="auto"/>
    <w:pitch w:val="default"/>
    <w:sig w:usb0="00000000" w:usb1="00000000" w:usb2="00000000" w:usb3="00000000" w:csb0="00040001" w:csb1="00000000"/>
  </w:font>
  <w:font w:name="方正书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Standard Symbols PS">
    <w:panose1 w:val="05050102010706020507"/>
    <w:charset w:val="00"/>
    <w:family w:val="auto"/>
    <w:pitch w:val="default"/>
    <w:sig w:usb0="00000003" w:usb1="00000000" w:usb2="00000000" w:usb3="00000000" w:csb0="00000001" w:csb1="00000000"/>
  </w:font>
  <w:font w:name="方正楷体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7540D7"/>
    <w:rsid w:val="15076210"/>
    <w:rsid w:val="447540D7"/>
    <w:rsid w:val="4FB570E3"/>
    <w:rsid w:val="5FFAD926"/>
    <w:rsid w:val="6BFDA9BE"/>
    <w:rsid w:val="95F77263"/>
    <w:rsid w:val="DB6FB94C"/>
    <w:rsid w:val="F3BD511F"/>
    <w:rsid w:val="FD5B1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99"/>
    <w:pPr>
      <w:widowControl w:val="0"/>
      <w:spacing w:beforeAutospacing="1" w:afterAutospacing="1"/>
      <w:jc w:val="left"/>
    </w:pPr>
    <w:rPr>
      <w:rFonts w:ascii="Calibri" w:hAnsi="Calibri" w:eastAsia="宋体" w:cs="Times New Roman"/>
      <w:kern w:val="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2026-01-14T09:58:00Z</dcterms:created>
  <dc:creator>奋斗</dc:creator>
  <cp:lastModifiedBy>user</cp:lastModifiedBy>
  <cp:lastPrinted>2026-01-14T10:08:00Z</cp:lastPrinted>
  <dcterms:modified xsi:type="dcterms:W3CDTF">2026-01-28T11:54:09Z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C9B0472EA21A4E0F874B9B2541855E14_11</vt:lpwstr>
  </property>
  <property fmtid="{D5CDD505-2E9C-101B-9397-08002B2CF9AE}" pid="4" name="KSOTemplateDocerSaveRecord">
    <vt:lpwstr>eyJoZGlkIjoiOTc2NDA5ZDYyMjkxODkwOGNhN2YwZjk2ZGU5NTA3NTgiLCJ1c2VySWQiOiIzNjc2NDY1ODgifQ==</vt:lpwstr>
  </property>
</Properties>
</file>