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冠县司法局</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2025年</w:t>
      </w:r>
      <w:r>
        <w:rPr>
          <w:rFonts w:hint="eastAsia" w:ascii="方正小标宋简体" w:hAnsi="方正小标宋简体" w:eastAsia="方正小标宋简体" w:cs="方正小标宋简体"/>
          <w:sz w:val="44"/>
          <w:szCs w:val="44"/>
        </w:rPr>
        <w:t>政府信息公开工作年度报告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bookmarkStart w:id="0" w:name="OLE_LINK2"/>
      <w:r>
        <w:rPr>
          <w:rFonts w:hint="eastAsia" w:ascii="仿宋_GB2312" w:hAnsi="仿宋_GB2312" w:eastAsia="仿宋_GB2312" w:cs="仿宋_GB2312"/>
          <w:color w:val="auto"/>
          <w:sz w:val="32"/>
          <w:szCs w:val="32"/>
        </w:rPr>
        <w:t>本</w:t>
      </w:r>
      <w:r>
        <w:rPr>
          <w:rFonts w:hint="eastAsia" w:ascii="仿宋_GB2312" w:hAnsi="仿宋_GB2312" w:eastAsia="仿宋_GB2312" w:cs="仿宋_GB2312"/>
          <w:color w:val="auto"/>
          <w:sz w:val="32"/>
          <w:szCs w:val="32"/>
          <w:lang w:eastAsia="zh-CN"/>
        </w:rPr>
        <w:t>年度</w:t>
      </w:r>
      <w:r>
        <w:rPr>
          <w:rFonts w:hint="eastAsia" w:ascii="仿宋_GB2312" w:hAnsi="仿宋_GB2312" w:eastAsia="仿宋_GB2312" w:cs="仿宋_GB2312"/>
          <w:color w:val="auto"/>
          <w:sz w:val="32"/>
          <w:szCs w:val="32"/>
        </w:rPr>
        <w:t>报告根据《中华人民共和国政府信息公开条例》（以下简称《条例》）</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sz w:val="32"/>
          <w:szCs w:val="32"/>
        </w:rPr>
        <w:t>《国务院办公厅政府信息与政务公开办公室关于印发&lt;中华人民共和国政府信息公开工作年度报告格式&gt;的通知》（国办公开办函〔2021〕30号）相关</w:t>
      </w:r>
      <w:r>
        <w:rPr>
          <w:rFonts w:hint="eastAsia" w:ascii="仿宋_GB2312" w:hAnsi="仿宋_GB2312" w:eastAsia="仿宋_GB2312" w:cs="仿宋_GB2312"/>
          <w:color w:val="auto"/>
          <w:sz w:val="32"/>
          <w:szCs w:val="32"/>
        </w:rPr>
        <w:t>要求编制</w:t>
      </w:r>
      <w:r>
        <w:rPr>
          <w:rFonts w:hint="eastAsia" w:ascii="仿宋_GB2312" w:hAnsi="仿宋_GB2312" w:eastAsia="仿宋_GB2312" w:cs="仿宋_GB2312"/>
          <w:color w:val="auto"/>
          <w:sz w:val="32"/>
          <w:szCs w:val="32"/>
          <w:lang w:eastAsia="zh-CN"/>
        </w:rPr>
        <w:t>，全文</w:t>
      </w:r>
      <w:r>
        <w:rPr>
          <w:rFonts w:hint="eastAsia" w:ascii="仿宋_GB2312" w:hAnsi="仿宋_GB2312" w:eastAsia="仿宋_GB2312" w:cs="仿宋_GB2312"/>
          <w:color w:val="auto"/>
          <w:sz w:val="32"/>
          <w:szCs w:val="32"/>
        </w:rPr>
        <w:t>包括总体情况、主动公开政府信息情况、收到和处理政府信息公开申请情况、</w:t>
      </w:r>
      <w:r>
        <w:rPr>
          <w:rFonts w:hint="eastAsia" w:ascii="仿宋_GB2312" w:hAnsi="仿宋_GB2312" w:eastAsia="仿宋_GB2312" w:cs="仿宋_GB2312"/>
          <w:i w:val="0"/>
          <w:caps w:val="0"/>
          <w:color w:val="auto"/>
          <w:spacing w:val="0"/>
          <w:kern w:val="0"/>
          <w:sz w:val="32"/>
          <w:szCs w:val="32"/>
          <w:lang w:val="en-US" w:eastAsia="zh-CN" w:bidi="ar"/>
        </w:rPr>
        <w:t>因政府信息公开工作被申请行政复议和提起行政诉讼情况、政府信息公开工作</w:t>
      </w:r>
      <w:r>
        <w:rPr>
          <w:rFonts w:hint="eastAsia" w:ascii="仿宋_GB2312" w:hAnsi="仿宋_GB2312" w:eastAsia="仿宋_GB2312" w:cs="仿宋_GB2312"/>
          <w:color w:val="auto"/>
          <w:sz w:val="32"/>
          <w:szCs w:val="32"/>
        </w:rPr>
        <w:t>存在的主要问题及改进情况、其他需要报告的事项</w:t>
      </w:r>
      <w:r>
        <w:rPr>
          <w:rFonts w:hint="eastAsia" w:ascii="仿宋_GB2312" w:hAnsi="仿宋_GB2312" w:eastAsia="仿宋_GB2312" w:cs="仿宋_GB2312"/>
          <w:color w:val="auto"/>
          <w:sz w:val="32"/>
          <w:szCs w:val="32"/>
          <w:lang w:eastAsia="zh-CN"/>
        </w:rPr>
        <w:t>等六个部分</w:t>
      </w:r>
      <w:r>
        <w:rPr>
          <w:rFonts w:hint="eastAsia" w:ascii="仿宋_GB2312" w:hAnsi="仿宋_GB2312" w:eastAsia="仿宋_GB2312" w:cs="仿宋_GB2312"/>
          <w:color w:val="auto"/>
          <w:sz w:val="32"/>
          <w:szCs w:val="32"/>
        </w:rPr>
        <w:t>。</w:t>
      </w:r>
      <w:bookmarkStart w:id="1" w:name="_Hlk67405801"/>
      <w:r>
        <w:rPr>
          <w:rFonts w:hint="eastAsia" w:ascii="仿宋_GB2312" w:hAnsi="仿宋_GB2312" w:eastAsia="仿宋_GB2312" w:cs="仿宋_GB2312"/>
          <w:sz w:val="32"/>
          <w:szCs w:val="32"/>
        </w:rPr>
        <w:t>本年度报告中所列数据统计期限从202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年1月1日</w:t>
      </w:r>
      <w:r>
        <w:rPr>
          <w:rFonts w:hint="eastAsia" w:ascii="仿宋_GB2312" w:hAnsi="仿宋_GB2312" w:eastAsia="仿宋_GB2312" w:cs="仿宋_GB2312"/>
          <w:sz w:val="32"/>
          <w:szCs w:val="32"/>
          <w:lang w:eastAsia="zh-CN"/>
        </w:rPr>
        <w:t>至</w:t>
      </w:r>
      <w:r>
        <w:rPr>
          <w:rFonts w:hint="eastAsia" w:ascii="仿宋_GB2312" w:hAnsi="仿宋_GB2312" w:eastAsia="仿宋_GB2312" w:cs="仿宋_GB2312"/>
          <w:sz w:val="32"/>
          <w:szCs w:val="32"/>
        </w:rPr>
        <w:t>12月31日</w:t>
      </w:r>
      <w:bookmarkEnd w:id="1"/>
      <w:r>
        <w:rPr>
          <w:rFonts w:hint="eastAsia" w:ascii="仿宋_GB2312" w:hAnsi="仿宋_GB2312" w:eastAsia="仿宋_GB2312" w:cs="仿宋_GB2312"/>
          <w:sz w:val="32"/>
          <w:szCs w:val="32"/>
        </w:rPr>
        <w:t>。本年度报告电子版可从</w:t>
      </w:r>
      <w:r>
        <w:rPr>
          <w:rFonts w:hint="eastAsia" w:ascii="仿宋_GB2312" w:hAnsi="仿宋_GB2312" w:eastAsia="仿宋_GB2312" w:cs="仿宋_GB2312"/>
          <w:sz w:val="32"/>
          <w:szCs w:val="32"/>
          <w:lang w:eastAsia="zh-CN"/>
        </w:rPr>
        <w:t>冠县人民政府网站</w:t>
      </w:r>
      <w:r>
        <w:rPr>
          <w:rFonts w:hint="eastAsia" w:ascii="仿宋_GB2312" w:hAnsi="仿宋_GB2312" w:eastAsia="仿宋_GB2312" w:cs="仿宋_GB2312"/>
          <w:sz w:val="32"/>
          <w:szCs w:val="32"/>
        </w:rPr>
        <w:t>（http://www.guanxian.gov.cn/）下载。</w:t>
      </w:r>
      <w:r>
        <w:rPr>
          <w:rFonts w:hint="eastAsia" w:ascii="仿宋_GB2312" w:hAnsi="仿宋_GB2312" w:eastAsia="仿宋_GB2312" w:cs="仿宋_GB2312"/>
          <w:sz w:val="32"/>
          <w:szCs w:val="32"/>
          <w:lang w:eastAsia="zh-CN"/>
        </w:rPr>
        <w:t>公众</w:t>
      </w:r>
      <w:r>
        <w:rPr>
          <w:rFonts w:hint="eastAsia" w:ascii="仿宋_GB2312" w:hAnsi="仿宋_GB2312" w:eastAsia="仿宋_GB2312" w:cs="仿宋_GB2312"/>
          <w:sz w:val="32"/>
          <w:szCs w:val="32"/>
        </w:rPr>
        <w:t>如</w:t>
      </w:r>
      <w:r>
        <w:rPr>
          <w:rFonts w:hint="eastAsia" w:ascii="仿宋_GB2312" w:hAnsi="仿宋_GB2312" w:eastAsia="仿宋_GB2312" w:cs="仿宋_GB2312"/>
          <w:sz w:val="32"/>
          <w:szCs w:val="32"/>
          <w:lang w:eastAsia="zh-CN"/>
        </w:rPr>
        <w:t>需进一步咨询了解相关信息</w:t>
      </w:r>
      <w:r>
        <w:rPr>
          <w:rFonts w:hint="eastAsia" w:ascii="仿宋_GB2312" w:hAnsi="仿宋_GB2312" w:eastAsia="仿宋_GB2312" w:cs="仿宋_GB2312"/>
          <w:sz w:val="32"/>
          <w:szCs w:val="32"/>
        </w:rPr>
        <w:t>，请与冠县</w:t>
      </w:r>
      <w:r>
        <w:rPr>
          <w:rFonts w:hint="eastAsia" w:ascii="仿宋_GB2312" w:hAnsi="仿宋_GB2312" w:eastAsia="仿宋_GB2312" w:cs="仿宋_GB2312"/>
          <w:sz w:val="32"/>
          <w:szCs w:val="32"/>
          <w:lang w:eastAsia="zh-CN"/>
        </w:rPr>
        <w:t>司法局</w:t>
      </w:r>
      <w:r>
        <w:rPr>
          <w:rFonts w:hint="eastAsia" w:ascii="仿宋_GB2312" w:hAnsi="仿宋_GB2312" w:eastAsia="仿宋_GB2312" w:cs="仿宋_GB2312"/>
          <w:sz w:val="32"/>
          <w:szCs w:val="32"/>
        </w:rPr>
        <w:t>联系（</w:t>
      </w:r>
      <w:r>
        <w:rPr>
          <w:rFonts w:hint="eastAsia" w:ascii="仿宋_GB2312" w:hAnsi="仿宋_GB2312" w:eastAsia="仿宋_GB2312" w:cs="仿宋_GB2312"/>
          <w:sz w:val="32"/>
          <w:szCs w:val="32"/>
          <w:lang w:eastAsia="zh-CN"/>
        </w:rPr>
        <w:t>地址：</w:t>
      </w:r>
      <w:r>
        <w:rPr>
          <w:rFonts w:hint="eastAsia" w:ascii="仿宋_GB2312" w:hAnsi="仿宋_GB2312" w:eastAsia="仿宋_GB2312" w:cs="仿宋_GB2312"/>
          <w:sz w:val="32"/>
          <w:szCs w:val="32"/>
        </w:rPr>
        <w:t>山东省聊城市冠县建设路861号世纪大厦</w:t>
      </w:r>
      <w:r>
        <w:rPr>
          <w:rFonts w:hint="eastAsia" w:ascii="仿宋_GB2312" w:hAnsi="仿宋_GB2312" w:eastAsia="仿宋_GB2312" w:cs="仿宋_GB2312"/>
          <w:sz w:val="32"/>
          <w:szCs w:val="32"/>
          <w:lang w:val="en-US" w:eastAsia="zh-CN"/>
        </w:rPr>
        <w:t>；邮编：252500；</w:t>
      </w:r>
      <w:r>
        <w:rPr>
          <w:rFonts w:hint="eastAsia" w:ascii="仿宋_GB2312" w:hAnsi="仿宋_GB2312" w:eastAsia="仿宋_GB2312" w:cs="仿宋_GB2312"/>
          <w:sz w:val="32"/>
          <w:szCs w:val="32"/>
        </w:rPr>
        <w:t>电话:0635-5281129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邮箱:</w:t>
      </w:r>
      <w:r>
        <w:rPr>
          <w:rFonts w:hint="eastAsia" w:ascii="仿宋_GB2312" w:hAnsi="仿宋_GB2312" w:eastAsia="仿宋_GB2312" w:cs="仿宋_GB2312"/>
          <w:sz w:val="32"/>
          <w:szCs w:val="32"/>
          <w:lang w:val="en-US" w:eastAsia="zh-CN"/>
        </w:rPr>
        <w:t>gxsfj</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lc.</w:t>
      </w:r>
      <w:r>
        <w:rPr>
          <w:rFonts w:hint="eastAsia" w:ascii="仿宋_GB2312" w:hAnsi="仿宋_GB2312" w:eastAsia="仿宋_GB2312" w:cs="仿宋_GB2312"/>
          <w:sz w:val="32"/>
          <w:szCs w:val="32"/>
        </w:rPr>
        <w:t>shandong.cn）。</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lang w:val="en-US" w:eastAsia="zh-CN"/>
        </w:rPr>
      </w:pPr>
      <w:r>
        <w:rPr>
          <w:rFonts w:hint="eastAsia" w:ascii="CESI黑体-GB2312" w:hAnsi="CESI黑体-GB2312" w:eastAsia="CESI黑体-GB2312" w:cs="CESI黑体-GB2312"/>
          <w:b w:val="0"/>
          <w:bCs w:val="0"/>
          <w:sz w:val="32"/>
          <w:szCs w:val="32"/>
          <w:lang w:eastAsia="zh-CN"/>
        </w:rPr>
        <w:t>一、</w:t>
      </w:r>
      <w:r>
        <w:rPr>
          <w:rFonts w:hint="eastAsia" w:ascii="CESI黑体-GB2312" w:hAnsi="CESI黑体-GB2312" w:eastAsia="CESI黑体-GB2312" w:cs="CESI黑体-GB2312"/>
          <w:b w:val="0"/>
          <w:bCs w:val="0"/>
          <w:sz w:val="32"/>
          <w:szCs w:val="32"/>
        </w:rPr>
        <w:t>总体情况</w:t>
      </w:r>
    </w:p>
    <w:p>
      <w:pPr>
        <w:keepNext w:val="0"/>
        <w:keepLines w:val="0"/>
        <w:pageBreakBefore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rPr>
        <w:t>主动公开</w:t>
      </w:r>
    </w:p>
    <w:p>
      <w:pPr>
        <w:pStyle w:val="5"/>
        <w:keepNext w:val="0"/>
        <w:keepLines w:val="0"/>
        <w:widowControl/>
        <w:suppressLineNumbers w:val="0"/>
        <w:spacing w:before="75" w:beforeAutospacing="0" w:after="75" w:afterAutospacing="0"/>
        <w:ind w:right="0" w:firstLine="640" w:firstLineChars="200"/>
        <w:jc w:val="both"/>
        <w:rPr>
          <w:rFonts w:hint="eastAsia" w:ascii="仿宋_GB2312" w:hAnsi="仿宋_GB2312" w:eastAsia="仿宋_GB2312" w:cs="仿宋_GB2312"/>
          <w:b w:val="0"/>
          <w:bCs w:val="0"/>
          <w:i w:val="0"/>
          <w:iCs w:val="0"/>
          <w:caps w:val="0"/>
          <w:color w:val="000000"/>
          <w:spacing w:val="0"/>
          <w:sz w:val="32"/>
          <w:szCs w:val="32"/>
          <w:highlight w:val="none"/>
          <w:lang w:val="en-US" w:eastAsia="zh-CN"/>
        </w:rPr>
      </w:pPr>
      <w:r>
        <w:rPr>
          <w:rFonts w:hint="eastAsia" w:ascii="仿宋_GB2312" w:hAnsi="仿宋_GB2312" w:eastAsia="仿宋_GB2312" w:cs="仿宋_GB2312"/>
          <w:b w:val="0"/>
          <w:bCs w:val="0"/>
          <w:i w:val="0"/>
          <w:iCs w:val="0"/>
          <w:caps w:val="0"/>
          <w:color w:val="000000"/>
          <w:spacing w:val="0"/>
          <w:sz w:val="32"/>
          <w:szCs w:val="32"/>
          <w:lang w:val="en-US" w:eastAsia="zh-CN"/>
        </w:rPr>
        <w:t>2025年，</w:t>
      </w:r>
      <w:r>
        <w:rPr>
          <w:rFonts w:hint="eastAsia" w:ascii="仿宋_GB2312" w:hAnsi="仿宋_GB2312" w:eastAsia="仿宋_GB2312" w:cs="仿宋_GB2312"/>
          <w:b w:val="0"/>
          <w:bCs w:val="0"/>
          <w:i w:val="0"/>
          <w:iCs w:val="0"/>
          <w:caps w:val="0"/>
          <w:color w:val="000000"/>
          <w:spacing w:val="0"/>
          <w:sz w:val="32"/>
          <w:szCs w:val="32"/>
          <w:lang w:eastAsia="zh-CN"/>
        </w:rPr>
        <w:t>通过冠县人民政府网站主动公开发布政府信息</w:t>
      </w:r>
      <w:r>
        <w:rPr>
          <w:rFonts w:hint="eastAsia" w:ascii="仿宋_GB2312" w:hAnsi="仿宋_GB2312" w:eastAsia="仿宋_GB2312" w:cs="仿宋_GB2312"/>
          <w:b w:val="0"/>
          <w:bCs w:val="0"/>
          <w:i w:val="0"/>
          <w:iCs w:val="0"/>
          <w:caps w:val="0"/>
          <w:color w:val="000000"/>
          <w:spacing w:val="0"/>
          <w:sz w:val="32"/>
          <w:szCs w:val="32"/>
          <w:lang w:val="en-US" w:eastAsia="zh-CN"/>
        </w:rPr>
        <w:t>81条，主要包括</w:t>
      </w:r>
      <w:r>
        <w:rPr>
          <w:rFonts w:hint="eastAsia" w:ascii="仿宋_GB2312" w:hAnsi="仿宋_GB2312" w:eastAsia="仿宋_GB2312" w:cs="仿宋_GB2312"/>
          <w:sz w:val="32"/>
          <w:szCs w:val="32"/>
          <w:highlight w:val="none"/>
        </w:rPr>
        <w:t>机构职能相关信息</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条，行政执法公示信息1</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条，公共法律服务领域信息</w:t>
      </w:r>
      <w:r>
        <w:rPr>
          <w:rFonts w:hint="eastAsia" w:ascii="仿宋_GB2312" w:hAnsi="仿宋_GB2312" w:eastAsia="仿宋_GB2312" w:cs="仿宋_GB2312"/>
          <w:sz w:val="32"/>
          <w:szCs w:val="32"/>
          <w:highlight w:val="none"/>
          <w:lang w:val="en-US" w:eastAsia="zh-CN"/>
        </w:rPr>
        <w:t>14</w:t>
      </w:r>
      <w:r>
        <w:rPr>
          <w:rFonts w:hint="eastAsia" w:ascii="仿宋_GB2312" w:hAnsi="仿宋_GB2312" w:eastAsia="仿宋_GB2312" w:cs="仿宋_GB2312"/>
          <w:sz w:val="32"/>
          <w:szCs w:val="32"/>
          <w:highlight w:val="none"/>
        </w:rPr>
        <w:t>条，人大建议和政协提案相关信息</w:t>
      </w:r>
      <w:r>
        <w:rPr>
          <w:rFonts w:hint="eastAsia" w:ascii="仿宋_GB2312" w:hAnsi="仿宋_GB2312" w:eastAsia="仿宋_GB2312" w:cs="仿宋_GB2312"/>
          <w:sz w:val="32"/>
          <w:szCs w:val="32"/>
          <w:highlight w:val="none"/>
          <w:lang w:val="en-US" w:eastAsia="zh-CN"/>
        </w:rPr>
        <w:t>11</w:t>
      </w:r>
      <w:r>
        <w:rPr>
          <w:rFonts w:hint="eastAsia" w:ascii="仿宋_GB2312" w:hAnsi="仿宋_GB2312" w:eastAsia="仿宋_GB2312" w:cs="仿宋_GB2312"/>
          <w:sz w:val="32"/>
          <w:szCs w:val="32"/>
          <w:highlight w:val="none"/>
        </w:rPr>
        <w:t>条，通知公告</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条，财政信息4条，</w:t>
      </w:r>
      <w:r>
        <w:rPr>
          <w:rFonts w:hint="eastAsia" w:ascii="仿宋_GB2312" w:hAnsi="仿宋_GB2312" w:eastAsia="仿宋_GB2312" w:cs="仿宋_GB2312"/>
          <w:sz w:val="32"/>
          <w:szCs w:val="32"/>
          <w:highlight w:val="none"/>
          <w:lang w:eastAsia="zh-CN"/>
        </w:rPr>
        <w:t>备案信息</w:t>
      </w:r>
      <w:r>
        <w:rPr>
          <w:rFonts w:hint="eastAsia" w:ascii="仿宋_GB2312" w:hAnsi="仿宋_GB2312" w:eastAsia="仿宋_GB2312" w:cs="仿宋_GB2312"/>
          <w:sz w:val="32"/>
          <w:szCs w:val="32"/>
          <w:highlight w:val="none"/>
          <w:lang w:val="en-US" w:eastAsia="zh-CN"/>
        </w:rPr>
        <w:t>4条，执法结果信息3条，</w:t>
      </w:r>
      <w:r>
        <w:rPr>
          <w:rFonts w:hint="eastAsia" w:ascii="仿宋_GB2312" w:hAnsi="仿宋_GB2312" w:eastAsia="仿宋_GB2312" w:cs="仿宋_GB2312"/>
          <w:sz w:val="32"/>
          <w:szCs w:val="32"/>
          <w:highlight w:val="none"/>
        </w:rPr>
        <w:t>其他方面信息</w:t>
      </w:r>
      <w:r>
        <w:rPr>
          <w:rFonts w:hint="eastAsia" w:ascii="仿宋_GB2312" w:hAnsi="仿宋_GB2312" w:eastAsia="仿宋_GB2312" w:cs="仿宋_GB2312"/>
          <w:sz w:val="32"/>
          <w:szCs w:val="32"/>
          <w:highlight w:val="none"/>
          <w:lang w:val="en-US" w:eastAsia="zh-CN"/>
        </w:rPr>
        <w:t>14</w:t>
      </w:r>
      <w:r>
        <w:rPr>
          <w:rFonts w:hint="eastAsia" w:ascii="仿宋_GB2312" w:hAnsi="仿宋_GB2312" w:eastAsia="仿宋_GB2312" w:cs="仿宋_GB2312"/>
          <w:sz w:val="32"/>
          <w:szCs w:val="32"/>
          <w:highlight w:val="none"/>
        </w:rPr>
        <w:t>条</w:t>
      </w:r>
      <w:r>
        <w:rPr>
          <w:rFonts w:hint="eastAsia" w:ascii="仿宋_GB2312" w:hAnsi="仿宋_GB2312" w:eastAsia="仿宋_GB2312" w:cs="仿宋_GB2312"/>
          <w:b w:val="0"/>
          <w:bCs w:val="0"/>
          <w:i w:val="0"/>
          <w:iCs w:val="0"/>
          <w:caps w:val="0"/>
          <w:color w:val="000000"/>
          <w:spacing w:val="0"/>
          <w:sz w:val="32"/>
          <w:szCs w:val="32"/>
          <w:highlight w:val="none"/>
          <w:lang w:val="en-US" w:eastAsia="zh-CN"/>
        </w:rPr>
        <w:t>。</w:t>
      </w:r>
    </w:p>
    <w:p>
      <w:pPr>
        <w:pStyle w:val="5"/>
        <w:keepNext w:val="0"/>
        <w:keepLines w:val="0"/>
        <w:widowControl/>
        <w:suppressLineNumbers w:val="0"/>
        <w:spacing w:before="75" w:beforeAutospacing="0" w:after="75" w:afterAutospacing="0"/>
        <w:ind w:right="0" w:firstLine="640" w:firstLineChars="200"/>
        <w:jc w:val="both"/>
        <w:rPr>
          <w:rFonts w:hint="eastAsia" w:ascii="仿宋_GB2312" w:hAnsi="仿宋_GB2312" w:eastAsia="仿宋_GB2312" w:cs="仿宋_GB2312"/>
          <w:b w:val="0"/>
          <w:bCs w:val="0"/>
          <w:i w:val="0"/>
          <w:iCs w:val="0"/>
          <w:caps w:val="0"/>
          <w:color w:val="000000"/>
          <w:spacing w:val="0"/>
          <w:sz w:val="32"/>
          <w:szCs w:val="32"/>
          <w:highlight w:val="yellow"/>
          <w:lang w:val="en-US" w:eastAsia="zh-CN"/>
        </w:rPr>
      </w:pPr>
      <w:r>
        <w:rPr>
          <w:rFonts w:hint="eastAsia" w:ascii="仿宋_GB2312" w:hAnsi="仿宋_GB2312" w:eastAsia="仿宋_GB2312" w:cs="仿宋_GB2312"/>
          <w:b w:val="0"/>
          <w:bCs w:val="0"/>
          <w:i w:val="0"/>
          <w:iCs w:val="0"/>
          <w:caps w:val="0"/>
          <w:color w:val="000000"/>
          <w:spacing w:val="0"/>
          <w:sz w:val="32"/>
          <w:szCs w:val="32"/>
          <w:highlight w:val="none"/>
          <w:lang w:val="en-US" w:eastAsia="zh-CN"/>
        </w:rPr>
        <w:drawing>
          <wp:inline distT="0" distB="0" distL="114300" distR="114300">
            <wp:extent cx="4457065" cy="3246755"/>
            <wp:effectExtent l="4445" t="5080" r="15240" b="571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5"/>
        <w:keepNext w:val="0"/>
        <w:keepLines w:val="0"/>
        <w:widowControl/>
        <w:suppressLineNumbers w:val="0"/>
        <w:spacing w:before="75" w:beforeAutospacing="0" w:after="75" w:afterAutospacing="0"/>
        <w:ind w:right="0" w:firstLine="640" w:firstLineChars="200"/>
        <w:jc w:val="both"/>
        <w:rPr>
          <w:rFonts w:hint="eastAsia" w:ascii="仿宋_GB2312" w:hAnsi="仿宋_GB2312" w:eastAsia="仿宋_GB2312" w:cs="仿宋_GB2312"/>
          <w:b w:val="0"/>
          <w:bCs w:val="0"/>
          <w:i w:val="0"/>
          <w:iCs w:val="0"/>
          <w:caps w:val="0"/>
          <w:color w:val="000000"/>
          <w:spacing w:val="0"/>
          <w:sz w:val="32"/>
          <w:szCs w:val="32"/>
          <w:highlight w:val="none"/>
          <w:lang w:val="en-US" w:eastAsia="zh-CN"/>
        </w:rPr>
      </w:pPr>
      <w:r>
        <w:rPr>
          <w:rFonts w:hint="eastAsia" w:ascii="仿宋_GB2312" w:hAnsi="仿宋_GB2312" w:eastAsia="仿宋_GB2312" w:cs="仿宋_GB2312"/>
          <w:b w:val="0"/>
          <w:bCs w:val="0"/>
          <w:i w:val="0"/>
          <w:iCs w:val="0"/>
          <w:caps w:val="0"/>
          <w:color w:val="000000"/>
          <w:spacing w:val="0"/>
          <w:sz w:val="32"/>
          <w:szCs w:val="32"/>
          <w:highlight w:val="none"/>
          <w:lang w:val="en-US" w:eastAsia="zh-CN"/>
        </w:rPr>
        <w:t>2025年，通过“冠县司法”微信公众号发布信息共1119条，主要包括公告公示类信息7条，会议会务信息15条，法治宣传类信息89条，人民调解案例信息26条，转发信息924条，工作动态信息58条。</w:t>
      </w:r>
    </w:p>
    <w:p>
      <w:pPr>
        <w:pStyle w:val="5"/>
        <w:keepNext w:val="0"/>
        <w:keepLines w:val="0"/>
        <w:widowControl/>
        <w:suppressLineNumbers w:val="0"/>
        <w:spacing w:before="75" w:beforeAutospacing="0" w:after="75" w:afterAutospacing="0"/>
        <w:ind w:right="0" w:firstLine="640" w:firstLineChars="200"/>
        <w:jc w:val="both"/>
        <w:rPr>
          <w:rFonts w:hint="eastAsia" w:ascii="仿宋_GB2312" w:hAnsi="仿宋_GB2312" w:eastAsia="仿宋_GB2312" w:cs="仿宋_GB2312"/>
          <w:b w:val="0"/>
          <w:bCs w:val="0"/>
          <w:i w:val="0"/>
          <w:iCs w:val="0"/>
          <w:caps w:val="0"/>
          <w:color w:val="000000"/>
          <w:spacing w:val="0"/>
          <w:sz w:val="32"/>
          <w:szCs w:val="32"/>
          <w:highlight w:val="none"/>
          <w:lang w:val="en-US" w:eastAsia="zh-CN"/>
        </w:rPr>
      </w:pPr>
      <w:r>
        <w:rPr>
          <w:rFonts w:hint="eastAsia" w:ascii="仿宋_GB2312" w:hAnsi="仿宋_GB2312" w:eastAsia="仿宋_GB2312" w:cs="仿宋_GB2312"/>
          <w:b w:val="0"/>
          <w:bCs w:val="0"/>
          <w:i w:val="0"/>
          <w:iCs w:val="0"/>
          <w:caps w:val="0"/>
          <w:color w:val="000000"/>
          <w:spacing w:val="0"/>
          <w:sz w:val="32"/>
          <w:szCs w:val="32"/>
          <w:highlight w:val="none"/>
          <w:lang w:val="en-US" w:eastAsia="zh-CN"/>
        </w:rPr>
        <w:drawing>
          <wp:inline distT="0" distB="0" distL="114300" distR="114300">
            <wp:extent cx="4239895" cy="2926715"/>
            <wp:effectExtent l="4445" t="4445" r="22860" b="2159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（二）</w:t>
      </w:r>
      <w:r>
        <w:rPr>
          <w:rFonts w:hint="eastAsia" w:ascii="CESI楷体-GB2312" w:hAnsi="CESI楷体-GB2312" w:eastAsia="CESI楷体-GB2312" w:cs="CESI楷体-GB2312"/>
          <w:b/>
          <w:bCs/>
          <w:sz w:val="32"/>
          <w:szCs w:val="32"/>
        </w:rPr>
        <w:t>依申请公开</w:t>
      </w:r>
    </w:p>
    <w:p>
      <w:pPr>
        <w:ind w:firstLine="640" w:firstLineChars="200"/>
        <w:rPr>
          <w:rFonts w:hint="eastAsia"/>
          <w:lang w:eastAsia="zh-CN"/>
        </w:rPr>
      </w:pPr>
      <w:r>
        <w:rPr>
          <w:rFonts w:hint="eastAsia" w:ascii="仿宋_GB2312" w:eastAsia="仿宋_GB2312"/>
          <w:color w:val="auto"/>
          <w:sz w:val="32"/>
          <w:szCs w:val="32"/>
          <w:lang w:val="en-US" w:eastAsia="zh-CN"/>
        </w:rPr>
        <w:t>2025年，共受理政府信息公开申请3件，申请数量较去年增长300%。</w:t>
      </w:r>
      <w:r>
        <w:rPr>
          <w:rFonts w:hint="eastAsia" w:ascii="仿宋_GB2312" w:eastAsia="仿宋_GB2312"/>
          <w:color w:val="auto"/>
          <w:sz w:val="32"/>
          <w:szCs w:val="32"/>
        </w:rPr>
        <w:t>政府信息公开申请内容主要涉及</w:t>
      </w:r>
      <w:r>
        <w:rPr>
          <w:rFonts w:hint="eastAsia" w:ascii="仿宋_GB2312" w:eastAsia="仿宋_GB2312"/>
          <w:color w:val="auto"/>
          <w:sz w:val="32"/>
          <w:szCs w:val="32"/>
          <w:lang w:eastAsia="zh-CN"/>
        </w:rPr>
        <w:t>政府政策</w:t>
      </w:r>
      <w:r>
        <w:rPr>
          <w:rFonts w:hint="default" w:ascii="仿宋_GB2312" w:eastAsia="仿宋_GB2312"/>
          <w:color w:val="auto"/>
          <w:sz w:val="32"/>
          <w:szCs w:val="32"/>
          <w:lang w:val="en-US" w:eastAsia="zh-CN"/>
        </w:rPr>
        <w:t>等方面。</w:t>
      </w:r>
      <w:r>
        <w:rPr>
          <w:rFonts w:hint="eastAsia" w:ascii="Times New Roman" w:hAnsi="Times New Roman" w:eastAsia="仿宋_GB2312" w:cs="仿宋_GB2312"/>
          <w:color w:val="auto"/>
          <w:sz w:val="32"/>
          <w:szCs w:val="32"/>
        </w:rPr>
        <w:t>本年度答复政府信息公开申请</w:t>
      </w:r>
      <w:r>
        <w:rPr>
          <w:rFonts w:hint="eastAsia" w:ascii="仿宋_GB2312" w:eastAsia="仿宋_GB2312"/>
          <w:color w:val="auto"/>
          <w:sz w:val="32"/>
          <w:szCs w:val="32"/>
          <w:lang w:val="en-US" w:eastAsia="zh-CN"/>
        </w:rPr>
        <w:t>2</w:t>
      </w:r>
      <w:r>
        <w:rPr>
          <w:rFonts w:hint="eastAsia" w:ascii="Times New Roman" w:hAnsi="Times New Roman" w:eastAsia="仿宋_GB2312" w:cs="仿宋_GB2312"/>
          <w:color w:val="auto"/>
          <w:sz w:val="32"/>
          <w:szCs w:val="32"/>
        </w:rPr>
        <w:t>件</w:t>
      </w:r>
      <w:r>
        <w:rPr>
          <w:rFonts w:hint="eastAsia" w:ascii="Times New Roman" w:hAnsi="Times New Roman" w:eastAsia="仿宋_GB2312" w:cs="仿宋_GB2312"/>
          <w:color w:val="auto"/>
          <w:sz w:val="32"/>
          <w:szCs w:val="32"/>
          <w:lang w:eastAsia="zh-CN"/>
        </w:rPr>
        <w:t>，</w:t>
      </w:r>
      <w:r>
        <w:rPr>
          <w:rFonts w:hint="eastAsia" w:ascii="仿宋_GB2312" w:eastAsia="仿宋_GB2312" w:cs="汉仪中等线简"/>
          <w:color w:val="000000"/>
          <w:sz w:val="32"/>
          <w:szCs w:val="32"/>
        </w:rPr>
        <w:t>均</w:t>
      </w:r>
      <w:r>
        <w:rPr>
          <w:rFonts w:hint="eastAsia" w:ascii="仿宋_GB2312" w:eastAsia="仿宋_GB2312" w:cs="汉仪中等线简"/>
          <w:color w:val="000000"/>
          <w:sz w:val="32"/>
          <w:szCs w:val="32"/>
          <w:lang w:eastAsia="zh-CN"/>
        </w:rPr>
        <w:t>为</w:t>
      </w:r>
      <w:r>
        <w:rPr>
          <w:rFonts w:hint="default" w:ascii="仿宋_GB2312" w:hAnsi="宋体" w:eastAsia="仿宋_GB2312" w:cs="仿宋_GB2312"/>
          <w:i w:val="0"/>
          <w:caps w:val="0"/>
          <w:color w:val="auto"/>
          <w:spacing w:val="0"/>
          <w:kern w:val="0"/>
          <w:sz w:val="32"/>
          <w:szCs w:val="32"/>
          <w:u w:val="none"/>
          <w:shd w:val="clear" w:color="auto" w:fill="FFFFFF"/>
          <w:lang w:val="en-US" w:eastAsia="zh-CN" w:bidi="ar"/>
        </w:rPr>
        <w:t>部分公开</w:t>
      </w:r>
      <w:r>
        <w:rPr>
          <w:rFonts w:hint="eastAsia" w:ascii="仿宋_GB2312" w:hAnsi="宋体" w:eastAsia="仿宋_GB2312" w:cs="仿宋_GB2312"/>
          <w:i w:val="0"/>
          <w:caps w:val="0"/>
          <w:color w:val="auto"/>
          <w:spacing w:val="0"/>
          <w:kern w:val="0"/>
          <w:sz w:val="32"/>
          <w:szCs w:val="32"/>
          <w:u w:val="none"/>
          <w:shd w:val="clear" w:color="auto" w:fill="FFFFFF"/>
          <w:lang w:val="en-US" w:eastAsia="zh-CN" w:bidi="ar"/>
        </w:rPr>
        <w:t>，已</w:t>
      </w:r>
      <w:r>
        <w:rPr>
          <w:rFonts w:hint="eastAsia" w:ascii="仿宋_GB2312" w:eastAsia="仿宋_GB2312" w:cs="汉仪中等线简"/>
          <w:color w:val="000000"/>
          <w:sz w:val="32"/>
          <w:szCs w:val="32"/>
        </w:rPr>
        <w:t>在法定期限内予以答复</w:t>
      </w:r>
      <w:r>
        <w:rPr>
          <w:rFonts w:hint="default" w:ascii="仿宋_GB2312" w:hAnsi="宋体" w:eastAsia="仿宋_GB2312" w:cs="仿宋_GB2312"/>
          <w:i w:val="0"/>
          <w:caps w:val="0"/>
          <w:color w:val="auto"/>
          <w:spacing w:val="0"/>
          <w:kern w:val="0"/>
          <w:sz w:val="32"/>
          <w:szCs w:val="32"/>
          <w:u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u w:val="none"/>
          <w:shd w:val="clear" w:color="auto" w:fill="FFFFFF"/>
          <w:lang w:val="en-US" w:eastAsia="zh-CN" w:bidi="ar"/>
        </w:rPr>
        <w:t>结转下年度继续办理1件</w:t>
      </w:r>
      <w:r>
        <w:rPr>
          <w:rFonts w:hint="eastAsia" w:ascii="Times New Roman" w:hAnsi="Times New Roman" w:eastAsia="仿宋_GB2312" w:cs="仿宋_GB2312"/>
          <w:color w:val="auto"/>
          <w:sz w:val="32"/>
          <w:szCs w:val="32"/>
        </w:rPr>
        <w:t>。</w:t>
      </w:r>
      <w:r>
        <w:rPr>
          <w:rFonts w:hint="eastAsia" w:ascii="仿宋_GB2312" w:eastAsia="仿宋_GB2312" w:cs="汉仪中等线简"/>
          <w:color w:val="000000"/>
          <w:sz w:val="32"/>
          <w:szCs w:val="32"/>
        </w:rPr>
        <w:t>信</w:t>
      </w:r>
      <w:r>
        <w:rPr>
          <w:rFonts w:hint="eastAsia" w:ascii="仿宋_GB2312" w:eastAsia="仿宋_GB2312" w:cs="汉仪中等线简"/>
          <w:sz w:val="32"/>
          <w:szCs w:val="32"/>
        </w:rPr>
        <w:t>息公开行政复议</w:t>
      </w:r>
      <w:r>
        <w:rPr>
          <w:rFonts w:hint="eastAsia" w:ascii="仿宋_GB2312" w:hAnsi="宋体" w:eastAsia="仿宋_GB2312" w:cs="仿宋_GB2312"/>
          <w:i w:val="0"/>
          <w:caps w:val="0"/>
          <w:color w:val="auto"/>
          <w:spacing w:val="0"/>
          <w:kern w:val="0"/>
          <w:sz w:val="32"/>
          <w:szCs w:val="32"/>
          <w:u w:val="none"/>
          <w:shd w:val="clear" w:color="auto" w:fill="FFFFFF"/>
          <w:lang w:val="en-US" w:eastAsia="zh-CN" w:bidi="ar"/>
        </w:rPr>
        <w:t>1</w:t>
      </w:r>
      <w:r>
        <w:rPr>
          <w:rFonts w:hint="eastAsia" w:ascii="仿宋_GB2312" w:eastAsia="仿宋_GB2312" w:cs="汉仪中等线简"/>
          <w:sz w:val="32"/>
          <w:szCs w:val="32"/>
        </w:rPr>
        <w:t>件，</w:t>
      </w:r>
      <w:r>
        <w:rPr>
          <w:rFonts w:hint="eastAsia" w:ascii="仿宋_GB2312" w:eastAsia="仿宋_GB2312" w:cs="汉仪中等线简"/>
          <w:sz w:val="32"/>
          <w:szCs w:val="32"/>
          <w:lang w:eastAsia="zh-CN"/>
        </w:rPr>
        <w:t>结果维持</w:t>
      </w:r>
      <w:r>
        <w:rPr>
          <w:rFonts w:hint="eastAsia" w:ascii="仿宋_GB2312" w:hAnsi="宋体" w:eastAsia="仿宋_GB2312" w:cs="仿宋_GB2312"/>
          <w:i w:val="0"/>
          <w:caps w:val="0"/>
          <w:color w:val="auto"/>
          <w:spacing w:val="0"/>
          <w:kern w:val="0"/>
          <w:sz w:val="32"/>
          <w:szCs w:val="32"/>
          <w:u w:val="none"/>
          <w:shd w:val="clear" w:color="auto" w:fill="FFFFFF"/>
          <w:lang w:val="en-US" w:eastAsia="zh-CN" w:bidi="ar"/>
        </w:rPr>
        <w:t>1</w:t>
      </w:r>
      <w:r>
        <w:rPr>
          <w:rFonts w:hint="eastAsia" w:ascii="仿宋_GB2312" w:eastAsia="仿宋_GB2312" w:cs="汉仪中等线简"/>
          <w:sz w:val="32"/>
          <w:szCs w:val="32"/>
        </w:rPr>
        <w:t>件。信息公开</w:t>
      </w:r>
      <w:r>
        <w:rPr>
          <w:rFonts w:hint="eastAsia" w:ascii="仿宋_GB2312" w:eastAsia="仿宋_GB2312" w:cs="汉仪中等线简"/>
          <w:sz w:val="32"/>
          <w:szCs w:val="32"/>
          <w:lang w:eastAsia="zh-CN"/>
        </w:rPr>
        <w:t>行政</w:t>
      </w:r>
      <w:r>
        <w:rPr>
          <w:rFonts w:hint="eastAsia" w:ascii="仿宋_GB2312" w:eastAsia="仿宋_GB2312" w:cs="汉仪中等线简"/>
          <w:sz w:val="32"/>
          <w:szCs w:val="32"/>
        </w:rPr>
        <w:t>诉讼</w:t>
      </w:r>
      <w:r>
        <w:rPr>
          <w:rFonts w:hint="eastAsia" w:ascii="仿宋_GB2312" w:hAnsi="宋体" w:eastAsia="仿宋_GB2312" w:cs="仿宋_GB2312"/>
          <w:i w:val="0"/>
          <w:caps w:val="0"/>
          <w:color w:val="auto"/>
          <w:spacing w:val="0"/>
          <w:kern w:val="0"/>
          <w:sz w:val="32"/>
          <w:szCs w:val="32"/>
          <w:u w:val="none"/>
          <w:shd w:val="clear" w:color="auto" w:fill="FFFFFF"/>
          <w:lang w:val="en-US" w:eastAsia="zh-CN" w:bidi="ar"/>
        </w:rPr>
        <w:t>0</w:t>
      </w:r>
      <w:r>
        <w:rPr>
          <w:rFonts w:hint="eastAsia" w:ascii="仿宋_GB2312" w:eastAsia="仿宋_GB2312" w:cs="汉仪中等线简"/>
          <w:sz w:val="32"/>
          <w:szCs w:val="32"/>
        </w:rPr>
        <w:t>件，结果</w:t>
      </w:r>
      <w:r>
        <w:rPr>
          <w:rFonts w:hint="eastAsia" w:ascii="仿宋_GB2312" w:eastAsia="仿宋_GB2312" w:cs="汉仪中等线简"/>
          <w:sz w:val="32"/>
          <w:szCs w:val="32"/>
          <w:lang w:eastAsia="zh-CN"/>
        </w:rPr>
        <w:t>维持</w:t>
      </w:r>
      <w:r>
        <w:rPr>
          <w:rFonts w:hint="eastAsia" w:ascii="仿宋_GB2312" w:hAnsi="宋体" w:eastAsia="仿宋_GB2312" w:cs="仿宋_GB2312"/>
          <w:i w:val="0"/>
          <w:caps w:val="0"/>
          <w:color w:val="auto"/>
          <w:spacing w:val="0"/>
          <w:kern w:val="0"/>
          <w:sz w:val="32"/>
          <w:szCs w:val="32"/>
          <w:u w:val="none"/>
          <w:shd w:val="clear" w:color="auto" w:fill="FFFFFF"/>
          <w:lang w:val="en-US" w:eastAsia="zh-CN" w:bidi="ar"/>
        </w:rPr>
        <w:t>0</w:t>
      </w:r>
      <w:r>
        <w:rPr>
          <w:rFonts w:hint="eastAsia" w:ascii="仿宋_GB2312" w:eastAsia="仿宋_GB2312" w:cs="汉仪中等线简"/>
          <w:sz w:val="32"/>
          <w:szCs w:val="32"/>
        </w:rPr>
        <w:t>件。</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lang w:eastAsia="zh-CN"/>
        </w:rPr>
        <w:t>（三）</w:t>
      </w:r>
      <w:r>
        <w:rPr>
          <w:rFonts w:hint="eastAsia" w:ascii="CESI楷体-GB2312" w:hAnsi="CESI楷体-GB2312" w:eastAsia="CESI楷体-GB2312" w:cs="CESI楷体-GB2312"/>
          <w:b/>
          <w:bCs/>
          <w:sz w:val="32"/>
          <w:szCs w:val="32"/>
        </w:rPr>
        <w:t>政府信息管理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CESI楷体-GB2312" w:hAnsi="CESI楷体-GB2312" w:eastAsia="CESI楷体-GB2312" w:cs="CESI楷体-GB2312"/>
          <w:b/>
          <w:bCs/>
          <w:sz w:val="32"/>
          <w:szCs w:val="32"/>
        </w:rPr>
      </w:pPr>
      <w:r>
        <w:rPr>
          <w:rFonts w:hint="eastAsia" w:ascii="仿宋_GB2312" w:eastAsia="仿宋_GB2312"/>
          <w:sz w:val="32"/>
          <w:szCs w:val="32"/>
        </w:rPr>
        <w:t>深化政府信息公开全流程数字化管理机制，将公开要求嵌入业务办理各环节，实现信息生成、审核、发布、归档全链条闭环管理，进一步提升信息公开的精准性、时效性和权威性。细化保密审查标准和流程，健全“先审查、后公开”“谁审查、谁负责”的审查责任体系，加强对涉密信息、商业秘密和个人隐私的保护，定期开展保密审查专项检查，坚决杜绝失泄密问题发生。</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kern w:val="2"/>
          <w:sz w:val="32"/>
          <w:szCs w:val="32"/>
          <w:lang w:val="en-US" w:eastAsia="zh-CN" w:bidi="ar-SA"/>
        </w:rPr>
        <w:t>（四）</w:t>
      </w:r>
      <w:r>
        <w:rPr>
          <w:rFonts w:hint="eastAsia" w:ascii="CESI楷体-GB2312" w:hAnsi="CESI楷体-GB2312" w:eastAsia="CESI楷体-GB2312" w:cs="CESI楷体-GB2312"/>
          <w:b/>
          <w:bCs/>
          <w:sz w:val="32"/>
          <w:szCs w:val="32"/>
        </w:rPr>
        <w:t>政府信息公开平台建设</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通过冠县人民政府网站</w:t>
      </w:r>
      <w:r>
        <w:rPr>
          <w:rFonts w:hint="eastAsia" w:ascii="仿宋_GB2312" w:eastAsia="仿宋_GB2312"/>
          <w:sz w:val="32"/>
          <w:szCs w:val="32"/>
          <w:lang w:eastAsia="zh-CN"/>
        </w:rPr>
        <w:t>主动</w:t>
      </w:r>
      <w:r>
        <w:rPr>
          <w:rFonts w:hint="eastAsia" w:ascii="仿宋_GB2312" w:eastAsia="仿宋_GB2312"/>
          <w:sz w:val="32"/>
          <w:szCs w:val="32"/>
        </w:rPr>
        <w:t>向社会公开政府信息</w:t>
      </w:r>
      <w:r>
        <w:rPr>
          <w:rFonts w:hint="eastAsia" w:ascii="仿宋_GB2312" w:eastAsia="仿宋_GB2312"/>
          <w:sz w:val="32"/>
          <w:szCs w:val="32"/>
          <w:lang w:eastAsia="zh-CN"/>
        </w:rPr>
        <w:t>，</w:t>
      </w:r>
      <w:r>
        <w:rPr>
          <w:rFonts w:hint="eastAsia" w:ascii="仿宋_GB2312" w:eastAsia="仿宋_GB2312"/>
          <w:sz w:val="32"/>
          <w:szCs w:val="32"/>
        </w:rPr>
        <w:t>同时，</w:t>
      </w:r>
      <w:r>
        <w:rPr>
          <w:rFonts w:hint="eastAsia" w:ascii="仿宋_GB2312" w:eastAsia="仿宋_GB2312"/>
          <w:sz w:val="32"/>
          <w:szCs w:val="32"/>
          <w:lang w:eastAsia="zh-CN"/>
        </w:rPr>
        <w:t>充分</w:t>
      </w:r>
      <w:r>
        <w:rPr>
          <w:rFonts w:hint="eastAsia" w:ascii="仿宋_GB2312" w:eastAsia="仿宋_GB2312"/>
          <w:sz w:val="32"/>
          <w:szCs w:val="32"/>
        </w:rPr>
        <w:t>发挥政务新媒体传播优势，2025年“冠县司法”微信平台</w:t>
      </w:r>
      <w:r>
        <w:rPr>
          <w:rFonts w:hint="eastAsia" w:ascii="仿宋_GB2312" w:eastAsia="仿宋_GB2312"/>
          <w:sz w:val="32"/>
          <w:szCs w:val="32"/>
          <w:lang w:eastAsia="zh-CN"/>
        </w:rPr>
        <w:t>发布</w:t>
      </w:r>
      <w:r>
        <w:rPr>
          <w:rFonts w:hint="eastAsia" w:ascii="仿宋_GB2312" w:eastAsia="仿宋_GB2312"/>
          <w:sz w:val="32"/>
          <w:szCs w:val="32"/>
        </w:rPr>
        <w:t>各类信息1119篇。</w:t>
      </w:r>
    </w:p>
    <w:p>
      <w:pPr>
        <w:pStyle w:val="2"/>
        <w:jc w:val="center"/>
        <w:rPr>
          <w:rFonts w:hint="eastAsia" w:eastAsia="宋体"/>
          <w:lang w:eastAsia="zh-CN"/>
        </w:rPr>
      </w:pPr>
      <w:r>
        <w:rPr>
          <w:rFonts w:hint="eastAsia" w:eastAsia="宋体"/>
          <w:lang w:eastAsia="zh-CN"/>
        </w:rPr>
        <w:drawing>
          <wp:inline distT="0" distB="0" distL="114300" distR="114300">
            <wp:extent cx="1653540" cy="3677285"/>
            <wp:effectExtent l="0" t="0" r="3810" b="18415"/>
            <wp:docPr id="6" name="图片 6" descr="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1"/>
                    <pic:cNvPicPr>
                      <a:picLocks noChangeAspect="true"/>
                    </pic:cNvPicPr>
                  </pic:nvPicPr>
                  <pic:blipFill>
                    <a:blip r:embed="rId7"/>
                    <a:stretch>
                      <a:fillRect/>
                    </a:stretch>
                  </pic:blipFill>
                  <pic:spPr>
                    <a:xfrm>
                      <a:off x="0" y="0"/>
                      <a:ext cx="1653540" cy="3677285"/>
                    </a:xfrm>
                    <a:prstGeom prst="rect">
                      <a:avLst/>
                    </a:prstGeom>
                  </pic:spPr>
                </pic:pic>
              </a:graphicData>
            </a:graphic>
          </wp:inline>
        </w:drawing>
      </w:r>
      <w:r>
        <w:rPr>
          <w:rFonts w:hint="eastAsia" w:eastAsia="宋体"/>
          <w:lang w:eastAsia="zh-CN"/>
        </w:rPr>
        <w:drawing>
          <wp:inline distT="0" distB="0" distL="114300" distR="114300">
            <wp:extent cx="1658620" cy="3689350"/>
            <wp:effectExtent l="0" t="0" r="17780" b="6350"/>
            <wp:docPr id="4" name="图片 4" descr="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true"/>
                    </pic:cNvPicPr>
                  </pic:nvPicPr>
                  <pic:blipFill>
                    <a:blip r:embed="rId8"/>
                    <a:stretch>
                      <a:fillRect/>
                    </a:stretch>
                  </pic:blipFill>
                  <pic:spPr>
                    <a:xfrm>
                      <a:off x="0" y="0"/>
                      <a:ext cx="1658620" cy="3689350"/>
                    </a:xfrm>
                    <a:prstGeom prst="rect">
                      <a:avLst/>
                    </a:prstGeom>
                  </pic:spPr>
                </pic:pic>
              </a:graphicData>
            </a:graphic>
          </wp:inline>
        </w:drawing>
      </w:r>
      <w:r>
        <w:rPr>
          <w:rFonts w:hint="eastAsia" w:eastAsia="宋体"/>
          <w:lang w:eastAsia="zh-CN"/>
        </w:rPr>
        <w:drawing>
          <wp:inline distT="0" distB="0" distL="114300" distR="114300">
            <wp:extent cx="1658620" cy="3689985"/>
            <wp:effectExtent l="0" t="0" r="17780" b="5715"/>
            <wp:docPr id="3" name="图片 3" descr="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3"/>
                    <pic:cNvPicPr>
                      <a:picLocks noChangeAspect="true"/>
                    </pic:cNvPicPr>
                  </pic:nvPicPr>
                  <pic:blipFill>
                    <a:blip r:embed="rId9"/>
                    <a:stretch>
                      <a:fillRect/>
                    </a:stretch>
                  </pic:blipFill>
                  <pic:spPr>
                    <a:xfrm>
                      <a:off x="0" y="0"/>
                      <a:ext cx="1658620" cy="368998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kern w:val="2"/>
          <w:sz w:val="32"/>
          <w:szCs w:val="32"/>
          <w:lang w:val="en-US" w:eastAsia="zh-CN" w:bidi="ar-SA"/>
        </w:rPr>
        <w:t>（五）</w:t>
      </w:r>
      <w:r>
        <w:rPr>
          <w:rFonts w:hint="eastAsia" w:ascii="CESI楷体-GB2312" w:hAnsi="CESI楷体-GB2312" w:eastAsia="CESI楷体-GB2312" w:cs="CESI楷体-GB2312"/>
          <w:b/>
          <w:bCs/>
          <w:sz w:val="32"/>
          <w:szCs w:val="32"/>
        </w:rPr>
        <w:t>监督保障</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Calibri" w:eastAsia="仿宋_GB2312" w:cs="Times New Roman"/>
          <w:b w:val="0"/>
          <w:bCs w:val="0"/>
          <w:kern w:val="2"/>
          <w:sz w:val="32"/>
          <w:szCs w:val="32"/>
          <w:lang w:val="en-US" w:eastAsia="zh-CN" w:bidi="ar-SA"/>
        </w:rPr>
      </w:pPr>
      <w:r>
        <w:rPr>
          <w:rFonts w:hint="eastAsia" w:ascii="仿宋_GB2312" w:hAnsi="Calibri" w:eastAsia="仿宋_GB2312" w:cs="Times New Roman"/>
          <w:b w:val="0"/>
          <w:bCs w:val="0"/>
          <w:kern w:val="2"/>
          <w:sz w:val="32"/>
          <w:szCs w:val="32"/>
          <w:lang w:val="en-US" w:eastAsia="zh-CN" w:bidi="ar-SA"/>
        </w:rPr>
        <w:t>明确办公室核心职责，将政务公开工作深度融入司法行政重点工作统筹推进，构建“分工明确、责任到岗、协同高效”的工作格局。精准制定2025年政务公开专题培训计划，组织开展政务公开业务技能培训班、案例研讨会。重点围绕政策解读技巧、信息公开保密审查、数字化公开平台操作等内容开展培训</w:t>
      </w:r>
      <w:r>
        <w:rPr>
          <w:rFonts w:hint="eastAsia" w:ascii="仿宋_GB2312" w:eastAsia="仿宋_GB2312" w:cs="Times New Roman"/>
          <w:b w:val="0"/>
          <w:bCs w:val="0"/>
          <w:kern w:val="2"/>
          <w:sz w:val="32"/>
          <w:szCs w:val="32"/>
          <w:lang w:val="en-US" w:eastAsia="zh-CN" w:bidi="ar-SA"/>
        </w:rPr>
        <w:t>。</w:t>
      </w:r>
      <w:r>
        <w:rPr>
          <w:rFonts w:hint="eastAsia" w:ascii="仿宋_GB2312" w:hAnsi="Calibri" w:eastAsia="仿宋_GB2312" w:cs="Times New Roman"/>
          <w:b w:val="0"/>
          <w:bCs w:val="0"/>
          <w:kern w:val="2"/>
          <w:sz w:val="32"/>
          <w:szCs w:val="32"/>
          <w:lang w:val="en-US" w:eastAsia="zh-CN" w:bidi="ar-SA"/>
        </w:rPr>
        <w:t>将政务公开工作纳入年度绩效考核核心指标，细化考核内容与评分标准，建立考核结果反馈与整改提升闭环机制。积极配合县政府办公室完善社会评议评价体系，聚焦公开内容精准性、公开渠道便捷性、群众关切回应及时性等核心维度开展全面评估。</w:t>
      </w:r>
    </w:p>
    <w:p>
      <w:pPr>
        <w:pStyle w:val="3"/>
        <w:numPr>
          <w:ilvl w:val="0"/>
          <w:numId w:val="0"/>
        </w:numPr>
        <w:spacing w:before="0" w:after="0" w:line="240" w:lineRule="auto"/>
        <w:ind w:firstLine="640" w:firstLineChars="200"/>
        <w:rPr>
          <w:rFonts w:hint="eastAsia"/>
        </w:rPr>
      </w:pPr>
      <w:r>
        <w:rPr>
          <w:rFonts w:hint="eastAsia" w:ascii="CESI黑体-GB2312" w:hAnsi="CESI黑体-GB2312" w:eastAsia="CESI黑体-GB2312" w:cs="CESI黑体-GB2312"/>
          <w:b w:val="0"/>
          <w:bCs w:val="0"/>
          <w:lang w:eastAsia="zh-CN"/>
        </w:rPr>
        <w:t>二、</w:t>
      </w:r>
      <w:r>
        <w:rPr>
          <w:rFonts w:hint="eastAsia" w:ascii="CESI黑体-GB2312" w:hAnsi="CESI黑体-GB2312" w:eastAsia="CESI黑体-GB2312" w:cs="CESI黑体-GB2312"/>
          <w:b w:val="0"/>
          <w:bCs w:val="0"/>
        </w:rPr>
        <w:t>主动公开政府信息情况</w:t>
      </w:r>
    </w:p>
    <w:tbl>
      <w:tblPr>
        <w:tblStyle w:val="6"/>
        <w:tblpPr w:leftFromText="180" w:rightFromText="180" w:vertAnchor="text" w:horzAnchor="page" w:tblpXSpec="center" w:tblpY="596"/>
        <w:tblOverlap w:val="never"/>
        <w:tblW w:w="5000" w:type="pct"/>
        <w:jc w:val="center"/>
        <w:tblLayout w:type="autofit"/>
        <w:tblCellMar>
          <w:top w:w="0" w:type="dxa"/>
          <w:left w:w="108" w:type="dxa"/>
          <w:bottom w:w="0" w:type="dxa"/>
          <w:right w:w="108" w:type="dxa"/>
        </w:tblCellMar>
      </w:tblPr>
      <w:tblGrid>
        <w:gridCol w:w="2237"/>
        <w:gridCol w:w="2237"/>
        <w:gridCol w:w="2237"/>
        <w:gridCol w:w="2237"/>
      </w:tblGrid>
      <w:tr>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noWrap w:val="0"/>
            <w:vAlign w:val="center"/>
          </w:tcPr>
          <w:p>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default"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default"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bl>
    <w:p>
      <w:pPr>
        <w:numPr>
          <w:ilvl w:val="0"/>
          <w:numId w:val="0"/>
        </w:numPr>
        <w:rPr>
          <w:rFonts w:hint="eastAsia"/>
        </w:rPr>
      </w:pPr>
      <w:bookmarkStart w:id="13" w:name="_GoBack"/>
      <w:bookmarkEnd w:id="13"/>
    </w:p>
    <w:p>
      <w:pPr>
        <w:ind w:firstLine="640" w:firstLineChars="200"/>
        <w:jc w:val="left"/>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三、</w:t>
      </w:r>
      <w:r>
        <w:rPr>
          <w:rFonts w:hint="eastAsia" w:ascii="CESI黑体-GB2312" w:hAnsi="CESI黑体-GB2312" w:eastAsia="CESI黑体-GB2312" w:cs="CESI黑体-GB2312"/>
          <w:sz w:val="32"/>
          <w:szCs w:val="32"/>
        </w:rPr>
        <w:t>收到和处理政府信息公开申请情况</w:t>
      </w:r>
    </w:p>
    <w:tbl>
      <w:tblPr>
        <w:tblStyle w:val="6"/>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noWrap w:val="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szCs w:val="21"/>
              </w:rPr>
            </w:pPr>
          </w:p>
        </w:tc>
        <w:tc>
          <w:tcPr>
            <w:tcW w:w="829" w:type="dxa"/>
            <w:vMerge w:val="restart"/>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noWrap w:val="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szCs w:val="21"/>
              </w:rPr>
            </w:pPr>
          </w:p>
        </w:tc>
        <w:tc>
          <w:tcPr>
            <w:tcW w:w="829" w:type="dxa"/>
            <w:vMerge w:val="continue"/>
            <w:noWrap w:val="0"/>
            <w:tcMar>
              <w:left w:w="108" w:type="dxa"/>
              <w:right w:w="108" w:type="dxa"/>
            </w:tcMar>
            <w:vAlign w:val="center"/>
          </w:tcPr>
          <w:p>
            <w:pPr>
              <w:jc w:val="center"/>
              <w:rPr>
                <w:rFonts w:ascii="黑体" w:hAnsi="黑体" w:eastAsia="黑体"/>
                <w:szCs w:val="21"/>
              </w:rPr>
            </w:pPr>
          </w:p>
        </w:tc>
        <w:tc>
          <w:tcPr>
            <w:tcW w:w="567" w:type="dxa"/>
            <w:noWrap w:val="0"/>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67" w:type="dxa"/>
            <w:noWrap w:val="0"/>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31" w:type="dxa"/>
            <w:noWrap w:val="0"/>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708" w:type="dxa"/>
            <w:noWrap w:val="0"/>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noWrap w:val="0"/>
            <w:tcMar>
              <w:left w:w="108" w:type="dxa"/>
              <w:right w:w="108" w:type="dxa"/>
            </w:tcMar>
            <w:vAlign w:val="center"/>
          </w:tcPr>
          <w:p>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noWrap w:val="0"/>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w:t>
            </w:r>
            <w:bookmarkStart w:id="2" w:name="_Hlk66973412"/>
            <w:r>
              <w:rPr>
                <w:rFonts w:hint="eastAsia" w:ascii="黑体" w:hAnsi="黑体" w:eastAsia="黑体"/>
                <w:kern w:val="0"/>
                <w:szCs w:val="21"/>
              </w:rPr>
              <w:t>本年新收政府信息公开申请数量</w:t>
            </w:r>
            <w:bookmarkEnd w:id="2"/>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3</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4677" w:type="dxa"/>
            <w:gridSpan w:val="2"/>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w:t>
            </w:r>
            <w:bookmarkStart w:id="3" w:name="_Hlk66973981"/>
            <w:r>
              <w:rPr>
                <w:rFonts w:hint="eastAsia" w:ascii="黑体" w:hAnsi="黑体" w:eastAsia="黑体"/>
                <w:kern w:val="0"/>
                <w:szCs w:val="21"/>
              </w:rPr>
              <w:t>区分处理的，只计这一情形，不计其他情形</w:t>
            </w:r>
            <w:bookmarkEnd w:id="3"/>
            <w:r>
              <w:rPr>
                <w:rFonts w:hint="eastAsia" w:ascii="黑体" w:hAnsi="黑体" w:eastAsia="黑体"/>
                <w:kern w:val="0"/>
                <w:szCs w:val="21"/>
              </w:rPr>
              <w:t>）</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2</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4" w:name="_Hlk66974104"/>
            <w:r>
              <w:rPr>
                <w:rFonts w:hint="eastAsia" w:ascii="仿宋_GB2312" w:hAnsi="黑体" w:eastAsia="仿宋_GB2312"/>
                <w:kern w:val="0"/>
                <w:szCs w:val="21"/>
              </w:rPr>
              <w:t>其他法律行政法规禁止公开</w:t>
            </w:r>
            <w:bookmarkEnd w:id="4"/>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5" w:name="_Hlk66974290"/>
            <w:r>
              <w:rPr>
                <w:rFonts w:hint="eastAsia" w:ascii="仿宋_GB2312" w:hAnsi="黑体" w:eastAsia="仿宋_GB2312"/>
                <w:kern w:val="0"/>
                <w:szCs w:val="21"/>
              </w:rPr>
              <w:t>保护第三方合法权益</w:t>
            </w:r>
            <w:bookmarkEnd w:id="5"/>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6" w:name="_Hlk66974555"/>
            <w:r>
              <w:rPr>
                <w:rFonts w:hint="eastAsia" w:ascii="仿宋_GB2312" w:hAnsi="黑体" w:eastAsia="仿宋_GB2312"/>
                <w:kern w:val="0"/>
                <w:szCs w:val="21"/>
              </w:rPr>
              <w:t>属于四类过程性信息</w:t>
            </w:r>
            <w:bookmarkEnd w:id="6"/>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7" w:name="_Hlk66975211"/>
            <w:r>
              <w:rPr>
                <w:rFonts w:hint="eastAsia" w:ascii="仿宋_GB2312" w:hAnsi="黑体" w:eastAsia="仿宋_GB2312"/>
                <w:kern w:val="0"/>
                <w:szCs w:val="21"/>
              </w:rPr>
              <w:t>属于行政查询事项</w:t>
            </w:r>
            <w:bookmarkEnd w:id="7"/>
          </w:p>
        </w:tc>
        <w:tc>
          <w:tcPr>
            <w:tcW w:w="829"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8" w:name="_Hlk66975392"/>
            <w:r>
              <w:rPr>
                <w:rFonts w:hint="eastAsia" w:ascii="仿宋_GB2312" w:hAnsi="黑体" w:eastAsia="仿宋_GB2312"/>
                <w:kern w:val="0"/>
                <w:szCs w:val="21"/>
              </w:rPr>
              <w:t>没有现成信息需要另行制作</w:t>
            </w:r>
            <w:bookmarkEnd w:id="8"/>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9" w:name="_Hlk66975466"/>
            <w:r>
              <w:rPr>
                <w:rFonts w:hint="eastAsia" w:ascii="仿宋_GB2312" w:hAnsi="黑体" w:eastAsia="仿宋_GB2312"/>
                <w:kern w:val="0"/>
                <w:szCs w:val="21"/>
              </w:rPr>
              <w:t>补正后申请内容仍不明确</w:t>
            </w:r>
            <w:bookmarkEnd w:id="9"/>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10" w:name="_Hlk66975537"/>
            <w:r>
              <w:rPr>
                <w:rFonts w:hint="eastAsia" w:ascii="仿宋_GB2312" w:hAnsi="黑体" w:eastAsia="仿宋_GB2312"/>
                <w:kern w:val="0"/>
                <w:szCs w:val="21"/>
              </w:rPr>
              <w:t>信访举报投诉类申请</w:t>
            </w:r>
            <w:bookmarkEnd w:id="10"/>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300" w:lineRule="exact"/>
              <w:rPr>
                <w:rFonts w:ascii="仿宋_GB2312" w:hAnsi="黑体" w:eastAsia="仿宋_GB2312"/>
                <w:szCs w:val="21"/>
              </w:rPr>
            </w:pPr>
            <w:r>
              <w:rPr>
                <w:rFonts w:hint="eastAsia" w:ascii="仿宋_GB2312" w:hAnsi="黑体" w:eastAsia="仿宋_GB2312"/>
                <w:kern w:val="0"/>
                <w:szCs w:val="21"/>
              </w:rPr>
              <w:t>5.要求行政机关确认或重新出具已获取信息</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noWrap w:val="0"/>
            <w:vAlign w:val="center"/>
          </w:tcPr>
          <w:p>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widowControl/>
              <w:spacing w:line="300" w:lineRule="exact"/>
              <w:rPr>
                <w:rFonts w:ascii="黑体" w:hAnsi="黑体" w:eastAsia="黑体"/>
                <w:kern w:val="0"/>
                <w:szCs w:val="21"/>
              </w:rPr>
            </w:pPr>
          </w:p>
        </w:tc>
        <w:tc>
          <w:tcPr>
            <w:tcW w:w="2976" w:type="dxa"/>
            <w:noWrap w:val="0"/>
            <w:vAlign w:val="center"/>
          </w:tcPr>
          <w:p>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widowControl/>
              <w:spacing w:line="300" w:lineRule="exact"/>
              <w:rPr>
                <w:rFonts w:ascii="黑体" w:hAnsi="黑体" w:eastAsia="黑体"/>
                <w:kern w:val="0"/>
                <w:szCs w:val="21"/>
              </w:rPr>
            </w:pPr>
          </w:p>
        </w:tc>
        <w:tc>
          <w:tcPr>
            <w:tcW w:w="2976" w:type="dxa"/>
            <w:noWrap w:val="0"/>
            <w:vAlign w:val="center"/>
          </w:tcPr>
          <w:p>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4677" w:type="dxa"/>
            <w:gridSpan w:val="2"/>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2</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r>
    </w:tbl>
    <w:p>
      <w:pPr>
        <w:ind w:firstLine="640" w:firstLineChars="200"/>
        <w:jc w:val="left"/>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四、</w:t>
      </w:r>
      <w:r>
        <w:rPr>
          <w:rFonts w:hint="eastAsia" w:ascii="CESI黑体-GB2312" w:hAnsi="CESI黑体-GB2312" w:eastAsia="CESI黑体-GB2312" w:cs="CESI黑体-GB2312"/>
          <w:sz w:val="32"/>
          <w:szCs w:val="32"/>
        </w:rPr>
        <w:t>政府信息公开行政复议、行政诉讼情况</w:t>
      </w:r>
      <w:r>
        <w:rPr>
          <w:rFonts w:hint="eastAsia" w:ascii="CESI楷体-GB2312" w:hAnsi="CESI楷体-GB2312" w:eastAsia="CESI楷体-GB2312" w:cs="CESI楷体-GB2312"/>
          <w:b/>
          <w:bCs/>
          <w:sz w:val="32"/>
          <w:szCs w:val="32"/>
          <w:lang w:eastAsia="zh-CN"/>
        </w:rPr>
        <w:t>（以依申请公开平台内数据为准）</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bookmarkStart w:id="11" w:name="_Hlk67039688"/>
            <w:r>
              <w:rPr>
                <w:rFonts w:ascii="黑体" w:hAnsi="黑体" w:eastAsia="黑体"/>
                <w:kern w:val="0"/>
                <w:sz w:val="20"/>
                <w:szCs w:val="20"/>
              </w:rPr>
              <w:t>复议后起诉</w:t>
            </w:r>
            <w:bookmarkEnd w:id="11"/>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1</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1</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r>
    </w:tbl>
    <w:p>
      <w:pPr>
        <w:pStyle w:val="3"/>
        <w:numPr>
          <w:ilvl w:val="0"/>
          <w:numId w:val="0"/>
        </w:numPr>
        <w:spacing w:before="0" w:after="0" w:line="240" w:lineRule="auto"/>
        <w:ind w:firstLine="640" w:firstLineChars="200"/>
        <w:rPr>
          <w:rFonts w:hint="eastAsia" w:ascii="CESI黑体-GB2312" w:hAnsi="CESI黑体-GB2312" w:eastAsia="CESI黑体-GB2312" w:cs="CESI黑体-GB2312"/>
          <w:b w:val="0"/>
          <w:bCs w:val="0"/>
        </w:rPr>
      </w:pPr>
      <w:r>
        <w:rPr>
          <w:rFonts w:hint="eastAsia" w:ascii="CESI黑体-GB2312" w:hAnsi="CESI黑体-GB2312" w:eastAsia="CESI黑体-GB2312" w:cs="CESI黑体-GB2312"/>
          <w:b w:val="0"/>
          <w:bCs w:val="0"/>
          <w:lang w:eastAsia="zh-CN"/>
        </w:rPr>
        <w:t>五、</w:t>
      </w:r>
      <w:r>
        <w:rPr>
          <w:rFonts w:hint="eastAsia" w:ascii="CESI黑体-GB2312" w:hAnsi="CESI黑体-GB2312" w:eastAsia="CESI黑体-GB2312" w:cs="CESI黑体-GB2312"/>
          <w:b w:val="0"/>
          <w:bCs w:val="0"/>
        </w:rPr>
        <w:t>存在的主要问题及改进情况</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outlineLvl w:val="9"/>
        <w:rPr>
          <w:rFonts w:hint="eastAsia" w:ascii="CESI楷体-GB2312" w:hAnsi="CESI楷体-GB2312" w:eastAsia="CESI楷体-GB2312" w:cs="CESI楷体-GB2312"/>
          <w:b/>
          <w:bCs/>
          <w:kern w:val="2"/>
          <w:sz w:val="32"/>
          <w:szCs w:val="32"/>
          <w:lang w:val="en-US" w:eastAsia="zh-CN" w:bidi="ar-SA"/>
        </w:rPr>
      </w:pPr>
      <w:bookmarkStart w:id="12" w:name="OLE_LINK1"/>
      <w:r>
        <w:rPr>
          <w:rFonts w:hint="eastAsia" w:ascii="CESI楷体-GB2312" w:hAnsi="CESI楷体-GB2312" w:eastAsia="CESI楷体-GB2312" w:cs="CESI楷体-GB2312"/>
          <w:b/>
          <w:bCs/>
          <w:kern w:val="2"/>
          <w:sz w:val="32"/>
          <w:szCs w:val="32"/>
          <w:lang w:val="en-US" w:eastAsia="zh-CN" w:bidi="ar-SA"/>
        </w:rPr>
        <w:t>（一）存在的主要问题</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复杂信息公开申请应对熟练度有待提升。面对部分群众提出的复杂、特殊政府信息公开申请时，初期存在应对稍显仓促的情况，后续通过经验积累熟练度有所提升，但前期处置的精准性和效率仍有优化空间。</w:t>
      </w:r>
    </w:p>
    <w:p>
      <w:pPr>
        <w:pStyle w:val="2"/>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CESI楷体-GB2312" w:hAnsi="CESI楷体-GB2312" w:eastAsia="CESI楷体-GB2312" w:cs="CESI楷体-GB2312"/>
          <w:b/>
          <w:bCs/>
          <w:kern w:val="2"/>
          <w:sz w:val="32"/>
          <w:szCs w:val="32"/>
          <w:lang w:val="en-US" w:eastAsia="zh-CN" w:bidi="ar-SA"/>
        </w:rPr>
      </w:pPr>
      <w:r>
        <w:rPr>
          <w:rFonts w:hint="eastAsia" w:ascii="CESI楷体-GB2312" w:hAnsi="CESI楷体-GB2312" w:eastAsia="CESI楷体-GB2312" w:cs="CESI楷体-GB2312"/>
          <w:b/>
          <w:bCs/>
          <w:kern w:val="2"/>
          <w:sz w:val="32"/>
          <w:szCs w:val="32"/>
          <w:lang w:val="en-US" w:eastAsia="zh-CN" w:bidi="ar-SA"/>
        </w:rPr>
        <w:t>（二）改进情况</w:t>
      </w:r>
    </w:p>
    <w:bookmarkEnd w:id="12"/>
    <w:p>
      <w:pPr>
        <w:pStyle w:val="2"/>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制定专项培训计划，定期组织开展复杂申请处置案例研讨，梳理各类复杂诉求的应对流程和标准话术，建立“先研判、再回应”的处置机制，安排业务骨干对复杂申请处置进行全程指导，进一步提升工作人员应对复杂诉求的精准度和规范性。</w:t>
      </w:r>
    </w:p>
    <w:p>
      <w:pPr>
        <w:pStyle w:val="3"/>
        <w:numPr>
          <w:ilvl w:val="0"/>
          <w:numId w:val="0"/>
        </w:numPr>
        <w:spacing w:before="0" w:after="0" w:line="240" w:lineRule="auto"/>
        <w:ind w:firstLine="640" w:firstLineChars="200"/>
        <w:rPr>
          <w:rFonts w:hint="eastAsia" w:ascii="CESI黑体-GB2312" w:hAnsi="CESI黑体-GB2312" w:eastAsia="CESI黑体-GB2312" w:cs="CESI黑体-GB2312"/>
          <w:b w:val="0"/>
          <w:bCs w:val="0"/>
        </w:rPr>
      </w:pPr>
      <w:r>
        <w:rPr>
          <w:rFonts w:hint="eastAsia" w:ascii="CESI黑体-GB2312" w:hAnsi="CESI黑体-GB2312" w:eastAsia="CESI黑体-GB2312" w:cs="CESI黑体-GB2312"/>
          <w:b w:val="0"/>
          <w:bCs w:val="0"/>
          <w:lang w:eastAsia="zh-CN"/>
        </w:rPr>
        <w:t>六、</w:t>
      </w:r>
      <w:r>
        <w:rPr>
          <w:rFonts w:hint="eastAsia" w:ascii="CESI黑体-GB2312" w:hAnsi="CESI黑体-GB2312" w:eastAsia="CESI黑体-GB2312" w:cs="CESI黑体-GB2312"/>
          <w:b w:val="0"/>
          <w:bCs w:val="0"/>
        </w:rPr>
        <w:t>其他需要报告的事项</w:t>
      </w:r>
    </w:p>
    <w:p>
      <w:pPr>
        <w:ind w:firstLine="640"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（一）政府信息公开信息处理费收取情况</w:t>
      </w:r>
    </w:p>
    <w:p>
      <w:pPr>
        <w:ind w:firstLine="640" w:firstLineChars="200"/>
        <w:rPr>
          <w:rFonts w:hint="eastAsia" w:ascii="仿宋_GB2312" w:eastAsia="仿宋_GB2312"/>
          <w:sz w:val="32"/>
          <w:szCs w:val="32"/>
          <w:lang w:eastAsia="zh-CN"/>
        </w:rPr>
      </w:pPr>
      <w:r>
        <w:rPr>
          <w:rFonts w:hint="eastAsia" w:ascii="仿宋_GB2312" w:hAnsi="文星仿宋" w:eastAsia="仿宋_GB2312"/>
          <w:sz w:val="32"/>
          <w:szCs w:val="32"/>
          <w:lang w:eastAsia="zh-CN"/>
        </w:rPr>
        <w:t>认真落实</w:t>
      </w:r>
      <w:r>
        <w:rPr>
          <w:rFonts w:hint="eastAsia" w:ascii="仿宋_GB2312" w:hAnsi="文星仿宋" w:eastAsia="仿宋_GB2312"/>
          <w:sz w:val="32"/>
          <w:szCs w:val="32"/>
        </w:rPr>
        <w:t>《国务院办公厅关于印发&lt;政府信息公开信息处理费管理办法&gt;的通知》（国办函〔2020〕109号）和《山东省人民政府办公厅关于做好政府信息公开信息处理费管理工作有关事项的通知》（鲁政办字〔2020〕179号）规定，</w:t>
      </w:r>
      <w:r>
        <w:rPr>
          <w:rFonts w:hint="eastAsia" w:ascii="仿宋_GB2312" w:eastAsia="仿宋_GB2312"/>
          <w:sz w:val="32"/>
          <w:szCs w:val="32"/>
          <w:lang w:eastAsia="zh-CN"/>
        </w:rPr>
        <w:t>本年度政府信息公开未收取信息处理费。</w:t>
      </w:r>
    </w:p>
    <w:p>
      <w:pPr>
        <w:ind w:firstLine="640"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（二）落实年度政务公开工作要点情况</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2025年，冠县司法局严格落实《冠县人民政府办公室关于2025年政务公开重点工作任务分工的通知》要求，以标准化规范化建设为抓手，统筹推进政务公开与司法行政主责主业深度融合。重点围绕公共法律服务规范提升、法治化营商环境优化、行政执法“三项制度”落实等年度核心工作，细化公开任务清单，明确责任科室与时限要求，精准推送政策信息、工作动态及服务指引。同时，聚焦群众关切的法律援助、人民调解等高频事项，常态化公开办事流程、收费标准、办理进度等信息，确保年度政务公开重点任务落地见效，以公开促落实、促规范、促服务。</w:t>
      </w:r>
    </w:p>
    <w:p>
      <w:pPr>
        <w:ind w:firstLine="640"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（三）人大代表建议和政协提案办理结果公开情况</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2025年共办理人大代表建议5件、政协提案5件，办复率均为100%。严格按照《山东省人民政府办公厅关于做好人大代表建议和政协提案办理结果公开工作的通知》（鲁政办字〔2016〕63号）要求，除涉及国家秘密、工作秘密的，</w:t>
      </w:r>
      <w:r>
        <w:rPr>
          <w:rFonts w:hint="eastAsia" w:ascii="Times New Roman" w:hAnsi="Times New Roman" w:eastAsia="仿宋_GB2312" w:cs="仿宋_GB2312"/>
          <w:sz w:val="32"/>
          <w:szCs w:val="32"/>
        </w:rPr>
        <w:t>所有建议提案办理复文或摘要以及办理总体情况均在</w:t>
      </w:r>
      <w:r>
        <w:rPr>
          <w:rFonts w:hint="eastAsia" w:ascii="仿宋_GB2312" w:eastAsia="仿宋_GB2312"/>
          <w:sz w:val="32"/>
          <w:szCs w:val="32"/>
          <w:lang w:val="en-US" w:eastAsia="zh-CN"/>
        </w:rPr>
        <w:t>冠县人民政府网站“冠县建议提案办理”专栏进行了集中公开。</w:t>
      </w:r>
    </w:p>
    <w:p>
      <w:pPr>
        <w:ind w:firstLine="640"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（四）政务公开工作创新情况</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深化政务公开制度体系，修订专项工作方案，细化公开目录，建立“培训+自查+考核”全链条机制，优化保密审查与依申请公开流程。开展“政务公开开放日”活动，建立企业定制化政策推送机制，畅通政民互动渠道，推动政务公开从“单向发布”向“双向互动”升级。</w:t>
      </w:r>
    </w:p>
    <w:p>
      <w:pPr>
        <w:ind w:firstLine="640"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（五）政府信息公开年度报告数据统计需要说明的事项</w:t>
      </w:r>
    </w:p>
    <w:p>
      <w:pPr>
        <w:shd w:val="clea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w:t>
      </w:r>
      <w:r>
        <w:rPr>
          <w:rFonts w:hint="eastAsia" w:ascii="仿宋_GB2312" w:eastAsia="仿宋_GB2312"/>
          <w:sz w:val="32"/>
          <w:szCs w:val="32"/>
          <w:lang w:eastAsia="zh-CN"/>
        </w:rPr>
        <w:t>本年度报告中所列数据统计期限从</w:t>
      </w:r>
      <w:r>
        <w:rPr>
          <w:rFonts w:hint="eastAsia" w:ascii="仿宋_GB2312" w:eastAsia="仿宋_GB2312"/>
          <w:sz w:val="32"/>
          <w:szCs w:val="32"/>
          <w:lang w:val="en-US" w:eastAsia="zh-CN"/>
        </w:rPr>
        <w:t>2025年1月1日到12月31日止。</w:t>
      </w:r>
    </w:p>
    <w:p>
      <w:pPr>
        <w:pStyle w:val="5"/>
        <w:shd w:val="clear" w:color="auto"/>
        <w:spacing w:beforeAutospacing="0" w:afterAutospacing="0" w:line="600" w:lineRule="exact"/>
        <w:ind w:firstLine="640" w:firstLineChars="200"/>
        <w:jc w:val="both"/>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2.行政许可数量、行政处罚和行政强制数量，包括已公开和依法未公开的全部处理决定。</w:t>
      </w:r>
    </w:p>
    <w:p>
      <w:pPr>
        <w:pStyle w:val="5"/>
        <w:shd w:val="clear" w:color="auto"/>
        <w:spacing w:beforeAutospacing="0" w:afterAutospacing="0" w:line="600" w:lineRule="exact"/>
        <w:ind w:firstLine="640" w:firstLineChars="200"/>
        <w:jc w:val="both"/>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3.行政复议机关作为共同被告的行政诉讼案件，只计算原行为主体的案件数量，不计算行政复议机关的案件数量。</w:t>
      </w:r>
    </w:p>
    <w:bookmarkEnd w:id="0"/>
    <w:p>
      <w:pPr>
        <w:rPr>
          <w:rFonts w:hint="eastAsia" w:ascii="仿宋_GB2312" w:hAnsi="Calibri" w:eastAsia="仿宋_GB2312" w:cs="Times New Roman"/>
          <w:kern w:val="2"/>
          <w:sz w:val="32"/>
          <w:szCs w:val="32"/>
          <w:lang w:val="en-US" w:eastAsia="zh-CN" w:bidi="ar-SA"/>
        </w:rPr>
      </w:pPr>
    </w:p>
    <w:sectPr>
      <w:footerReference r:id="rId3" w:type="default"/>
      <w:pgSz w:w="11906" w:h="16838"/>
      <w:pgMar w:top="2098" w:right="1587" w:bottom="2098" w:left="1587"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auto"/>
    <w:pitch w:val="default"/>
    <w:sig w:usb0="00000000" w:usb1="00000000"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CESI楷体-GB2312">
    <w:panose1 w:val="02000500000000000000"/>
    <w:charset w:val="86"/>
    <w:family w:val="auto"/>
    <w:pitch w:val="default"/>
    <w:sig w:usb0="800002BF" w:usb1="184F6CF8" w:usb2="00000012" w:usb3="00000000" w:csb0="0004000F" w:csb1="00000000"/>
  </w:font>
  <w:font w:name="汉仪中等线简">
    <w:panose1 w:val="02010600000101010101"/>
    <w:charset w:val="86"/>
    <w:family w:val="modern"/>
    <w:pitch w:val="default"/>
    <w:sig w:usb0="00000001" w:usb1="080E0800" w:usb2="00000002" w:usb3="00000000" w:csb0="00040000" w:csb1="00000000"/>
  </w:font>
  <w:font w:name="楷体_GB2312">
    <w:panose1 w:val="02010609030101010101"/>
    <w:charset w:val="86"/>
    <w:family w:val="decorative"/>
    <w:pitch w:val="default"/>
    <w:sig w:usb0="00000001" w:usb1="080E0000" w:usb2="00000000" w:usb3="00000000" w:csb0="00040000" w:csb1="00000000"/>
  </w:font>
  <w:font w:name="楷体">
    <w:altName w:val="方正楷体_GBK"/>
    <w:panose1 w:val="02010609060101010101"/>
    <w:charset w:val="86"/>
    <w:family w:val="decorative"/>
    <w:pitch w:val="default"/>
    <w:sig w:usb0="00000000" w:usb1="00000000" w:usb2="00000016" w:usb3="00000000" w:csb0="00040001" w:csb1="00000000"/>
  </w:font>
  <w:font w:name="文星仿宋">
    <w:altName w:val="方正仿宋_GBK"/>
    <w:panose1 w:val="02010604000101010101"/>
    <w:charset w:val="86"/>
    <w:family w:val="auto"/>
    <w:pitch w:val="default"/>
    <w:sig w:usb0="00000000" w:usb1="00000000" w:usb2="00000000"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方正黑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TBEOMHAIAACkEAAAOAAAAZHJz&#10;L2Uyb0RvYy54bWytU82O0zAQviPxDpbvNGkRu1X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UwRDjBwCAAApBAAADgAAAAAAAAABACAAAAA1AQAAZHJzL2Uyb0RvYy54bWxQSwUG&#10;AAAAAAYABgBZAQAAwwU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479142"/>
    <w:multiLevelType w:val="singleLevel"/>
    <w:tmpl w:val="7147914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420841"/>
    <w:rsid w:val="0B426F54"/>
    <w:rsid w:val="17AE490C"/>
    <w:rsid w:val="18307CB4"/>
    <w:rsid w:val="19990A40"/>
    <w:rsid w:val="252D585B"/>
    <w:rsid w:val="25FB67E3"/>
    <w:rsid w:val="28D65764"/>
    <w:rsid w:val="303D3297"/>
    <w:rsid w:val="43AF5D4B"/>
    <w:rsid w:val="49806945"/>
    <w:rsid w:val="606936F0"/>
    <w:rsid w:val="62B220E2"/>
    <w:rsid w:val="72A0179F"/>
    <w:rsid w:val="73BD8771"/>
    <w:rsid w:val="77D74727"/>
    <w:rsid w:val="7EF1EE89"/>
    <w:rsid w:val="F33F81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next w:val="1"/>
    <w:unhideWhenUsed/>
    <w:qFormat/>
    <w:uiPriority w:val="9"/>
    <w:pPr>
      <w:keepNext/>
      <w:keepLines/>
      <w:widowControl w:val="0"/>
      <w:spacing w:before="260" w:after="260" w:line="416" w:lineRule="auto"/>
      <w:jc w:val="both"/>
      <w:outlineLvl w:val="1"/>
    </w:pPr>
    <w:rPr>
      <w:rFonts w:ascii="Cambria" w:hAnsi="Cambria" w:eastAsia="宋体" w:cs="Times New Roman"/>
      <w:b/>
      <w:bCs/>
      <w:kern w:val="2"/>
      <w:sz w:val="32"/>
      <w:szCs w:val="3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header"/>
    <w:basedOn w:val="1"/>
    <w:next w:val="1"/>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Calibri" w:hAnsi="Calibri" w:eastAsia="宋体" w:cs="Times New Roman"/>
      <w:kern w:val="2"/>
      <w:sz w:val="18"/>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99"/>
    <w:pPr>
      <w:widowControl w:val="0"/>
      <w:spacing w:beforeAutospacing="1" w:afterAutospacing="1"/>
      <w:jc w:val="left"/>
    </w:pPr>
    <w:rPr>
      <w:rFonts w:ascii="Calibri" w:hAnsi="Calibri" w:eastAsia="宋体" w:cs="Times New Roman"/>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冠县司法局2025年通过冠县人民政府网站主动公开发布政府信息数量</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Pt>
            <c:idx val="4"/>
            <c:bubble3D val="false"/>
            <c:spPr>
              <a:solidFill>
                <a:schemeClr val="accent5"/>
              </a:solidFill>
              <a:ln w="19050">
                <a:solidFill>
                  <a:schemeClr val="lt1"/>
                </a:solidFill>
              </a:ln>
              <a:effectLst/>
            </c:spPr>
          </c:dPt>
          <c:dPt>
            <c:idx val="5"/>
            <c:bubble3D val="false"/>
            <c:spPr>
              <a:solidFill>
                <a:schemeClr val="accent6"/>
              </a:solidFill>
              <a:ln w="19050">
                <a:solidFill>
                  <a:schemeClr val="lt1"/>
                </a:solidFill>
              </a:ln>
              <a:effectLst/>
            </c:spPr>
          </c:dPt>
          <c:dPt>
            <c:idx val="6"/>
            <c:bubble3D val="false"/>
            <c:spPr>
              <a:solidFill>
                <a:schemeClr val="accent1">
                  <a:lumMod val="60000"/>
                </a:schemeClr>
              </a:solidFill>
              <a:ln w="19050">
                <a:solidFill>
                  <a:schemeClr val="lt1"/>
                </a:solidFill>
              </a:ln>
              <a:effectLst/>
            </c:spPr>
          </c:dPt>
          <c:dPt>
            <c:idx val="7"/>
            <c:bubble3D val="false"/>
            <c:spPr>
              <a:solidFill>
                <a:schemeClr val="accent2">
                  <a:lumMod val="60000"/>
                </a:schemeClr>
              </a:solidFill>
              <a:ln w="19050">
                <a:solidFill>
                  <a:schemeClr val="lt1"/>
                </a:solidFill>
              </a:ln>
              <a:effectLst/>
            </c:spPr>
          </c:dPt>
          <c:dPt>
            <c:idx val="8"/>
            <c:bubble3D val="false"/>
            <c:spPr>
              <a:solidFill>
                <a:schemeClr val="accent3">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Sheet1!$A$2:$A$10</c:f>
              <c:strCache>
                <c:ptCount val="9"/>
                <c:pt idx="0">
                  <c:v>机构职能相关信息</c:v>
                </c:pt>
                <c:pt idx="1">
                  <c:v>行政执法公示信息</c:v>
                </c:pt>
                <c:pt idx="2">
                  <c:v>公共法律服务领域信息</c:v>
                </c:pt>
                <c:pt idx="3">
                  <c:v>人大建议和政协提案相关信息</c:v>
                </c:pt>
                <c:pt idx="4">
                  <c:v>通知公告</c:v>
                </c:pt>
                <c:pt idx="5">
                  <c:v>财政信息</c:v>
                </c:pt>
                <c:pt idx="6">
                  <c:v>备案信息</c:v>
                </c:pt>
                <c:pt idx="7">
                  <c:v>执法结果信息</c:v>
                </c:pt>
                <c:pt idx="8">
                  <c:v>其他方面信息</c:v>
                </c:pt>
              </c:strCache>
            </c:strRef>
          </c:cat>
          <c:val>
            <c:numRef>
              <c:f>Sheet1!$B$2:$B$10</c:f>
              <c:numCache>
                <c:formatCode>General</c:formatCode>
                <c:ptCount val="9"/>
                <c:pt idx="0">
                  <c:v>7</c:v>
                </c:pt>
                <c:pt idx="1">
                  <c:v>17</c:v>
                </c:pt>
                <c:pt idx="2">
                  <c:v>14</c:v>
                </c:pt>
                <c:pt idx="3">
                  <c:v>11</c:v>
                </c:pt>
                <c:pt idx="4">
                  <c:v>7</c:v>
                </c:pt>
                <c:pt idx="5">
                  <c:v>4</c:v>
                </c:pt>
                <c:pt idx="6">
                  <c:v>4</c:v>
                </c:pt>
                <c:pt idx="7">
                  <c:v>3</c:v>
                </c:pt>
                <c:pt idx="8">
                  <c:v>14</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"冠县司法"微信公众号2025年发布信息数量</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Pt>
            <c:idx val="4"/>
            <c:bubble3D val="false"/>
            <c:spPr>
              <a:solidFill>
                <a:schemeClr val="accent5"/>
              </a:solidFill>
              <a:ln w="19050">
                <a:solidFill>
                  <a:schemeClr val="lt1"/>
                </a:solidFill>
              </a:ln>
              <a:effectLst/>
            </c:spPr>
          </c:dPt>
          <c:dPt>
            <c:idx val="5"/>
            <c:bubble3D val="false"/>
            <c:spPr>
              <a:solidFill>
                <a:schemeClr val="accent6"/>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Sheet1!$A$2:$A$7</c:f>
              <c:strCache>
                <c:ptCount val="6"/>
                <c:pt idx="0">
                  <c:v>公告公示类信息</c:v>
                </c:pt>
                <c:pt idx="1">
                  <c:v>会议会务信息</c:v>
                </c:pt>
                <c:pt idx="2">
                  <c:v>法治宣传类信息</c:v>
                </c:pt>
                <c:pt idx="3">
                  <c:v>人民调解案例信息</c:v>
                </c:pt>
                <c:pt idx="4">
                  <c:v>转发信息</c:v>
                </c:pt>
                <c:pt idx="5">
                  <c:v>工作动态信息</c:v>
                </c:pt>
              </c:strCache>
            </c:strRef>
          </c:cat>
          <c:val>
            <c:numRef>
              <c:f>Sheet1!$B$2:$B$7</c:f>
              <c:numCache>
                <c:formatCode>General</c:formatCode>
                <c:ptCount val="6"/>
                <c:pt idx="0">
                  <c:v>7</c:v>
                </c:pt>
                <c:pt idx="1">
                  <c:v>15</c:v>
                </c:pt>
                <c:pt idx="2">
                  <c:v>89</c:v>
                </c:pt>
                <c:pt idx="3">
                  <c:v>26</c:v>
                </c:pt>
                <c:pt idx="4">
                  <c:v>924</c:v>
                </c:pt>
                <c:pt idx="5">
                  <c:v>58</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2025-11-11T03:10:00Z</dcterms:created>
  <dc:creator>Administrator</dc:creator>
  <cp:lastModifiedBy>user</cp:lastModifiedBy>
  <dcterms:modified xsi:type="dcterms:W3CDTF">2026-01-29T10:50:56Z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