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行政审批服务局2025年</w:t>
      </w:r>
      <w:r>
        <w:rPr>
          <w:rFonts w:hint="eastAsia" w:ascii="CESI小标宋-GB2312" w:hAnsi="CESI小标宋-GB2312" w:eastAsia="CESI小标宋-GB2312" w:cs="CESI小标宋-GB2312"/>
          <w:sz w:val="44"/>
          <w:szCs w:val="44"/>
        </w:rPr>
        <w:t>政府信息公开工作年度报告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w:t>
      </w:r>
      <w:r>
        <w:rPr>
          <w:rFonts w:hint="eastAsia" w:ascii="仿宋_GB2312" w:hAnsi="仿宋_GB2312" w:eastAsia="仿宋_GB2312" w:cs="仿宋_GB2312"/>
          <w:color w:val="auto"/>
          <w:sz w:val="32"/>
          <w:szCs w:val="32"/>
          <w:lang w:eastAsia="zh-CN"/>
        </w:rPr>
        <w:t>冠县行政审批服务局</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武训大道66号（北环路与武训大道交叉路口南200米路东科创综合体最南侧高楼）；邮编：252500；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0635-7022000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gxxzspjbgs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出台《冠县行政审批服务局</w:t>
      </w:r>
      <w:r>
        <w:rPr>
          <w:rFonts w:hint="eastAsia" w:ascii="仿宋_GB2312" w:hAnsi="仿宋_GB2312" w:eastAsia="仿宋_GB2312" w:cs="仿宋_GB2312"/>
          <w:b w:val="0"/>
          <w:bCs w:val="0"/>
          <w:i w:val="0"/>
          <w:iCs w:val="0"/>
          <w:caps w:val="0"/>
          <w:color w:val="000000"/>
          <w:spacing w:val="0"/>
          <w:sz w:val="32"/>
          <w:szCs w:val="32"/>
          <w:lang w:val="en-US" w:eastAsia="zh-CN"/>
        </w:rPr>
        <w:t>2025年政务公开重点工作任务分工</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310条，主要包括行政许可事项、财政预决算、办理结果公示等方面信息。</w:t>
      </w:r>
    </w:p>
    <w:p>
      <w:pPr>
        <w:pStyle w:val="2"/>
        <w:rPr>
          <w:rFonts w:hint="eastAsia"/>
          <w:lang w:val="en-US" w:eastAsia="zh-CN"/>
        </w:rPr>
      </w:pPr>
      <w:r>
        <w:drawing>
          <wp:inline distT="0" distB="0" distL="114300" distR="114300">
            <wp:extent cx="5271770" cy="2910205"/>
            <wp:effectExtent l="0" t="0" r="5080" b="4445"/>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5"/>
                    <a:stretch>
                      <a:fillRect/>
                    </a:stretch>
                  </pic:blipFill>
                  <pic:spPr>
                    <a:xfrm>
                      <a:off x="0" y="0"/>
                      <a:ext cx="5271770" cy="2910205"/>
                    </a:xfrm>
                    <a:prstGeom prst="rect">
                      <a:avLst/>
                    </a:prstGeom>
                    <a:noFill/>
                    <a:ln>
                      <a:noFill/>
                    </a:ln>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ind w:firstLine="640" w:firstLineChars="200"/>
        <w:rPr>
          <w:rFonts w:hint="eastAsia"/>
          <w:lang w:eastAsia="zh-CN"/>
        </w:rPr>
      </w:pPr>
      <w:r>
        <w:rPr>
          <w:rFonts w:hint="eastAsia" w:ascii="仿宋_GB2312" w:eastAsia="仿宋_GB2312"/>
          <w:color w:val="auto"/>
          <w:sz w:val="32"/>
          <w:szCs w:val="32"/>
          <w:lang w:val="en-US" w:eastAsia="zh-CN"/>
        </w:rPr>
        <w:t>2025年，共受理政府信息公开申请5件，与去年持平。</w:t>
      </w:r>
      <w:r>
        <w:rPr>
          <w:rFonts w:hint="eastAsia" w:ascii="仿宋_GB2312" w:eastAsia="仿宋_GB2312"/>
          <w:color w:val="auto"/>
          <w:sz w:val="32"/>
          <w:szCs w:val="32"/>
        </w:rPr>
        <w:t>政府信息公开申请内容主要涉及建设工程规划许可</w:t>
      </w:r>
      <w:r>
        <w:rPr>
          <w:rFonts w:hint="eastAsia" w:ascii="仿宋_GB2312" w:eastAsia="仿宋_GB2312"/>
          <w:color w:val="auto"/>
          <w:sz w:val="32"/>
          <w:szCs w:val="32"/>
          <w:lang w:eastAsia="zh-CN"/>
        </w:rPr>
        <w:t>、建筑工程施工许可</w:t>
      </w:r>
      <w:r>
        <w:rPr>
          <w:rFonts w:hint="default" w:ascii="仿宋_GB2312" w:eastAsia="仿宋_GB2312"/>
          <w:color w:val="auto"/>
          <w:sz w:val="32"/>
          <w:szCs w:val="32"/>
          <w:lang w:val="en-US" w:eastAsia="zh-CN"/>
        </w:rPr>
        <w:t>等方面。</w:t>
      </w:r>
      <w:r>
        <w:rPr>
          <w:rFonts w:hint="eastAsia" w:ascii="Times New Roman" w:hAnsi="Times New Roman" w:eastAsia="仿宋_GB2312" w:cs="仿宋_GB2312"/>
          <w:color w:val="auto"/>
          <w:sz w:val="32"/>
          <w:szCs w:val="32"/>
        </w:rPr>
        <w:t>本年度答复政府信息公开申请</w:t>
      </w:r>
      <w:r>
        <w:rPr>
          <w:rFonts w:hint="eastAsia" w:ascii="仿宋_GB2312" w:eastAsia="仿宋_GB2312"/>
          <w:color w:val="auto"/>
          <w:sz w:val="32"/>
          <w:szCs w:val="32"/>
          <w:lang w:val="en-US" w:eastAsia="zh-CN"/>
        </w:rPr>
        <w:t>5</w:t>
      </w:r>
      <w:r>
        <w:rPr>
          <w:rFonts w:hint="eastAsia" w:ascii="Times New Roman" w:hAnsi="Times New Roman" w:eastAsia="仿宋_GB2312" w:cs="仿宋_GB2312"/>
          <w:color w:val="auto"/>
          <w:sz w:val="32"/>
          <w:szCs w:val="32"/>
        </w:rPr>
        <w:t>件</w:t>
      </w:r>
      <w:r>
        <w:rPr>
          <w:rFonts w:hint="eastAsia" w:ascii="Times New Roman" w:hAnsi="Times New Roman" w:eastAsia="仿宋_GB2312" w:cs="仿宋_GB2312"/>
          <w:color w:val="auto"/>
          <w:sz w:val="32"/>
          <w:szCs w:val="32"/>
          <w:lang w:eastAsia="zh-CN"/>
        </w:rPr>
        <w:t>，</w:t>
      </w:r>
      <w:r>
        <w:rPr>
          <w:rFonts w:hint="eastAsia" w:ascii="仿宋_GB2312" w:eastAsia="仿宋_GB2312" w:cs="汉仪中等线简"/>
          <w:color w:val="000000"/>
          <w:sz w:val="32"/>
          <w:szCs w:val="32"/>
        </w:rPr>
        <w:t>均在法定期限内予以答复</w:t>
      </w:r>
      <w:r>
        <w:rPr>
          <w:rFonts w:hint="eastAsia" w:ascii="Times New Roman" w:hAnsi="Times New Roman" w:eastAsia="仿宋_GB2312" w:cs="仿宋_GB2312"/>
          <w:color w:val="auto"/>
          <w:sz w:val="32"/>
          <w:szCs w:val="32"/>
        </w:rPr>
        <w:t>。在答复的申请中：</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予以公开</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件</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、占20</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%，无法提供</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4</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件</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、占80</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w:t>
      </w:r>
      <w:r>
        <w:rPr>
          <w:rFonts w:hint="eastAsia" w:ascii="仿宋_GB2312" w:eastAsia="仿宋_GB2312" w:cs="汉仪中等线简"/>
          <w:sz w:val="32"/>
          <w:szCs w:val="32"/>
          <w:lang w:eastAsia="zh-CN"/>
        </w:rPr>
        <w:t>全年未发生因政府信息公开被行政复议、提起行政诉讼情况。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全流程制度化管理，信息发布遵循严格的“谁发布、谁审查、谁负责”原则，确保信息权威性与时效性。严格执行政府信息公开保密审查机制，对所有拟公开信息依法依规进行审核与内容把关，保障所公开政府信息合法、准确。</w:t>
      </w:r>
    </w:p>
    <w:p>
      <w:pPr>
        <w:keepNext w:val="0"/>
        <w:keepLines w:val="0"/>
        <w:pageBreakBefore w:val="0"/>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pPr>
        <w:ind w:firstLine="640" w:firstLineChars="200"/>
        <w:rPr>
          <w:rFonts w:hint="eastAsia" w:ascii="仿宋_GB2312" w:eastAsia="仿宋_GB2312"/>
          <w:color w:val="auto"/>
          <w:sz w:val="32"/>
          <w:szCs w:val="32"/>
          <w:lang w:val="en-US" w:eastAsia="zh-CN"/>
        </w:rPr>
      </w:pPr>
      <w:r>
        <w:rPr>
          <w:rFonts w:hint="eastAsia" w:ascii="仿宋_GB2312" w:eastAsia="仿宋_GB2312" w:cs="Times New Roman"/>
          <w:color w:val="auto"/>
          <w:sz w:val="32"/>
          <w:szCs w:val="32"/>
          <w:lang w:val="en-US" w:eastAsia="zh-CN"/>
        </w:rPr>
        <w:t>加强冠县人民政府网站相关栏目的内容管理工作，</w:t>
      </w:r>
      <w:r>
        <w:rPr>
          <w:rFonts w:hint="eastAsia" w:ascii="仿宋_GB2312" w:eastAsia="仿宋_GB2312"/>
          <w:color w:val="auto"/>
          <w:sz w:val="32"/>
          <w:szCs w:val="32"/>
          <w:lang w:val="en-US" w:eastAsia="zh-CN"/>
        </w:rPr>
        <w:t>确保主动公开内容全面、准确、及时。优化政务服务大厅“政务公开专区”建设，提升公众办事体验。</w:t>
      </w:r>
    </w:p>
    <w:p>
      <w:pPr>
        <w:pStyle w:val="2"/>
        <w:rPr>
          <w:rFonts w:hint="eastAsia"/>
          <w:lang w:val="en-US" w:eastAsia="zh-CN"/>
        </w:rPr>
      </w:pPr>
      <w:r>
        <w:rPr>
          <w:rFonts w:hint="eastAsia"/>
          <w:lang w:val="en-US" w:eastAsia="zh-CN"/>
        </w:rPr>
        <w:drawing>
          <wp:inline distT="0" distB="0" distL="114300" distR="114300">
            <wp:extent cx="5267960" cy="3950335"/>
            <wp:effectExtent l="0" t="0" r="8890" b="12065"/>
            <wp:docPr id="3" name="图片 3" descr="1ebd4df1b79817d43925678c499203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1ebd4df1b79817d43925678c49920314"/>
                    <pic:cNvPicPr>
                      <a:picLocks noChangeAspect="true"/>
                    </pic:cNvPicPr>
                  </pic:nvPicPr>
                  <pic:blipFill>
                    <a:blip r:embed="rId6"/>
                    <a:stretch>
                      <a:fillRect/>
                    </a:stretch>
                  </pic:blipFill>
                  <pic:spPr>
                    <a:xfrm>
                      <a:off x="0" y="0"/>
                      <a:ext cx="5267960" cy="3950335"/>
                    </a:xfrm>
                    <a:prstGeom prst="rect">
                      <a:avLst/>
                    </a:prstGeom>
                  </pic:spPr>
                </pic:pic>
              </a:graphicData>
            </a:graphic>
          </wp:inline>
        </w:drawing>
      </w: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持续加强组织领导</w:t>
      </w:r>
      <w:bookmarkStart w:id="11" w:name="_GoBack"/>
      <w:bookmarkEnd w:id="11"/>
      <w:r>
        <w:rPr>
          <w:rFonts w:hint="eastAsia" w:ascii="仿宋_GB2312" w:eastAsia="仿宋_GB2312"/>
          <w:sz w:val="32"/>
          <w:szCs w:val="32"/>
        </w:rPr>
        <w:t>，完善工作机制</w:t>
      </w:r>
      <w:r>
        <w:rPr>
          <w:rFonts w:hint="eastAsia" w:ascii="仿宋_GB2312" w:eastAsia="仿宋_GB2312"/>
          <w:sz w:val="32"/>
          <w:szCs w:val="32"/>
          <w:lang w:eastAsia="zh-CN"/>
        </w:rPr>
        <w:t>，</w:t>
      </w:r>
      <w:r>
        <w:rPr>
          <w:rFonts w:hint="eastAsia" w:ascii="仿宋_GB2312" w:eastAsia="仿宋_GB2312"/>
          <w:sz w:val="32"/>
          <w:szCs w:val="32"/>
          <w:lang w:val="en-US" w:eastAsia="zh-CN"/>
        </w:rPr>
        <w:t>安排</w:t>
      </w:r>
      <w:r>
        <w:rPr>
          <w:rFonts w:hint="eastAsia" w:ascii="仿宋_GB2312" w:eastAsia="仿宋_GB2312"/>
          <w:sz w:val="32"/>
          <w:szCs w:val="32"/>
          <w:lang w:eastAsia="zh-CN"/>
        </w:rPr>
        <w:t>工作人员具体负责政府信息公开的日常组织、协调工作。重点围绕《条例》等法律法规，</w:t>
      </w:r>
      <w:r>
        <w:rPr>
          <w:rFonts w:hint="eastAsia" w:ascii="仿宋_GB2312" w:eastAsia="仿宋_GB2312"/>
          <w:sz w:val="32"/>
          <w:szCs w:val="32"/>
          <w:lang w:val="en-US" w:eastAsia="zh-CN"/>
        </w:rPr>
        <w:t>开展</w:t>
      </w:r>
      <w:r>
        <w:rPr>
          <w:rFonts w:hint="eastAsia" w:ascii="仿宋_GB2312" w:eastAsia="仿宋_GB2312"/>
          <w:sz w:val="32"/>
          <w:szCs w:val="32"/>
          <w:lang w:eastAsia="zh-CN"/>
        </w:rPr>
        <w:t>政务公开业务培训</w:t>
      </w:r>
      <w:r>
        <w:rPr>
          <w:rFonts w:hint="eastAsia" w:ascii="仿宋_GB2312" w:hAnsi="Calibri" w:eastAsia="仿宋_GB2312" w:cs="Times New Roman"/>
          <w:color w:val="auto"/>
          <w:kern w:val="2"/>
          <w:sz w:val="32"/>
          <w:szCs w:val="32"/>
          <w:lang w:val="en-US" w:eastAsia="zh-CN" w:bidi="ar-SA"/>
        </w:rPr>
        <w:t>1次</w:t>
      </w:r>
      <w:r>
        <w:rPr>
          <w:rFonts w:hint="eastAsia" w:ascii="仿宋_GB2312" w:eastAsia="仿宋_GB2312" w:cs="Times New Roman"/>
          <w:color w:val="auto"/>
          <w:kern w:val="2"/>
          <w:sz w:val="32"/>
          <w:szCs w:val="32"/>
          <w:lang w:val="en-US" w:eastAsia="zh-CN" w:bidi="ar-SA"/>
        </w:rPr>
        <w:t>。</w:t>
      </w:r>
    </w:p>
    <w:p>
      <w:pPr>
        <w:pStyle w:val="3"/>
        <w:numPr>
          <w:numId w:val="0"/>
        </w:numPr>
        <w:spacing w:before="0" w:after="0" w:line="240" w:lineRule="auto"/>
        <w:ind w:firstLine="640" w:firstLineChars="200"/>
        <w:rPr>
          <w:rFonts w:hint="eastAsia"/>
        </w:rPr>
      </w:pPr>
      <w:r>
        <w:rPr>
          <w:rFonts w:hint="default" w:ascii="CESI黑体-GB2312" w:hAnsi="CESI黑体-GB2312" w:eastAsia="CESI黑体-GB2312" w:cs="CESI黑体-GB2312"/>
          <w:b w:val="0"/>
          <w:bCs w:val="0"/>
          <w:lang w:val="en"/>
        </w:rPr>
        <w:t>二、</w:t>
      </w:r>
      <w:r>
        <w:rPr>
          <w:rFonts w:hint="eastAsia" w:ascii="CESI黑体-GB2312" w:hAnsi="CESI黑体-GB2312" w:eastAsia="CESI黑体-GB2312" w:cs="CESI黑体-GB2312"/>
          <w:b w:val="0"/>
          <w:bCs w:val="0"/>
        </w:rPr>
        <w:t>主动公开政府信息情况</w:t>
      </w:r>
    </w:p>
    <w:tbl>
      <w:tblPr>
        <w:tblStyle w:val="7"/>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28"/>
        <w:gridCol w:w="2129"/>
        <w:gridCol w:w="2131"/>
        <w:gridCol w:w="2134"/>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4"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49" w:type="pct"/>
            <w:tcBorders>
              <w:top w:val="nil"/>
              <w:left w:val="nil"/>
              <w:bottom w:val="single" w:color="auto" w:sz="4"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4"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4"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49" w:type="pct"/>
            <w:tcBorders>
              <w:top w:val="single" w:color="auto" w:sz="4" w:space="0"/>
              <w:left w:val="single" w:color="auto" w:sz="4" w:space="0"/>
              <w:bottom w:val="single" w:color="auto" w:sz="4"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49" w:type="pct"/>
            <w:tcBorders>
              <w:top w:val="single" w:color="auto" w:sz="4" w:space="0"/>
              <w:left w:val="nil"/>
              <w:bottom w:val="single" w:color="auto" w:sz="4"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single" w:color="auto" w:sz="4" w:space="0"/>
              <w:left w:val="nil"/>
              <w:bottom w:val="single" w:color="auto" w:sz="4"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single" w:color="auto" w:sz="4" w:space="0"/>
              <w:left w:val="nil"/>
              <w:bottom w:val="single" w:color="auto" w:sz="4" w:space="0"/>
              <w:right w:val="single" w:color="auto" w:sz="4"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49" w:type="pct"/>
            <w:tcBorders>
              <w:top w:val="single" w:color="auto" w:sz="4" w:space="0"/>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49" w:type="pct"/>
            <w:tcBorders>
              <w:top w:val="single" w:color="auto" w:sz="4" w:space="0"/>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single" w:color="auto" w:sz="4" w:space="0"/>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single" w:color="auto" w:sz="4" w:space="0"/>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34634</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noWrap w:val="0"/>
            <w:vAlign w:val="center"/>
          </w:tcPr>
          <w:p>
            <w:pPr>
              <w:widowControl/>
              <w:jc w:val="center"/>
              <w:rPr>
                <w:rFonts w:hint="eastAsia" w:ascii="宋体" w:hAnsi="宋体" w:eastAsia="宋体" w:cs="宋体"/>
                <w:i w:val="0"/>
                <w:iCs w:val="0"/>
                <w:color w:val="000000"/>
                <w:kern w:val="2"/>
                <w:sz w:val="22"/>
                <w:szCs w:val="22"/>
                <w:u w:val="none"/>
                <w:lang w:val="en-US" w:eastAsia="zh-CN" w:bidi="ar-SA"/>
              </w:rPr>
            </w:pPr>
            <w:r>
              <w:rPr>
                <w:rFonts w:hint="eastAsia" w:ascii="仿宋_GB2312" w:hAnsi="宋体" w:eastAsia="仿宋_GB2312" w:cs="宋体"/>
                <w:color w:val="000000"/>
                <w:kern w:val="0"/>
                <w:szCs w:val="21"/>
                <w:lang w:val="en-US" w:eastAsia="zh-CN"/>
              </w:rPr>
              <w:t>4058.08058</w:t>
            </w:r>
          </w:p>
        </w:tc>
      </w:tr>
    </w:tbl>
    <w:p>
      <w:pPr>
        <w:numPr>
          <w:ilvl w:val="0"/>
          <w:numId w:val="0"/>
        </w:numPr>
        <w:rPr>
          <w:rFonts w:hint="eastAsia"/>
        </w:rPr>
      </w:pPr>
    </w:p>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2"/>
        <w:ind w:firstLine="640" w:firstLineChars="200"/>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pPr>
        <w:ind w:firstLine="640" w:firstLineChars="200"/>
        <w:rPr>
          <w:rFonts w:hint="default" w:ascii="仿宋_GB2312" w:eastAsia="仿宋_GB2312"/>
          <w:sz w:val="32"/>
          <w:szCs w:val="32"/>
          <w:lang w:val="en" w:eastAsia="zh-CN"/>
        </w:rPr>
      </w:pPr>
      <w:r>
        <w:rPr>
          <w:rFonts w:hint="eastAsia" w:ascii="仿宋_GB2312" w:eastAsia="仿宋_GB2312"/>
          <w:sz w:val="32"/>
          <w:szCs w:val="32"/>
          <w:lang w:val="en-US" w:eastAsia="zh-CN"/>
        </w:rPr>
        <w:t>内容丰富度不足，针对群众关心、社会关注的热点领域内容挖掘不够深入。</w:t>
      </w:r>
    </w:p>
    <w:p>
      <w:pPr>
        <w:pStyle w:val="2"/>
        <w:ind w:firstLine="640" w:firstLineChars="200"/>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pPr>
        <w:ind w:firstLine="640" w:firstLineChars="200"/>
        <w:rPr>
          <w:rFonts w:ascii="仿宋_GB2312" w:eastAsia="仿宋_GB2312"/>
          <w:sz w:val="32"/>
          <w:szCs w:val="32"/>
        </w:rPr>
      </w:pPr>
      <w:r>
        <w:rPr>
          <w:rFonts w:hint="eastAsia" w:ascii="仿宋_GB2312" w:eastAsia="仿宋_GB2312"/>
          <w:sz w:val="32"/>
          <w:szCs w:val="32"/>
          <w:lang w:val="en-US" w:eastAsia="zh-CN"/>
        </w:rPr>
        <w:t>明确公开重点，进一步梳理和优化公开事项清单，将群众关心、社会关注的热点领域作为政务公开核心，确保应公开尽公开。推出“政务小贴士”系列短视频，破解政策“看不懂、记不住”的难题。将复杂政策条款转化为简洁易懂的视频语言，每期视频控制在3分钟内，方便群众反复学习。</w:t>
      </w:r>
    </w:p>
    <w:p>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lang w:eastAsia="zh-CN"/>
        </w:rPr>
        <w:t>根据《冠县人民政府办公室关于202</w:t>
      </w:r>
      <w:r>
        <w:rPr>
          <w:rFonts w:hint="eastAsia" w:ascii="仿宋_GB2312" w:eastAsia="仿宋_GB2312"/>
          <w:sz w:val="32"/>
          <w:szCs w:val="32"/>
          <w:lang w:val="en-US" w:eastAsia="zh-CN"/>
        </w:rPr>
        <w:t>5</w:t>
      </w:r>
      <w:r>
        <w:rPr>
          <w:rFonts w:hint="eastAsia" w:ascii="仿宋_GB2312" w:eastAsia="仿宋_GB2312"/>
          <w:sz w:val="32"/>
          <w:szCs w:val="32"/>
          <w:lang w:eastAsia="zh-CN"/>
        </w:rPr>
        <w:t>年政务公开重点工作任务分工的通知》要求，</w:t>
      </w:r>
      <w:r>
        <w:rPr>
          <w:rFonts w:hint="eastAsia" w:ascii="仿宋_GB2312" w:hAnsi="仿宋_GB2312" w:eastAsia="仿宋_GB2312" w:cs="仿宋_GB2312"/>
          <w:sz w:val="32"/>
          <w:szCs w:val="32"/>
          <w:lang w:val="en-US" w:eastAsia="zh-CN"/>
        </w:rPr>
        <w:t>聚焦</w:t>
      </w:r>
      <w:r>
        <w:rPr>
          <w:rFonts w:hint="eastAsia" w:ascii="仿宋_GB2312" w:hAnsi="仿宋_GB2312" w:eastAsia="仿宋_GB2312" w:cs="仿宋_GB2312"/>
          <w:sz w:val="32"/>
          <w:szCs w:val="32"/>
        </w:rPr>
        <w:t>全县高质量发展大局，以“高效办成一件事”为总牵引，</w:t>
      </w:r>
      <w:r>
        <w:rPr>
          <w:rFonts w:hint="eastAsia" w:ascii="仿宋_GB2312" w:hAnsi="仿宋_GB2312" w:eastAsia="仿宋_GB2312" w:cs="仿宋_GB2312"/>
          <w:sz w:val="32"/>
          <w:szCs w:val="32"/>
          <w:lang w:val="en-US" w:eastAsia="zh-CN"/>
        </w:rPr>
        <w:t>深化</w:t>
      </w:r>
      <w:r>
        <w:rPr>
          <w:rFonts w:hint="eastAsia" w:ascii="仿宋_GB2312" w:hAnsi="仿宋_GB2312" w:eastAsia="仿宋_GB2312" w:cs="仿宋_GB2312"/>
          <w:sz w:val="32"/>
          <w:szCs w:val="32"/>
        </w:rPr>
        <w:t>政务服务标准化、规范化、便利化、智能化</w:t>
      </w:r>
      <w:r>
        <w:rPr>
          <w:rFonts w:hint="eastAsia" w:ascii="仿宋_GB2312" w:hAnsi="仿宋_GB2312" w:eastAsia="仿宋_GB2312" w:cs="仿宋_GB2312"/>
          <w:sz w:val="32"/>
          <w:szCs w:val="32"/>
          <w:lang w:eastAsia="zh-CN"/>
        </w:rPr>
        <w:t>。</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共办理政协提案1件，办复率100%。严格按照《山东省人民政府办公厅关于做好人大代表建议和政协提案办理结果公开工作的通知》（鲁政办字〔2016〕63号）要求，在冠县人民政府网站“冠县建议提案办理”专栏公开。</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pPr>
        <w:ind w:firstLine="640" w:firstLineChars="200"/>
        <w:rPr>
          <w:rFonts w:hint="eastAsia" w:ascii="仿宋_GB2312" w:hAnsi="仿宋_GB2312" w:eastAsia="仿宋_GB2312" w:cs="仿宋_GB2312"/>
          <w:bCs/>
          <w:sz w:val="32"/>
          <w:szCs w:val="32"/>
          <w:lang w:val="en-US" w:eastAsia="zh-CN" w:bidi="ar"/>
        </w:rPr>
      </w:pPr>
      <w:r>
        <w:rPr>
          <w:rFonts w:hint="eastAsia" w:ascii="仿宋_GB2312" w:hAnsi="仿宋_GB2312" w:eastAsia="仿宋_GB2312" w:cs="仿宋_GB2312"/>
          <w:bCs/>
          <w:sz w:val="32"/>
          <w:szCs w:val="32"/>
          <w:lang w:val="en-US" w:eastAsia="zh-CN" w:bidi="ar"/>
        </w:rPr>
        <w:t>市场准入领域创新“一件事”集成服务模式、深化电子证照融合应用、推行“信用+”与便利化登记改革；工程建设领域构建全周期协同管理机制、创新模式提速项目建设、推行定制化“项目管家”服务；政务服务领域拓展主动精准的服务场景、创新方式提升服务温度、持续完善线上服务功能。</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1.本年度报告中所列数据统计期限从202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年1月1日到12月31日止。</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2.行政许可数量、行政处罚和行政强制数量，包括已公开和依法未公开的全部处理决定。</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3.行政复议机关作为共同被告的行政诉讼案件，只计算原行为主体的案件数量，不计算行政复议机关的案件数量。</w:t>
      </w:r>
    </w:p>
    <w:p>
      <w:pPr>
        <w:ind w:firstLine="420" w:firstLineChars="200"/>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汉仪中等线简">
    <w:panose1 w:val="02010600000101010101"/>
    <w:charset w:val="86"/>
    <w:family w:val="modern"/>
    <w:pitch w:val="default"/>
    <w:sig w:usb0="00000001" w:usb1="080E0800" w:usb2="00000002"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文星仿宋">
    <w:altName w:val="方正仿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abstractNum w:abstractNumId="1">
    <w:nsid w:val="71479142"/>
    <w:multiLevelType w:val="singleLevel"/>
    <w:tmpl w:val="714791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A58E4"/>
    <w:rsid w:val="0DBFD120"/>
    <w:rsid w:val="149F70E3"/>
    <w:rsid w:val="17B726A6"/>
    <w:rsid w:val="1CEB78BE"/>
    <w:rsid w:val="1EB27E92"/>
    <w:rsid w:val="273B7D4B"/>
    <w:rsid w:val="28645A02"/>
    <w:rsid w:val="28AA3FD9"/>
    <w:rsid w:val="2A0616E3"/>
    <w:rsid w:val="2F5D92DC"/>
    <w:rsid w:val="34893064"/>
    <w:rsid w:val="37BE184F"/>
    <w:rsid w:val="3D2008B6"/>
    <w:rsid w:val="3D6B3AE9"/>
    <w:rsid w:val="43A005D2"/>
    <w:rsid w:val="4DF26BC6"/>
    <w:rsid w:val="501E0C85"/>
    <w:rsid w:val="513DD22D"/>
    <w:rsid w:val="61C15914"/>
    <w:rsid w:val="6509385A"/>
    <w:rsid w:val="6C6F3A55"/>
    <w:rsid w:val="6E964845"/>
    <w:rsid w:val="713F3528"/>
    <w:rsid w:val="74980757"/>
    <w:rsid w:val="77FF3679"/>
    <w:rsid w:val="7C1B6151"/>
    <w:rsid w:val="7CA659DB"/>
    <w:rsid w:val="7DDE9A28"/>
    <w:rsid w:val="7EFF44F5"/>
    <w:rsid w:val="7F6A3D20"/>
    <w:rsid w:val="A59FE711"/>
    <w:rsid w:val="FD3C7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99"/>
    <w:pPr>
      <w:spacing w:beforeAutospacing="1" w:afterAutospacing="1"/>
      <w:jc w:val="left"/>
    </w:pPr>
    <w:rPr>
      <w:rFonts w:cs="Times New Roman"/>
      <w:kern w:val="0"/>
      <w:sz w:val="24"/>
      <w:szCs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2599</Words>
  <Characters>2760</Characters>
  <Lines>0</Lines>
  <Paragraphs>0</Paragraphs>
  <TotalTime>6</TotalTime>
  <ScaleCrop>false</ScaleCrop>
  <LinksUpToDate>false</LinksUpToDate>
  <CharactersWithSpaces>2760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2026-01-14T02:35:00Z</dcterms:created>
  <dc:creator>Administrator</dc:creator>
  <cp:lastModifiedBy>user</cp:lastModifiedBy>
  <cp:lastPrinted>2026-01-16T07:33:00Z</cp:lastPrinted>
  <dcterms:modified xsi:type="dcterms:W3CDTF">2026-01-29T16:15:29Z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eyJoZGlkIjoiYjk1OWUzN2U0NmVmZmI5MjYxMWM3ZWFjZGFjZTA5NzYiLCJ1c2VySWQiOiIxNjg3Mzg3MDcyIn0=</vt:lpwstr>
  </property>
  <property fmtid="{D5CDD505-2E9C-101B-9397-08002B2CF9AE}" pid="4" name="ICV">
    <vt:lpwstr>CBE958FA577F40079009AC8FA4F61941_13</vt:lpwstr>
  </property>
</Properties>
</file>