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CESI小标宋-GB2312" w:hAnsi="CESI小标宋-GB2312" w:eastAsia="CESI小标宋-GB2312" w:cs="CESI小标宋-GB2312"/>
          <w:b w:val="0"/>
          <w:bCs w:val="0"/>
          <w:sz w:val="44"/>
          <w:szCs w:val="44"/>
          <w:lang w:val="en-US" w:eastAsia="zh-CN"/>
        </w:rPr>
      </w:pPr>
      <w:r>
        <w:rPr>
          <w:rFonts w:hint="eastAsia" w:ascii="CESI小标宋-GB2312" w:hAnsi="CESI小标宋-GB2312" w:eastAsia="CESI小标宋-GB2312" w:cs="CESI小标宋-GB2312"/>
          <w:b w:val="0"/>
          <w:bCs w:val="0"/>
          <w:sz w:val="44"/>
          <w:szCs w:val="44"/>
          <w:lang w:eastAsia="zh-CN"/>
        </w:rPr>
        <w:t>冠县</w:t>
      </w:r>
      <w:r>
        <w:rPr>
          <w:rFonts w:hint="eastAsia" w:ascii="CESI小标宋-GB2312" w:hAnsi="CESI小标宋-GB2312" w:eastAsia="CESI小标宋-GB2312" w:cs="CESI小标宋-GB2312"/>
          <w:b w:val="0"/>
          <w:bCs w:val="0"/>
          <w:sz w:val="44"/>
          <w:szCs w:val="44"/>
          <w:lang w:val="en-US" w:eastAsia="zh-CN"/>
        </w:rPr>
        <w:t>自然资源和规划局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CESI小标宋-GB2312" w:hAnsi="CESI小标宋-GB2312" w:eastAsia="CESI小标宋-GB2312" w:cs="CESI小标宋-GB2312"/>
          <w:b w:val="0"/>
          <w:bCs w:val="0"/>
          <w:sz w:val="44"/>
          <w:szCs w:val="44"/>
        </w:rPr>
      </w:pPr>
      <w:r>
        <w:rPr>
          <w:rFonts w:hint="eastAsia" w:ascii="CESI小标宋-GB2312" w:hAnsi="CESI小标宋-GB2312" w:eastAsia="CESI小标宋-GB2312" w:cs="CESI小标宋-GB2312"/>
          <w:b w:val="0"/>
          <w:bCs w:val="0"/>
          <w:sz w:val="44"/>
          <w:szCs w:val="44"/>
          <w:lang w:val="en-US" w:eastAsia="zh-CN"/>
        </w:rPr>
        <w:t>2025年</w:t>
      </w:r>
      <w:r>
        <w:rPr>
          <w:rFonts w:hint="eastAsia" w:ascii="CESI小标宋-GB2312" w:hAnsi="CESI小标宋-GB2312" w:eastAsia="CESI小标宋-GB2312" w:cs="CESI小标宋-GB2312"/>
          <w:b w:val="0"/>
          <w:bCs w:val="0"/>
          <w:sz w:val="44"/>
          <w:szCs w:val="44"/>
        </w:rPr>
        <w:t>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w:t>
      </w:r>
      <w:bookmarkStart w:id="11" w:name="_GoBack"/>
      <w:r>
        <w:rPr>
          <w:rFonts w:hint="eastAsia" w:ascii="仿宋_GB2312" w:hAnsi="仿宋_GB2312" w:eastAsia="仿宋_GB2312" w:cs="仿宋_GB2312"/>
          <w:color w:val="auto"/>
          <w:sz w:val="32"/>
          <w:szCs w:val="32"/>
        </w:rPr>
        <w:t>（以下简称《条例》）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w:t>
      </w:r>
      <w:bookmarkEnd w:id="11"/>
      <w:r>
        <w:rPr>
          <w:rFonts w:hint="eastAsia" w:ascii="仿宋_GB2312" w:hAnsi="仿宋_GB2312" w:eastAsia="仿宋_GB2312" w:cs="仿宋_GB2312"/>
          <w:sz w:val="32"/>
          <w:szCs w:val="32"/>
        </w:rPr>
        <w:t>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w:t>
      </w:r>
      <w:r>
        <w:rPr>
          <w:rFonts w:hint="eastAsia" w:ascii="仿宋_GB2312" w:hAnsi="仿宋_GB2312" w:eastAsia="仿宋_GB2312" w:cs="仿宋_GB2312"/>
          <w:color w:val="auto"/>
          <w:sz w:val="32"/>
          <w:szCs w:val="32"/>
          <w:lang w:val="en-US" w:eastAsia="zh-CN"/>
        </w:rPr>
        <w:t>自然资源和规划局</w:t>
      </w:r>
      <w:r>
        <w:rPr>
          <w:rFonts w:hint="eastAsia" w:ascii="仿宋_GB2312" w:hAnsi="仿宋_GB2312" w:eastAsia="仿宋_GB2312" w:cs="仿宋_GB2312"/>
          <w:color w:val="auto"/>
          <w:sz w:val="32"/>
          <w:szCs w:val="32"/>
        </w:rPr>
        <w:t>联系（</w:t>
      </w:r>
      <w:r>
        <w:rPr>
          <w:rFonts w:hint="eastAsia" w:ascii="仿宋_GB2312" w:hAnsi="仿宋_GB2312" w:eastAsia="仿宋_GB2312" w:cs="仿宋_GB2312"/>
          <w:color w:val="auto"/>
          <w:sz w:val="32"/>
          <w:szCs w:val="32"/>
          <w:lang w:eastAsia="zh-CN"/>
        </w:rPr>
        <w:t>山东省聊城市冠县</w:t>
      </w:r>
      <w:r>
        <w:rPr>
          <w:rFonts w:hint="eastAsia" w:ascii="仿宋_GB2312" w:hAnsi="仿宋_GB2312" w:eastAsia="仿宋_GB2312" w:cs="仿宋_GB2312"/>
          <w:color w:val="auto"/>
          <w:sz w:val="32"/>
          <w:szCs w:val="32"/>
          <w:lang w:val="en-US" w:eastAsia="zh-CN"/>
        </w:rPr>
        <w:t>冠宜春西路82号；邮编：252500；</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0635-7125625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val="en-US" w:eastAsia="zh-CN"/>
        </w:rPr>
        <w:t>gxgtjbgs</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eastAsia="宋体"/>
          <w:lang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（一）</w:t>
      </w:r>
      <w:r>
        <w:rPr>
          <w:rFonts w:hint="eastAsia" w:ascii="CESI楷体-GB2312" w:hAnsi="CESI楷体-GB2312" w:eastAsia="CESI楷体-GB2312" w:cs="CESI楷体-GB2312"/>
          <w:b/>
          <w:bCs/>
          <w:sz w:val="32"/>
          <w:szCs w:val="32"/>
        </w:rPr>
        <w:t>主动公开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2025年，</w:t>
      </w:r>
      <w:r>
        <w:rPr>
          <w:rFonts w:hint="eastAsia" w:ascii="仿宋_GB2312" w:hAnsi="仿宋_GB2312" w:eastAsia="仿宋_GB2312" w:cs="仿宋_GB2312"/>
          <w:b w:val="0"/>
          <w:bCs w:val="0"/>
          <w:i w:val="0"/>
          <w:iCs w:val="0"/>
          <w:caps w:val="0"/>
          <w:color w:val="000000"/>
          <w:spacing w:val="0"/>
          <w:sz w:val="32"/>
          <w:szCs w:val="32"/>
          <w:lang w:eastAsia="zh-CN"/>
        </w:rPr>
        <w:t>通过冠县人民政府网站主动公开发布政府信息</w:t>
      </w:r>
      <w:r>
        <w:rPr>
          <w:rFonts w:hint="eastAsia" w:ascii="仿宋_GB2312" w:hAnsi="仿宋_GB2312" w:eastAsia="仿宋_GB2312" w:cs="仿宋_GB2312"/>
          <w:b w:val="0"/>
          <w:bCs w:val="0"/>
          <w:i w:val="0"/>
          <w:iCs w:val="0"/>
          <w:caps w:val="0"/>
          <w:color w:val="000000"/>
          <w:spacing w:val="0"/>
          <w:sz w:val="32"/>
          <w:szCs w:val="32"/>
          <w:lang w:val="en-US" w:eastAsia="zh-CN"/>
        </w:rPr>
        <w:t>1317条，主要包括不动产登记、规划计划、行政执法、征地信息等。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drawing>
          <wp:inline distT="0" distB="0" distL="114300" distR="114300">
            <wp:extent cx="5264785" cy="2432050"/>
            <wp:effectExtent l="0" t="0" r="12065" b="6350"/>
            <wp:docPr id="6" name="图片 6" descr="2026-01-27_14-15-0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2026-01-27_14-15-02"/>
                    <pic:cNvPicPr>
                      <a:picLocks noChangeAspect="true"/>
                    </pic:cNvPicPr>
                  </pic:nvPicPr>
                  <pic:blipFill>
                    <a:blip r:embed="rId4"/>
                    <a:stretch>
                      <a:fillRect/>
                    </a:stretch>
                  </pic:blipFill>
                  <pic:spPr>
                    <a:xfrm>
                      <a:off x="0" y="0"/>
                      <a:ext cx="5264785" cy="243205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2025年，收到并答复政府信息公开申请42件，申请数量较去年增长65.3%，答复2024年结转政府信息公开申请1件。</w:t>
      </w:r>
      <w:r>
        <w:rPr>
          <w:rFonts w:hint="eastAsia" w:ascii="仿宋_GB2312" w:eastAsia="仿宋_GB2312"/>
          <w:color w:val="auto"/>
          <w:sz w:val="32"/>
          <w:szCs w:val="32"/>
          <w:highlight w:val="none"/>
        </w:rPr>
        <w:t>政府信息公开申请内容主要涉及</w:t>
      </w:r>
      <w:r>
        <w:rPr>
          <w:rFonts w:hint="default" w:ascii="仿宋_GB2312" w:eastAsia="仿宋_GB2312"/>
          <w:color w:val="auto"/>
          <w:sz w:val="32"/>
          <w:szCs w:val="32"/>
          <w:highlight w:val="none"/>
          <w:lang w:val="en-US" w:eastAsia="zh-CN"/>
        </w:rPr>
        <w:t>土地征收、</w:t>
      </w:r>
      <w:r>
        <w:rPr>
          <w:rFonts w:hint="eastAsia" w:ascii="仿宋_GB2312" w:eastAsia="仿宋_GB2312"/>
          <w:color w:val="auto"/>
          <w:sz w:val="32"/>
          <w:szCs w:val="32"/>
          <w:highlight w:val="none"/>
          <w:lang w:val="en-US" w:eastAsia="zh-CN"/>
        </w:rPr>
        <w:t>土地规划、行政确认、</w:t>
      </w:r>
      <w:r>
        <w:rPr>
          <w:rFonts w:hint="default" w:ascii="仿宋_GB2312" w:eastAsia="仿宋_GB2312"/>
          <w:color w:val="auto"/>
          <w:sz w:val="32"/>
          <w:szCs w:val="32"/>
          <w:highlight w:val="none"/>
          <w:lang w:val="en-US" w:eastAsia="zh-CN"/>
        </w:rPr>
        <w:t>房屋征收补偿</w:t>
      </w:r>
      <w:r>
        <w:rPr>
          <w:rFonts w:hint="eastAsia" w:ascii="仿宋_GB2312" w:eastAsia="仿宋_GB2312"/>
          <w:color w:val="auto"/>
          <w:sz w:val="32"/>
          <w:szCs w:val="32"/>
          <w:highlight w:val="none"/>
          <w:lang w:val="en-US" w:eastAsia="zh-CN"/>
        </w:rPr>
        <w:t>、不动产登记、政府信息公开</w:t>
      </w:r>
      <w:r>
        <w:rPr>
          <w:rFonts w:hint="default" w:ascii="仿宋_GB2312" w:eastAsia="仿宋_GB2312"/>
          <w:color w:val="auto"/>
          <w:sz w:val="32"/>
          <w:szCs w:val="32"/>
          <w:highlight w:val="none"/>
          <w:lang w:val="en-US" w:eastAsia="zh-CN"/>
        </w:rPr>
        <w:t>等方面。</w:t>
      </w:r>
      <w:r>
        <w:rPr>
          <w:rFonts w:hint="eastAsia" w:ascii="Times New Roman" w:hAnsi="Times New Roman" w:eastAsia="仿宋_GB2312" w:cs="仿宋_GB2312"/>
          <w:color w:val="auto"/>
          <w:sz w:val="32"/>
          <w:szCs w:val="32"/>
          <w:highlight w:val="none"/>
        </w:rPr>
        <w:t>本年度答复政府信息公开申请</w:t>
      </w:r>
      <w:r>
        <w:rPr>
          <w:rFonts w:hint="default" w:ascii="仿宋_GB2312" w:eastAsia="仿宋_GB2312"/>
          <w:color w:val="auto"/>
          <w:sz w:val="32"/>
          <w:szCs w:val="32"/>
          <w:highlight w:val="none"/>
          <w:lang w:val="en-US" w:eastAsia="zh-CN"/>
        </w:rPr>
        <w:t>中：予以公开</w:t>
      </w:r>
      <w:r>
        <w:rPr>
          <w:rFonts w:hint="eastAsia" w:ascii="仿宋_GB2312" w:eastAsia="仿宋_GB2312"/>
          <w:color w:val="auto"/>
          <w:sz w:val="32"/>
          <w:szCs w:val="32"/>
          <w:highlight w:val="none"/>
          <w:lang w:val="en-US" w:eastAsia="zh-CN"/>
        </w:rPr>
        <w:t>15</w:t>
      </w:r>
      <w:r>
        <w:rPr>
          <w:rFonts w:hint="default" w:ascii="仿宋_GB2312" w:eastAsia="仿宋_GB2312"/>
          <w:color w:val="auto"/>
          <w:sz w:val="32"/>
          <w:szCs w:val="32"/>
          <w:highlight w:val="none"/>
          <w:lang w:val="en-US" w:eastAsia="zh-CN"/>
        </w:rPr>
        <w:t>件、占</w:t>
      </w:r>
      <w:r>
        <w:rPr>
          <w:rFonts w:hint="eastAsia" w:ascii="仿宋_GB2312" w:eastAsia="仿宋_GB2312"/>
          <w:color w:val="auto"/>
          <w:sz w:val="32"/>
          <w:szCs w:val="32"/>
          <w:highlight w:val="none"/>
          <w:lang w:val="en-US" w:eastAsia="zh-CN"/>
        </w:rPr>
        <w:t>34.88</w:t>
      </w:r>
      <w:r>
        <w:rPr>
          <w:rFonts w:hint="default"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val="en-US" w:eastAsia="zh-CN"/>
        </w:rPr>
        <w:t>；部分公开9件、占20.93%；</w:t>
      </w:r>
      <w:r>
        <w:rPr>
          <w:rFonts w:hint="default" w:ascii="仿宋_GB2312" w:eastAsia="仿宋_GB2312"/>
          <w:color w:val="auto"/>
          <w:sz w:val="32"/>
          <w:szCs w:val="32"/>
          <w:highlight w:val="none"/>
          <w:lang w:val="en-US" w:eastAsia="zh-CN"/>
        </w:rPr>
        <w:t>不予公开部分</w:t>
      </w:r>
      <w:r>
        <w:rPr>
          <w:rFonts w:hint="eastAsia" w:ascii="仿宋_GB2312" w:eastAsia="仿宋_GB2312"/>
          <w:color w:val="auto"/>
          <w:sz w:val="32"/>
          <w:szCs w:val="32"/>
          <w:highlight w:val="none"/>
          <w:lang w:val="en-US" w:eastAsia="zh-CN"/>
        </w:rPr>
        <w:t>4</w:t>
      </w:r>
      <w:r>
        <w:rPr>
          <w:rFonts w:hint="default" w:ascii="仿宋_GB2312" w:eastAsia="仿宋_GB2312"/>
          <w:color w:val="auto"/>
          <w:sz w:val="32"/>
          <w:szCs w:val="32"/>
          <w:highlight w:val="none"/>
          <w:lang w:val="en-US" w:eastAsia="zh-CN"/>
        </w:rPr>
        <w:t>件、占</w:t>
      </w:r>
      <w:r>
        <w:rPr>
          <w:rFonts w:hint="eastAsia" w:ascii="仿宋_GB2312" w:eastAsia="仿宋_GB2312"/>
          <w:color w:val="auto"/>
          <w:sz w:val="32"/>
          <w:szCs w:val="32"/>
          <w:highlight w:val="none"/>
          <w:lang w:val="en-US" w:eastAsia="zh-CN"/>
        </w:rPr>
        <w:t>9.3</w:t>
      </w:r>
      <w:r>
        <w:rPr>
          <w:rFonts w:hint="default"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val="en-US" w:eastAsia="zh-CN"/>
        </w:rPr>
        <w:t>；无法提供6件、</w:t>
      </w:r>
      <w:r>
        <w:rPr>
          <w:rFonts w:hint="default" w:ascii="仿宋_GB2312" w:eastAsia="仿宋_GB2312"/>
          <w:color w:val="auto"/>
          <w:sz w:val="32"/>
          <w:szCs w:val="32"/>
          <w:highlight w:val="none"/>
          <w:lang w:val="en-US" w:eastAsia="zh-CN"/>
        </w:rPr>
        <w:t>占</w:t>
      </w:r>
      <w:r>
        <w:rPr>
          <w:rFonts w:hint="eastAsia" w:ascii="仿宋_GB2312" w:eastAsia="仿宋_GB2312"/>
          <w:color w:val="auto"/>
          <w:sz w:val="32"/>
          <w:szCs w:val="32"/>
          <w:highlight w:val="none"/>
          <w:lang w:val="en-US" w:eastAsia="zh-CN"/>
        </w:rPr>
        <w:t>13.95</w:t>
      </w:r>
      <w:r>
        <w:rPr>
          <w:rFonts w:hint="default"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val="en-US" w:eastAsia="zh-CN"/>
        </w:rPr>
        <w:t>；不予处理1件、占2.33%；其他处理8件、</w:t>
      </w:r>
      <w:r>
        <w:rPr>
          <w:rFonts w:hint="default" w:ascii="仿宋_GB2312" w:eastAsia="仿宋_GB2312"/>
          <w:color w:val="auto"/>
          <w:sz w:val="32"/>
          <w:szCs w:val="32"/>
          <w:highlight w:val="none"/>
          <w:lang w:val="en-US" w:eastAsia="zh-CN"/>
        </w:rPr>
        <w:t>占</w:t>
      </w:r>
      <w:r>
        <w:rPr>
          <w:rFonts w:hint="eastAsia" w:ascii="仿宋_GB2312" w:eastAsia="仿宋_GB2312"/>
          <w:color w:val="auto"/>
          <w:sz w:val="32"/>
          <w:szCs w:val="32"/>
          <w:highlight w:val="none"/>
          <w:lang w:val="en-US" w:eastAsia="zh-CN"/>
        </w:rPr>
        <w:t>18.61</w:t>
      </w:r>
      <w:r>
        <w:rPr>
          <w:rFonts w:hint="default"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val="en-US" w:eastAsia="zh-CN"/>
        </w:rPr>
        <w:t>；</w:t>
      </w:r>
      <w:r>
        <w:rPr>
          <w:rFonts w:hint="default" w:ascii="仿宋_GB2312" w:eastAsia="仿宋_GB2312"/>
          <w:color w:val="auto"/>
          <w:sz w:val="32"/>
          <w:szCs w:val="32"/>
          <w:highlight w:val="none"/>
          <w:lang w:val="en-US" w:eastAsia="zh-CN"/>
        </w:rPr>
        <w:t>信息公开行政复议</w:t>
      </w:r>
      <w:r>
        <w:rPr>
          <w:rFonts w:hint="eastAsia" w:ascii="仿宋_GB2312" w:eastAsia="仿宋_GB2312"/>
          <w:color w:val="auto"/>
          <w:sz w:val="32"/>
          <w:szCs w:val="32"/>
          <w:highlight w:val="none"/>
          <w:lang w:val="en-US" w:eastAsia="zh-CN"/>
        </w:rPr>
        <w:t>2</w:t>
      </w:r>
      <w:r>
        <w:rPr>
          <w:rFonts w:hint="default" w:ascii="仿宋_GB2312" w:eastAsia="仿宋_GB2312"/>
          <w:color w:val="auto"/>
          <w:sz w:val="32"/>
          <w:szCs w:val="32"/>
          <w:highlight w:val="none"/>
          <w:lang w:val="en-US" w:eastAsia="zh-CN"/>
        </w:rPr>
        <w:t>件</w:t>
      </w:r>
      <w:r>
        <w:rPr>
          <w:rFonts w:hint="eastAsia" w:ascii="仿宋_GB2312" w:eastAsia="仿宋_GB2312"/>
          <w:color w:val="auto"/>
          <w:sz w:val="32"/>
          <w:szCs w:val="32"/>
          <w:highlight w:val="none"/>
          <w:lang w:val="en-US" w:eastAsia="zh-CN"/>
        </w:rPr>
        <w:t>，结果维持2件；信息公开行政诉讼0件，结果维持0件。</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drawing>
          <wp:inline distT="0" distB="0" distL="114300" distR="114300">
            <wp:extent cx="5124450" cy="2701290"/>
            <wp:effectExtent l="0" t="0" r="0" b="3810"/>
            <wp:docPr id="11" name="图片 11" descr="2026-01-27_14-37-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2026-01-27_14-37-58"/>
                    <pic:cNvPicPr>
                      <a:picLocks noChangeAspect="true"/>
                    </pic:cNvPicPr>
                  </pic:nvPicPr>
                  <pic:blipFill>
                    <a:blip r:embed="rId5"/>
                    <a:stretch>
                      <a:fillRect/>
                    </a:stretch>
                  </pic:blipFill>
                  <pic:spPr>
                    <a:xfrm>
                      <a:off x="0" y="0"/>
                      <a:ext cx="5124450" cy="2701290"/>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（三）</w:t>
      </w:r>
      <w:r>
        <w:rPr>
          <w:rFonts w:hint="eastAsia" w:ascii="CESI楷体-GB2312" w:hAnsi="CESI楷体-GB2312" w:eastAsia="CESI楷体-GB2312" w:cs="CESI楷体-GB2312"/>
          <w:b/>
          <w:bCs/>
          <w:sz w:val="32"/>
          <w:szCs w:val="32"/>
        </w:rPr>
        <w:t>政府信息管理</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CESI楷体-GB2312" w:hAnsi="CESI楷体-GB2312" w:eastAsia="CESI楷体-GB2312" w:cs="CESI楷体-GB2312"/>
          <w:b/>
          <w:bCs/>
          <w:sz w:val="32"/>
          <w:szCs w:val="32"/>
        </w:rPr>
      </w:pPr>
      <w:r>
        <w:rPr>
          <w:rFonts w:hint="eastAsia" w:ascii="仿宋_GB2312" w:eastAsia="仿宋_GB2312"/>
          <w:sz w:val="32"/>
          <w:szCs w:val="32"/>
          <w:lang w:eastAsia="zh-CN"/>
        </w:rPr>
        <w:t>健全主动公开体系，提升信息发布质效持续完善主动公开事项目录，建立已公开信息安全检查机制，定期清理不当公开的各类信息。规</w:t>
      </w:r>
      <w:r>
        <w:rPr>
          <w:rFonts w:hint="eastAsia" w:ascii="仿宋_GB2312" w:hAnsi="文星仿宋" w:eastAsia="仿宋_GB2312"/>
          <w:sz w:val="32"/>
          <w:szCs w:val="32"/>
          <w:lang w:eastAsia="zh-CN"/>
        </w:rPr>
        <w:t>范依申请公开全流程办理，保障群众合法权益。在申请受理、审核、答复、送达、归档等各环节,明确具体责任及工作要求,做好便民解答、指引和服务,着力提高依申请公开办理工作人员的专业能力和业务水平。</w:t>
      </w:r>
      <w:r>
        <w:rPr>
          <w:rFonts w:hint="eastAsia" w:ascii="仿宋_GB2312" w:eastAsia="仿宋_GB2312"/>
          <w:sz w:val="32"/>
          <w:szCs w:val="32"/>
          <w:lang w:eastAsia="zh-CN"/>
        </w:rPr>
        <w:t>运用好依申请公开平台，</w:t>
      </w:r>
      <w:r>
        <w:rPr>
          <w:rFonts w:hint="eastAsia" w:ascii="仿宋_GB2312" w:hAnsi="文星仿宋" w:eastAsia="仿宋_GB2312"/>
          <w:sz w:val="32"/>
          <w:szCs w:val="32"/>
          <w:lang w:eastAsia="zh-CN"/>
        </w:rPr>
        <w:t>对影响面广、敏感度高的申请,做到早了解、早研究、慎处理、慎答复</w:t>
      </w:r>
      <w:r>
        <w:rPr>
          <w:rFonts w:hint="eastAsia" w:ascii="仿宋_GB2312" w:eastAsia="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（四）</w:t>
      </w:r>
      <w:r>
        <w:rPr>
          <w:rFonts w:hint="eastAsia" w:ascii="CESI楷体-GB2312" w:hAnsi="CESI楷体-GB2312" w:eastAsia="CESI楷体-GB2312" w:cs="CESI楷体-GB2312"/>
          <w:b/>
          <w:bCs/>
          <w:sz w:val="32"/>
          <w:szCs w:val="32"/>
        </w:rPr>
        <w:t>政府信息公开平台建设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 w:val="0"/>
          <w:bCs w:val="0"/>
          <w:color w:val="auto"/>
          <w:sz w:val="32"/>
          <w:szCs w:val="32"/>
          <w:shd w:val="clear" w:color="auto" w:fill="FFFFFF"/>
          <w:lang w:val="en-US" w:eastAsia="zh-CN"/>
        </w:rPr>
      </w:pPr>
      <w:r>
        <w:rPr>
          <w:rFonts w:hint="eastAsia" w:ascii="仿宋_GB2312" w:hAnsi="仿宋_GB2312" w:eastAsia="仿宋_GB2312" w:cs="仿宋_GB2312"/>
          <w:sz w:val="32"/>
          <w:szCs w:val="32"/>
          <w:lang w:val="en-US" w:eastAsia="zh-CN"/>
        </w:rPr>
        <w:t>充分发挥冠县人民政府网站作用，集中发布自然资源领域政府信息。优化政务公开专区建设，在政务服务大厅设置“综合受理区、自助办理区、帮办代办区、等候休息区”四大功能分区，采用“一窗通办”模式，1个窗口即可办理登记、缴费、领证全流程，依托自助查询机、电子证照打印机实现“30 秒查询不动产信息”。</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eastAsia="仿宋_GB2312" w:cs="Times New Roman"/>
          <w:b/>
          <w:bCs/>
          <w:color w:val="auto"/>
          <w:sz w:val="32"/>
          <w:szCs w:val="32"/>
          <w:shd w:val="clear" w:color="auto" w:fill="FFFFFF"/>
          <w:lang w:val="en-US" w:eastAsia="zh-CN"/>
        </w:rPr>
      </w:pPr>
      <w:r>
        <w:rPr>
          <w:rFonts w:hint="eastAsia" w:ascii="仿宋_GB2312" w:eastAsia="仿宋_GB2312" w:cs="Times New Roman"/>
          <w:b/>
          <w:bCs/>
          <w:color w:val="auto"/>
          <w:sz w:val="32"/>
          <w:szCs w:val="32"/>
          <w:shd w:val="clear" w:color="auto" w:fill="FFFFFF"/>
          <w:lang w:val="en-US" w:eastAsia="zh-CN"/>
        </w:rPr>
        <w:drawing>
          <wp:inline distT="0" distB="0" distL="114300" distR="114300">
            <wp:extent cx="5266690" cy="3336925"/>
            <wp:effectExtent l="0" t="0" r="10160" b="15875"/>
            <wp:docPr id="12" name="图片 12" descr="图片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图片2"/>
                    <pic:cNvPicPr>
                      <a:picLocks noChangeAspect="true"/>
                    </pic:cNvPicPr>
                  </pic:nvPicPr>
                  <pic:blipFill>
                    <a:blip r:embed="rId6"/>
                    <a:stretch>
                      <a:fillRect/>
                    </a:stretch>
                  </pic:blipFill>
                  <pic:spPr>
                    <a:xfrm>
                      <a:off x="0" y="0"/>
                      <a:ext cx="5266690" cy="33369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（五）</w:t>
      </w:r>
      <w:r>
        <w:rPr>
          <w:rFonts w:hint="eastAsia" w:ascii="CESI楷体-GB2312" w:hAnsi="CESI楷体-GB2312" w:eastAsia="CESI楷体-GB2312" w:cs="CESI楷体-GB2312"/>
          <w:b/>
          <w:bCs/>
          <w:sz w:val="32"/>
          <w:szCs w:val="32"/>
        </w:rPr>
        <w:t>监督保障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CESI楷体-GB2312" w:hAnsi="CESI楷体-GB2312" w:eastAsia="CESI楷体-GB2312" w:cs="CESI楷体-GB2312"/>
          <w:b/>
          <w:bCs/>
          <w:sz w:val="32"/>
          <w:szCs w:val="32"/>
          <w:lang w:val="en-US" w:eastAsia="zh-CN"/>
        </w:rPr>
      </w:pPr>
      <w:r>
        <w:rPr>
          <w:rFonts w:hint="eastAsia" w:ascii="仿宋_GB2312" w:eastAsia="仿宋_GB2312"/>
          <w:sz w:val="32"/>
          <w:szCs w:val="32"/>
        </w:rPr>
        <w:t>持续加强组织领导，完善工作机制</w:t>
      </w:r>
      <w:r>
        <w:rPr>
          <w:rFonts w:hint="eastAsia" w:ascii="仿宋_GB2312" w:eastAsia="仿宋_GB2312"/>
          <w:sz w:val="32"/>
          <w:szCs w:val="32"/>
          <w:lang w:eastAsia="zh-CN"/>
        </w:rPr>
        <w:t>，重点围绕《中华人民共和国政府信息公开条例》等法律法规，</w:t>
      </w:r>
      <w:r>
        <w:rPr>
          <w:rFonts w:hint="eastAsia" w:ascii="仿宋_GB2312" w:eastAsia="仿宋_GB2312"/>
          <w:sz w:val="32"/>
          <w:szCs w:val="32"/>
          <w:lang w:val="en-US" w:eastAsia="zh-CN"/>
        </w:rPr>
        <w:t>定期开展业务培训，提高各业务科室政府信息主动公开和依申请公开协调处理能力</w:t>
      </w:r>
      <w:r>
        <w:rPr>
          <w:rFonts w:hint="eastAsia" w:ascii="仿宋_GB2312" w:eastAsia="仿宋_GB2312" w:cs="Times New Roman"/>
          <w:color w:val="auto"/>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CESI黑体-GB2312" w:hAnsi="CESI黑体-GB2312" w:eastAsia="CESI黑体-GB2312" w:cs="CESI黑体-GB2312"/>
          <w:b w:val="0"/>
          <w:bCs w:val="0"/>
          <w:sz w:val="32"/>
          <w:szCs w:val="32"/>
          <w:lang w:eastAsia="zh-CN"/>
        </w:rPr>
      </w:pPr>
      <w:r>
        <w:rPr>
          <w:rFonts w:hint="eastAsia" w:ascii="CESI黑体-GB2312" w:hAnsi="CESI黑体-GB2312" w:eastAsia="CESI黑体-GB2312" w:cs="CESI黑体-GB2312"/>
          <w:b w:val="0"/>
          <w:bCs w:val="0"/>
          <w:sz w:val="32"/>
          <w:szCs w:val="32"/>
          <w:lang w:eastAsia="zh-CN"/>
        </w:rPr>
        <w:t>二、主动公开政府信息情况</w:t>
      </w:r>
    </w:p>
    <w:tbl>
      <w:tblPr>
        <w:tblStyle w:val="6"/>
        <w:tblpPr w:leftFromText="180" w:rightFromText="180" w:vertAnchor="text" w:horzAnchor="page" w:tblpXSpec="center" w:tblpY="596"/>
        <w:tblOverlap w:val="never"/>
        <w:tblW w:w="5104" w:type="pct"/>
        <w:jc w:val="center"/>
        <w:tblLayout w:type="autofit"/>
        <w:tblCellMar>
          <w:top w:w="0" w:type="dxa"/>
          <w:left w:w="108" w:type="dxa"/>
          <w:bottom w:w="0" w:type="dxa"/>
          <w:right w:w="108" w:type="dxa"/>
        </w:tblCellMar>
      </w:tblPr>
      <w:tblGrid>
        <w:gridCol w:w="2173"/>
        <w:gridCol w:w="2173"/>
        <w:gridCol w:w="2175"/>
        <w:gridCol w:w="2178"/>
      </w:tblGrid>
      <w:tr>
        <w:tblPrEx>
          <w:tblCellMar>
            <w:top w:w="0" w:type="dxa"/>
            <w:left w:w="108" w:type="dxa"/>
            <w:bottom w:w="0" w:type="dxa"/>
            <w:right w:w="108" w:type="dxa"/>
          </w:tblCellMar>
        </w:tblPrEx>
        <w:trPr>
          <w:trHeight w:val="60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60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1"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60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1" w:type="pct"/>
            <w:tcBorders>
              <w:top w:val="nil"/>
              <w:left w:val="nil"/>
              <w:bottom w:val="single" w:color="auto" w:sz="8" w:space="0"/>
              <w:right w:val="single" w:color="auto"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60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1"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60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60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60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2</w:t>
            </w:r>
          </w:p>
        </w:tc>
      </w:tr>
      <w:tr>
        <w:tblPrEx>
          <w:tblCellMar>
            <w:top w:w="0" w:type="dxa"/>
            <w:left w:w="108" w:type="dxa"/>
            <w:bottom w:w="0" w:type="dxa"/>
            <w:right w:w="108" w:type="dxa"/>
          </w:tblCellMar>
        </w:tblPrEx>
        <w:trPr>
          <w:trHeight w:val="60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60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60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60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60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60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627" w:hRule="atLeast"/>
          <w:jc w:val="center"/>
        </w:trPr>
        <w:tc>
          <w:tcPr>
            <w:tcW w:w="1249"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124.</w:t>
            </w:r>
            <w:r>
              <w:rPr>
                <w:rFonts w:hint="eastAsia" w:ascii="仿宋_GB2312" w:eastAsia="仿宋_GB2312" w:cs="Calibri"/>
                <w:color w:val="000000"/>
                <w:kern w:val="0"/>
                <w:szCs w:val="21"/>
                <w:lang w:val="en-US" w:eastAsia="zh-CN"/>
              </w:rPr>
              <w:t>6341</w:t>
            </w:r>
          </w:p>
        </w:tc>
      </w:tr>
    </w:tbl>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1"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5093" w:type="dxa"/>
            <w:gridSpan w:val="3"/>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pPr>
              <w:widowControl/>
              <w:jc w:val="center"/>
              <w:rPr>
                <w:rFonts w:hint="default"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37</w:t>
            </w:r>
          </w:p>
        </w:tc>
        <w:tc>
          <w:tcPr>
            <w:tcW w:w="567" w:type="dxa"/>
            <w:noWrap w:val="0"/>
            <w:tcMar>
              <w:left w:w="108" w:type="dxa"/>
              <w:right w:w="108" w:type="dxa"/>
            </w:tcMar>
            <w:vAlign w:val="center"/>
          </w:tcPr>
          <w:p>
            <w:pPr>
              <w:widowControl/>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3</w:t>
            </w:r>
          </w:p>
        </w:tc>
        <w:tc>
          <w:tcPr>
            <w:tcW w:w="567" w:type="dxa"/>
            <w:noWrap w:val="0"/>
            <w:tcMar>
              <w:left w:w="108" w:type="dxa"/>
              <w:right w:w="108" w:type="dxa"/>
            </w:tcMar>
            <w:vAlign w:val="center"/>
          </w:tcPr>
          <w:p>
            <w:pPr>
              <w:widowControl/>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2</w:t>
            </w:r>
          </w:p>
        </w:tc>
        <w:tc>
          <w:tcPr>
            <w:tcW w:w="851" w:type="dxa"/>
            <w:noWrap w:val="0"/>
            <w:tcMar>
              <w:left w:w="108" w:type="dxa"/>
              <w:right w:w="108" w:type="dxa"/>
            </w:tcMar>
            <w:vAlign w:val="center"/>
          </w:tcPr>
          <w:p>
            <w:pPr>
              <w:widowControl/>
              <w:jc w:val="center"/>
              <w:rPr>
                <w:rFonts w:hint="default"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42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5093" w:type="dxa"/>
            <w:gridSpan w:val="3"/>
            <w:noWrap w:val="0"/>
            <w:tcMar>
              <w:left w:w="108" w:type="dxa"/>
              <w:right w:w="108" w:type="dxa"/>
            </w:tcMar>
            <w:vAlign w:val="center"/>
          </w:tcPr>
          <w:p>
            <w:pPr>
              <w:widowControl/>
              <w:jc w:val="center"/>
              <w:rPr>
                <w:rFonts w:hint="eastAsia" w:ascii="黑体" w:hAnsi="黑体" w:eastAsia="黑体" w:cs="Times New Roman"/>
                <w:kern w:val="0"/>
                <w:szCs w:val="21"/>
              </w:rPr>
            </w:pPr>
            <w:r>
              <w:rPr>
                <w:rFonts w:hint="eastAsia" w:ascii="黑体" w:hAnsi="黑体" w:eastAsia="黑体" w:cs="Times New Roman"/>
                <w:kern w:val="0"/>
                <w:szCs w:val="21"/>
              </w:rPr>
              <w:t>二、上年结转政府信息公开申请数量</w:t>
            </w:r>
          </w:p>
        </w:tc>
        <w:tc>
          <w:tcPr>
            <w:tcW w:w="829" w:type="dxa"/>
            <w:noWrap w:val="0"/>
            <w:tcMar>
              <w:left w:w="108" w:type="dxa"/>
              <w:right w:w="108" w:type="dxa"/>
            </w:tcMar>
            <w:vAlign w:val="center"/>
          </w:tcPr>
          <w:p>
            <w:pPr>
              <w:widowControl/>
              <w:jc w:val="center"/>
              <w:rPr>
                <w:rFonts w:hint="default"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1</w:t>
            </w:r>
          </w:p>
        </w:tc>
        <w:tc>
          <w:tcPr>
            <w:tcW w:w="567" w:type="dxa"/>
            <w:noWrap w:val="0"/>
            <w:tcMar>
              <w:left w:w="108" w:type="dxa"/>
              <w:right w:w="108" w:type="dxa"/>
            </w:tcMar>
            <w:vAlign w:val="center"/>
          </w:tcPr>
          <w:p>
            <w:pPr>
              <w:widowControl/>
              <w:jc w:val="center"/>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0</w:t>
            </w:r>
          </w:p>
        </w:tc>
        <w:tc>
          <w:tcPr>
            <w:tcW w:w="567" w:type="dxa"/>
            <w:noWrap w:val="0"/>
            <w:tcMar>
              <w:left w:w="108" w:type="dxa"/>
              <w:right w:w="108" w:type="dxa"/>
            </w:tcMar>
            <w:vAlign w:val="center"/>
          </w:tcPr>
          <w:p>
            <w:pPr>
              <w:widowControl/>
              <w:jc w:val="center"/>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0</w:t>
            </w:r>
          </w:p>
        </w:tc>
        <w:tc>
          <w:tcPr>
            <w:tcW w:w="731" w:type="dxa"/>
            <w:noWrap w:val="0"/>
            <w:tcMar>
              <w:left w:w="108" w:type="dxa"/>
              <w:right w:w="108" w:type="dxa"/>
            </w:tcMar>
            <w:vAlign w:val="center"/>
          </w:tcPr>
          <w:p>
            <w:pPr>
              <w:widowControl/>
              <w:jc w:val="center"/>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0</w:t>
            </w:r>
          </w:p>
        </w:tc>
        <w:tc>
          <w:tcPr>
            <w:tcW w:w="708" w:type="dxa"/>
            <w:noWrap w:val="0"/>
            <w:tcMar>
              <w:left w:w="108" w:type="dxa"/>
              <w:right w:w="108" w:type="dxa"/>
            </w:tcMar>
            <w:vAlign w:val="center"/>
          </w:tcPr>
          <w:p>
            <w:pPr>
              <w:widowControl/>
              <w:jc w:val="center"/>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0</w:t>
            </w:r>
          </w:p>
        </w:tc>
        <w:tc>
          <w:tcPr>
            <w:tcW w:w="567" w:type="dxa"/>
            <w:noWrap w:val="0"/>
            <w:tcMar>
              <w:left w:w="108" w:type="dxa"/>
              <w:right w:w="108" w:type="dxa"/>
            </w:tcMar>
            <w:vAlign w:val="center"/>
          </w:tcPr>
          <w:p>
            <w:pPr>
              <w:widowControl/>
              <w:jc w:val="center"/>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0</w:t>
            </w:r>
          </w:p>
        </w:tc>
        <w:tc>
          <w:tcPr>
            <w:tcW w:w="851" w:type="dxa"/>
            <w:noWrap w:val="0"/>
            <w:tcMar>
              <w:left w:w="108" w:type="dxa"/>
              <w:right w:w="108" w:type="dxa"/>
            </w:tcMar>
            <w:vAlign w:val="center"/>
          </w:tcPr>
          <w:p>
            <w:pPr>
              <w:widowControl/>
              <w:jc w:val="center"/>
              <w:rPr>
                <w:rFonts w:hint="default"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416" w:type="dxa"/>
            <w:vMerge w:val="restart"/>
            <w:noWrap w:val="0"/>
            <w:tcMar>
              <w:left w:w="108" w:type="dxa"/>
              <w:right w:w="108" w:type="dxa"/>
            </w:tcMar>
            <w:vAlign w:val="center"/>
          </w:tcPr>
          <w:p>
            <w:pPr>
              <w:widowControl/>
              <w:spacing w:after="180"/>
              <w:jc w:val="center"/>
              <w:rPr>
                <w:rFonts w:ascii="黑体" w:hAnsi="黑体" w:eastAsia="黑体"/>
                <w:szCs w:val="21"/>
              </w:rPr>
            </w:pPr>
            <w:r>
              <w:rPr>
                <w:rFonts w:hint="eastAsia" w:ascii="黑体" w:hAnsi="黑体" w:eastAsia="黑体" w:cs="Times New Roman"/>
                <w:kern w:val="0"/>
                <w:szCs w:val="21"/>
              </w:rPr>
              <w:t>三</w:t>
            </w:r>
            <w:r>
              <w:rPr>
                <w:rFonts w:hint="eastAsia" w:ascii="黑体" w:hAnsi="黑体" w:eastAsia="黑体"/>
                <w:kern w:val="0"/>
                <w:szCs w:val="21"/>
              </w:rPr>
              <w:t>、本年度办理结果</w:t>
            </w:r>
          </w:p>
        </w:tc>
        <w:tc>
          <w:tcPr>
            <w:tcW w:w="4677" w:type="dxa"/>
            <w:gridSpan w:val="2"/>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widowControl/>
              <w:spacing w:after="180"/>
              <w:jc w:val="center"/>
              <w:rPr>
                <w:rFonts w:hint="default" w:ascii="仿宋_GB2312" w:hAnsi="仿宋_GB2312" w:eastAsia="仿宋_GB2312" w:cs="仿宋_GB2312"/>
                <w:color w:val="auto"/>
                <w:szCs w:val="21"/>
                <w:lang w:val="en-US"/>
              </w:rPr>
            </w:pPr>
            <w:r>
              <w:rPr>
                <w:rFonts w:hint="eastAsia" w:ascii="仿宋_GB2312" w:hAnsi="仿宋_GB2312" w:eastAsia="仿宋_GB2312" w:cs="仿宋_GB2312"/>
                <w:color w:val="auto"/>
                <w:szCs w:val="21"/>
                <w:lang w:val="en-US" w:eastAsia="zh-CN"/>
              </w:rPr>
              <w:t>12</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2</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w:t>
            </w:r>
          </w:p>
        </w:tc>
        <w:tc>
          <w:tcPr>
            <w:tcW w:w="851" w:type="dxa"/>
            <w:noWrap w:val="0"/>
            <w:tcMar>
              <w:left w:w="108" w:type="dxa"/>
              <w:right w:w="108" w:type="dxa"/>
            </w:tcMar>
            <w:vAlign w:val="center"/>
          </w:tcPr>
          <w:p>
            <w:pPr>
              <w:widowControl/>
              <w:spacing w:after="180"/>
              <w:jc w:val="center"/>
              <w:rPr>
                <w:rFonts w:hint="default"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4677" w:type="dxa"/>
            <w:gridSpan w:val="2"/>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9</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jc w:val="center"/>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3</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jc w:val="center"/>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6</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jc w:val="center"/>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9"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200" w:lineRule="exact"/>
              <w:jc w:val="center"/>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spacing w:line="200" w:lineRule="exact"/>
              <w:jc w:val="center"/>
              <w:rPr>
                <w:rFonts w:ascii="黑体" w:hAnsi="黑体" w:eastAsia="黑体"/>
                <w:szCs w:val="21"/>
              </w:rPr>
            </w:pPr>
          </w:p>
        </w:tc>
        <w:tc>
          <w:tcPr>
            <w:tcW w:w="2976" w:type="dxa"/>
            <w:noWrap w:val="0"/>
            <w:tcMar>
              <w:left w:w="108" w:type="dxa"/>
              <w:right w:w="108" w:type="dxa"/>
            </w:tcMar>
            <w:vAlign w:val="center"/>
          </w:tcPr>
          <w:p>
            <w:pPr>
              <w:widowControl/>
              <w:spacing w:line="300" w:lineRule="exact"/>
              <w:jc w:val="center"/>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restart"/>
            <w:noWrap w:val="0"/>
            <w:tcMar>
              <w:left w:w="108" w:type="dxa"/>
              <w:right w:w="108" w:type="dxa"/>
            </w:tcMar>
            <w:vAlign w:val="center"/>
          </w:tcPr>
          <w:p>
            <w:pPr>
              <w:widowControl/>
              <w:spacing w:line="300" w:lineRule="exact"/>
              <w:jc w:val="center"/>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widowControl/>
              <w:spacing w:line="300" w:lineRule="exact"/>
              <w:jc w:val="center"/>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jc w:val="center"/>
              <w:rPr>
                <w:rFonts w:ascii="黑体" w:hAnsi="黑体" w:eastAsia="黑体"/>
                <w:kern w:val="0"/>
                <w:szCs w:val="21"/>
              </w:rPr>
            </w:pPr>
          </w:p>
        </w:tc>
        <w:tc>
          <w:tcPr>
            <w:tcW w:w="2976" w:type="dxa"/>
            <w:noWrap w:val="0"/>
            <w:vAlign w:val="center"/>
          </w:tcPr>
          <w:p>
            <w:pPr>
              <w:widowControl/>
              <w:spacing w:line="300" w:lineRule="exact"/>
              <w:jc w:val="center"/>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jc w:val="center"/>
              <w:rPr>
                <w:rFonts w:ascii="黑体" w:hAnsi="黑体" w:eastAsia="黑体"/>
                <w:kern w:val="0"/>
                <w:szCs w:val="21"/>
              </w:rPr>
            </w:pPr>
          </w:p>
        </w:tc>
        <w:tc>
          <w:tcPr>
            <w:tcW w:w="2976" w:type="dxa"/>
            <w:noWrap w:val="0"/>
            <w:vAlign w:val="center"/>
          </w:tcPr>
          <w:p>
            <w:pPr>
              <w:widowControl/>
              <w:spacing w:line="300" w:lineRule="exact"/>
              <w:jc w:val="center"/>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7</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1</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416" w:type="dxa"/>
            <w:vMerge w:val="continue"/>
            <w:noWrap w:val="0"/>
            <w:tcMar>
              <w:left w:w="108" w:type="dxa"/>
              <w:right w:w="108" w:type="dxa"/>
            </w:tcMar>
            <w:vAlign w:val="center"/>
          </w:tcPr>
          <w:p>
            <w:pPr>
              <w:jc w:val="cente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jc w:val="center"/>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widowControl/>
              <w:spacing w:after="180" w:line="200" w:lineRule="exact"/>
              <w:jc w:val="center"/>
              <w:rPr>
                <w:rFonts w:hint="default"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38</w:t>
            </w:r>
          </w:p>
        </w:tc>
        <w:tc>
          <w:tcPr>
            <w:tcW w:w="567" w:type="dxa"/>
            <w:noWrap w:val="0"/>
            <w:tcMar>
              <w:left w:w="108" w:type="dxa"/>
              <w:right w:w="108" w:type="dxa"/>
            </w:tcMar>
            <w:vAlign w:val="center"/>
          </w:tcPr>
          <w:p>
            <w:pPr>
              <w:widowControl/>
              <w:spacing w:after="180" w:line="200" w:lineRule="exact"/>
              <w:jc w:val="both"/>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3</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2</w:t>
            </w:r>
          </w:p>
        </w:tc>
        <w:tc>
          <w:tcPr>
            <w:tcW w:w="851" w:type="dxa"/>
            <w:noWrap w:val="0"/>
            <w:tcMar>
              <w:left w:w="108" w:type="dxa"/>
              <w:right w:w="108" w:type="dxa"/>
            </w:tcMar>
            <w:vAlign w:val="center"/>
          </w:tcPr>
          <w:p>
            <w:pPr>
              <w:widowControl/>
              <w:spacing w:after="180"/>
              <w:jc w:val="center"/>
              <w:rPr>
                <w:rFonts w:hint="default"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5093" w:type="dxa"/>
            <w:gridSpan w:val="3"/>
            <w:noWrap w:val="0"/>
            <w:tcMar>
              <w:left w:w="108" w:type="dxa"/>
              <w:right w:w="108" w:type="dxa"/>
            </w:tcMar>
            <w:vAlign w:val="center"/>
          </w:tcPr>
          <w:p>
            <w:pPr>
              <w:widowControl/>
              <w:spacing w:line="300" w:lineRule="exact"/>
              <w:jc w:val="center"/>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仿宋_GB2312" w:eastAsia="仿宋_GB2312" w:cs="仿宋_GB2312"/>
                <w:color w:val="auto"/>
                <w:szCs w:val="21"/>
                <w:lang w:val="en-US" w:eastAsia="zh-CN"/>
              </w:rPr>
            </w:pPr>
            <w:r>
              <w:rPr>
                <w:rFonts w:hint="eastAsia" w:ascii="仿宋_GB2312" w:hAnsi="仿宋_GB2312" w:eastAsia="仿宋_GB2312" w:cs="仿宋_GB2312"/>
                <w:color w:val="auto"/>
                <w:szCs w:val="21"/>
                <w:lang w:val="en-US" w:eastAsia="zh-CN"/>
              </w:rPr>
              <w:t>0</w:t>
            </w:r>
          </w:p>
        </w:tc>
      </w:tr>
    </w:tbl>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color w:val="auto"/>
                <w:lang w:val="en-US" w:eastAsia="zh-CN"/>
              </w:rPr>
            </w:pPr>
            <w:r>
              <w:rPr>
                <w:rFonts w:hint="eastAsia" w:ascii="Times New Roman" w:hAnsi="Times New Roman"/>
                <w:color w:val="auto"/>
                <w:lang w:val="en-US" w:eastAsia="zh-CN"/>
              </w:rPr>
              <w:t>2</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宋体"/>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color w:val="auto"/>
                <w:lang w:val="en-US" w:eastAsia="zh-CN"/>
              </w:rPr>
            </w:pPr>
            <w:r>
              <w:rPr>
                <w:rFonts w:hint="eastAsia" w:ascii="Times New Roman" w:hAnsi="Times New Roman"/>
                <w:color w:val="auto"/>
                <w:lang w:val="en-US" w:eastAsia="zh-CN"/>
              </w:rPr>
              <w:t>2</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lang w:val="en-US" w:eastAsia="zh-CN"/>
              </w:rPr>
              <w:t>0</w:t>
            </w:r>
          </w:p>
        </w:tc>
      </w:tr>
    </w:tbl>
    <w:p>
      <w:pPr>
        <w:pStyle w:val="2"/>
        <w:pageBreakBefore w:val="0"/>
        <w:widowControl w:val="0"/>
        <w:numPr>
          <w:ilvl w:val="0"/>
          <w:numId w:val="0"/>
        </w:numPr>
        <w:kinsoku/>
        <w:wordWrap/>
        <w:overflowPunct/>
        <w:topLinePunct w:val="0"/>
        <w:autoSpaceDE/>
        <w:autoSpaceDN/>
        <w:bidi w:val="0"/>
        <w:adjustRightInd/>
        <w:spacing w:before="0" w:after="0" w:line="560" w:lineRule="exact"/>
        <w:ind w:firstLine="640" w:firstLineChars="200"/>
        <w:textAlignment w:val="auto"/>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pPr>
        <w:pStyle w:val="4"/>
        <w:pageBreakBefore w:val="0"/>
        <w:widowControl w:val="0"/>
        <w:kinsoku/>
        <w:wordWrap/>
        <w:overflowPunct/>
        <w:topLinePunct w:val="0"/>
        <w:autoSpaceDE/>
        <w:autoSpaceDN/>
        <w:bidi w:val="0"/>
        <w:adjustRightInd/>
        <w:spacing w:line="560" w:lineRule="exact"/>
        <w:ind w:firstLine="640" w:firstLineChars="200"/>
        <w:textAlignment w:val="auto"/>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（一）存在的主要问题</w:t>
      </w:r>
    </w:p>
    <w:p>
      <w:pPr>
        <w:pStyle w:val="4"/>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文星仿宋" w:eastAsia="仿宋_GB2312" w:cs="Times New Roman"/>
          <w:kern w:val="2"/>
          <w:sz w:val="32"/>
          <w:szCs w:val="32"/>
          <w:lang w:val="en-US" w:eastAsia="zh-CN" w:bidi="ar-SA"/>
        </w:rPr>
      </w:pPr>
      <w:r>
        <w:rPr>
          <w:rFonts w:hint="eastAsia" w:ascii="仿宋_GB2312" w:hAnsi="文星仿宋" w:eastAsia="仿宋_GB2312" w:cs="Times New Roman"/>
          <w:kern w:val="2"/>
          <w:sz w:val="32"/>
          <w:szCs w:val="32"/>
          <w:lang w:val="en-US" w:eastAsia="zh-CN" w:bidi="ar-SA"/>
        </w:rPr>
        <w:t>信息公开不够及时。</w:t>
      </w:r>
    </w:p>
    <w:p>
      <w:pPr>
        <w:pStyle w:val="4"/>
        <w:pageBreakBefore w:val="0"/>
        <w:widowControl w:val="0"/>
        <w:kinsoku/>
        <w:wordWrap/>
        <w:overflowPunct/>
        <w:topLinePunct w:val="0"/>
        <w:autoSpaceDE/>
        <w:autoSpaceDN/>
        <w:bidi w:val="0"/>
        <w:adjustRightInd/>
        <w:spacing w:line="560" w:lineRule="exact"/>
        <w:ind w:firstLine="640" w:firstLineChars="200"/>
        <w:textAlignment w:val="auto"/>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pPr>
        <w:pStyle w:val="4"/>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文星仿宋" w:eastAsia="仿宋_GB2312" w:cs="Times New Roman"/>
          <w:kern w:val="2"/>
          <w:sz w:val="32"/>
          <w:szCs w:val="32"/>
          <w:lang w:val="en-US" w:eastAsia="zh-CN" w:bidi="ar-SA"/>
        </w:rPr>
      </w:pPr>
      <w:r>
        <w:rPr>
          <w:rFonts w:hint="eastAsia" w:ascii="仿宋_GB2312" w:hAnsi="文星仿宋" w:eastAsia="仿宋_GB2312" w:cs="Times New Roman"/>
          <w:kern w:val="2"/>
          <w:sz w:val="32"/>
          <w:szCs w:val="32"/>
          <w:lang w:val="en-US" w:eastAsia="zh-CN" w:bidi="ar-SA"/>
        </w:rPr>
        <w:t>加强公开实效，建立完善制度，定好时间节点，及时公开政府信息。</w:t>
      </w:r>
    </w:p>
    <w:p>
      <w:pPr>
        <w:pStyle w:val="2"/>
        <w:pageBreakBefore w:val="0"/>
        <w:widowControl w:val="0"/>
        <w:numPr>
          <w:ilvl w:val="0"/>
          <w:numId w:val="0"/>
        </w:numPr>
        <w:kinsoku/>
        <w:wordWrap/>
        <w:overflowPunct/>
        <w:topLinePunct w:val="0"/>
        <w:autoSpaceDE/>
        <w:autoSpaceDN/>
        <w:bidi w:val="0"/>
        <w:adjustRightInd/>
        <w:spacing w:before="0" w:after="0" w:line="560" w:lineRule="exact"/>
        <w:ind w:firstLine="640" w:firstLineChars="200"/>
        <w:textAlignment w:val="auto"/>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2025年，冠县司法局严格落实《冠县人民政府办公室关于2025年政务公开重点工作任务分工的通知》要求，</w:t>
      </w:r>
      <w:r>
        <w:rPr>
          <w:rFonts w:hint="eastAsia" w:ascii="仿宋_GB2312" w:eastAsia="仿宋_GB2312"/>
          <w:sz w:val="32"/>
          <w:szCs w:val="32"/>
          <w:lang w:val="en-US" w:eastAsia="zh-CN"/>
        </w:rPr>
        <w:t>根据本单位单位职责梳理可行性、阶段性、节点性政务公开重点任务,制定全年计划,通过线上线下联动的方式公开不动产登记、土地征收等政府信息。</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w:t>
      </w:r>
      <w:r>
        <w:rPr>
          <w:rFonts w:hint="eastAsia" w:ascii="CESI楷体-GB2312" w:hAnsi="CESI楷体-GB2312" w:eastAsia="CESI楷体-GB2312" w:cs="CESI楷体-GB2312"/>
          <w:b/>
          <w:bCs/>
          <w:sz w:val="32"/>
          <w:szCs w:val="32"/>
          <w:lang w:eastAsia="zh-CN"/>
        </w:rPr>
        <w:t>（三）人大代表建议和政协提案办理结果公开情况</w:t>
      </w:r>
      <w:r>
        <w:rPr>
          <w:rFonts w:hint="eastAsia" w:ascii="CESI楷体-GB2312" w:hAnsi="CESI楷体-GB2312" w:eastAsia="CESI楷体-GB2312" w:cs="CESI楷体-GB2312"/>
          <w:b/>
          <w:bCs/>
          <w:sz w:val="32"/>
          <w:szCs w:val="32"/>
          <w:lang w:eastAsia="zh-CN"/>
        </w:rPr>
        <w:br w:type="textWrapping"/>
      </w:r>
      <w:r>
        <w:rPr>
          <w:rFonts w:hint="eastAsia" w:ascii="CESI楷体-GB2312" w:hAnsi="CESI楷体-GB2312" w:eastAsia="CESI楷体-GB2312" w:cs="CESI楷体-GB2312"/>
          <w:b/>
          <w:bCs/>
          <w:sz w:val="32"/>
          <w:szCs w:val="32"/>
          <w:lang w:val="en-US" w:eastAsia="zh-CN"/>
        </w:rPr>
        <w:t xml:space="preserve">    </w:t>
      </w:r>
      <w:r>
        <w:rPr>
          <w:rFonts w:hint="eastAsia" w:ascii="仿宋_GB2312" w:eastAsia="仿宋_GB2312"/>
          <w:sz w:val="32"/>
          <w:szCs w:val="32"/>
          <w:lang w:val="en-US" w:eastAsia="zh-CN"/>
        </w:rPr>
        <w:t>2025年共办理人大代表建议3件、政协提案3件，办复率均为100%。严格按照《山东省人民政府办公厅关于做好人大代表建议和政协提案办理结果公开工作的通知》（鲁政办字〔2016〕63号）要求，除涉及国家秘密、工作秘密的，所有建议提案办理复文或摘要以及办理总体情况均在冠县人民政府网站“冠县建议提案办理”专栏进行了集中公开。</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以“走进不动产登记，感受高效服务”为主题</w:t>
      </w:r>
      <w:r>
        <w:rPr>
          <w:rFonts w:hint="eastAsia" w:ascii="仿宋_GB2312" w:eastAsia="仿宋_GB2312"/>
          <w:sz w:val="32"/>
          <w:szCs w:val="32"/>
          <w:lang w:eastAsia="zh-CN"/>
        </w:rPr>
        <w:t>举办“政府开放日”活动</w:t>
      </w:r>
      <w:r>
        <w:rPr>
          <w:rFonts w:hint="eastAsia" w:ascii="仿宋_GB2312" w:hAnsi="仿宋_GB2312" w:eastAsia="仿宋_GB2312" w:cs="仿宋_GB2312"/>
          <w:sz w:val="32"/>
          <w:szCs w:val="32"/>
          <w:lang w:val="en-US" w:eastAsia="zh-CN"/>
        </w:rPr>
        <w:t>，聚焦不动产登记领域营商环境优化、业务流程简化等群众关切问题，邀请政务公开义务监督员、金融机构代表共15人参与。</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pPr>
        <w:pageBreakBefore w:val="0"/>
        <w:widowControl w:val="0"/>
        <w:shd w:val="clear"/>
        <w:kinsoku/>
        <w:wordWrap/>
        <w:overflowPunct/>
        <w:topLinePunct w:val="0"/>
        <w:autoSpaceDE/>
        <w:autoSpaceDN/>
        <w:bidi w:val="0"/>
        <w:adjustRightIn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pPr>
        <w:pStyle w:val="5"/>
        <w:pageBreakBefore w:val="0"/>
        <w:widowControl w:val="0"/>
        <w:shd w:val="clear" w:color="auto"/>
        <w:kinsoku/>
        <w:wordWrap/>
        <w:overflowPunct/>
        <w:topLinePunct w:val="0"/>
        <w:autoSpaceDE/>
        <w:autoSpaceDN/>
        <w:bidi w:val="0"/>
        <w:adjustRightInd/>
        <w:spacing w:beforeAutospacing="0" w:afterAutospacing="0" w:line="560" w:lineRule="exact"/>
        <w:ind w:firstLine="640" w:firstLineChars="200"/>
        <w:jc w:val="both"/>
        <w:textAlignment w:val="auto"/>
        <w:rPr>
          <w:rFonts w:ascii="仿宋_GB2312" w:hAnsi="Times New Roman" w:eastAsia="仿宋_GB2312" w:cs="仿宋_GB2312"/>
          <w:sz w:val="32"/>
          <w:szCs w:val="32"/>
          <w:shd w:val="clear" w:color="auto" w:fill="FFFFFF"/>
        </w:rPr>
      </w:pPr>
      <w:r>
        <w:rPr>
          <w:rFonts w:ascii="仿宋_GB2312" w:hAnsi="Times New Roman" w:eastAsia="仿宋_GB2312" w:cs="仿宋_GB2312"/>
          <w:sz w:val="32"/>
          <w:szCs w:val="32"/>
          <w:shd w:val="clear" w:color="auto" w:fill="FFFFFF"/>
        </w:rPr>
        <w:t>2</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行政许可数量、行政处罚和行政强制数量，包括已公开和依法未公开的全部处理决定。</w:t>
      </w:r>
    </w:p>
    <w:p>
      <w:pPr>
        <w:pStyle w:val="5"/>
        <w:pageBreakBefore w:val="0"/>
        <w:widowControl w:val="0"/>
        <w:shd w:val="clear" w:color="auto"/>
        <w:kinsoku/>
        <w:wordWrap/>
        <w:overflowPunct/>
        <w:topLinePunct w:val="0"/>
        <w:autoSpaceDE/>
        <w:autoSpaceDN/>
        <w:bidi w:val="0"/>
        <w:adjustRightInd/>
        <w:spacing w:beforeAutospacing="0" w:afterAutospacing="0" w:line="560" w:lineRule="exact"/>
        <w:ind w:firstLine="640" w:firstLineChars="200"/>
        <w:jc w:val="both"/>
        <w:textAlignment w:val="auto"/>
        <w:rPr>
          <w:rFonts w:ascii="仿宋_GB2312" w:hAnsi="Times New Roman" w:eastAsia="仿宋_GB2312"/>
          <w:sz w:val="32"/>
          <w:szCs w:val="32"/>
          <w:shd w:val="clear" w:color="auto" w:fill="FFFFFF"/>
        </w:rPr>
      </w:pPr>
      <w:r>
        <w:rPr>
          <w:rFonts w:ascii="仿宋_GB2312" w:hAnsi="Times New Roman" w:eastAsia="仿宋_GB2312" w:cs="仿宋_GB2312"/>
          <w:sz w:val="32"/>
          <w:szCs w:val="32"/>
          <w:shd w:val="clear" w:color="auto" w:fill="FFFFFF"/>
        </w:rPr>
        <w:t>3</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行政复议机关作为共同被告的行政诉讼案件，只计算原行为主体的案件数量，不计算行政复议机关的案件数量。</w:t>
      </w:r>
    </w:p>
    <w:p>
      <w:pPr>
        <w:pStyle w:val="4"/>
        <w:pageBreakBefore w:val="0"/>
        <w:widowControl w:val="0"/>
        <w:kinsoku/>
        <w:wordWrap/>
        <w:overflowPunct/>
        <w:topLinePunct w:val="0"/>
        <w:autoSpaceDE/>
        <w:autoSpaceDN/>
        <w:bidi w:val="0"/>
        <w:adjustRightInd/>
        <w:spacing w:line="560" w:lineRule="exact"/>
        <w:textAlignment w:val="auto"/>
        <w:rPr>
          <w:rFonts w:hint="eastAsia"/>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0000000" w:usb3="00000000" w:csb0="2000019F" w:csb1="00000000"/>
  </w:font>
  <w:font w:name="CESI小标宋-GB2312">
    <w:panose1 w:val="02000500000000000000"/>
    <w:charset w:val="86"/>
    <w:family w:val="auto"/>
    <w:pitch w:val="default"/>
    <w:sig w:usb0="800002AF" w:usb1="084F6CF8"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文星仿宋">
    <w:altName w:val="方正仿宋_GBK"/>
    <w:panose1 w:val="02010604000101010101"/>
    <w:charset w:val="86"/>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decorative"/>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FreeSerif">
    <w:panose1 w:val="02020603050405020304"/>
    <w:charset w:val="00"/>
    <w:family w:val="auto"/>
    <w:pitch w:val="default"/>
    <w:sig w:usb0="E59FAFFF" w:usb1="C200FDFF" w:usb2="43501B29" w:usb3="04000043" w:csb0="600101FF" w:csb1="FFFF0000"/>
  </w:font>
  <w:font w:name="Standard Symbols PS">
    <w:panose1 w:val="05050102010706020507"/>
    <w:charset w:val="00"/>
    <w:family w:val="auto"/>
    <w:pitch w:val="default"/>
    <w:sig w:usb0="00000003" w:usb1="0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CA3FDC"/>
    <w:rsid w:val="12CD23BF"/>
    <w:rsid w:val="22CA3FDC"/>
    <w:rsid w:val="23BF703A"/>
    <w:rsid w:val="255E5757"/>
    <w:rsid w:val="2733AC68"/>
    <w:rsid w:val="307A4C95"/>
    <w:rsid w:val="392C0898"/>
    <w:rsid w:val="39D83F17"/>
    <w:rsid w:val="3AC1067A"/>
    <w:rsid w:val="3B5E4A37"/>
    <w:rsid w:val="46FB73A5"/>
    <w:rsid w:val="580E48AD"/>
    <w:rsid w:val="592B4855"/>
    <w:rsid w:val="5FAF4FBD"/>
    <w:rsid w:val="5FB7C0EB"/>
    <w:rsid w:val="773FB05B"/>
    <w:rsid w:val="7F7F8AC5"/>
    <w:rsid w:val="7FEEA9BC"/>
    <w:rsid w:val="7FFB22EE"/>
    <w:rsid w:val="8FF38311"/>
    <w:rsid w:val="9BF77668"/>
    <w:rsid w:val="A9FFC737"/>
    <w:rsid w:val="ADF7DF04"/>
    <w:rsid w:val="AFD536C8"/>
    <w:rsid w:val="D9FF8F99"/>
    <w:rsid w:val="F5EF0457"/>
    <w:rsid w:val="FDFF720B"/>
    <w:rsid w:val="FED76515"/>
    <w:rsid w:val="FFCF936B"/>
    <w:rsid w:val="FFEF3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3849</Words>
  <Characters>4037</Characters>
  <Lines>0</Lines>
  <Paragraphs>0</Paragraphs>
  <TotalTime>7</TotalTime>
  <ScaleCrop>false</ScaleCrop>
  <LinksUpToDate>false</LinksUpToDate>
  <CharactersWithSpaces>4064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2025-01-29T02:56:00Z</dcterms:created>
  <dc:creator>cookie</dc:creator>
  <cp:lastModifiedBy>user</cp:lastModifiedBy>
  <dcterms:modified xsi:type="dcterms:W3CDTF">2026-01-30T09:00:53Z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F207C8BF5F614D03817BDD0AAA79F7E3_13</vt:lpwstr>
  </property>
  <property fmtid="{D5CDD505-2E9C-101B-9397-08002B2CF9AE}" pid="4" name="KSOTemplateDocerSaveRecord">
    <vt:lpwstr>eyJoZGlkIjoiNzlkMDVhNzJkMmE3NzIwNWQ5MTc2YTM5ZDI3MDQxMTkiLCJ1c2VySWQiOiIzODMzMzQzODQifQ==</vt:lpwstr>
  </property>
</Properties>
</file>