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冠县市场监督管理局</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2025年</w:t>
      </w:r>
      <w:r>
        <w:rPr>
          <w:rFonts w:hint="eastAsia" w:ascii="方正小标宋简体" w:hAnsi="方正小标宋简体" w:eastAsia="方正小标宋简体" w:cs="方正小标宋简体"/>
          <w:sz w:val="44"/>
          <w:szCs w:val="44"/>
        </w:rPr>
        <w:t>政府信息公开工作年度报告</w:t>
      </w:r>
    </w:p>
    <w:p>
      <w:pPr>
        <w:pStyle w:val="2"/>
        <w:rPr>
          <w:rFonts w:hint="eastAsia"/>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rPr>
        <w:t>本</w:t>
      </w:r>
      <w:r>
        <w:rPr>
          <w:rFonts w:hint="eastAsia" w:ascii="仿宋_GB2312" w:hAnsi="仿宋_GB2312" w:eastAsia="仿宋_GB2312" w:cs="仿宋_GB2312"/>
          <w:color w:val="auto"/>
          <w:sz w:val="32"/>
          <w:szCs w:val="32"/>
          <w:lang w:eastAsia="zh-CN"/>
        </w:rPr>
        <w:t>年度</w:t>
      </w:r>
      <w:r>
        <w:rPr>
          <w:rFonts w:hint="eastAsia" w:ascii="仿宋_GB2312" w:hAnsi="仿宋_GB2312" w:eastAsia="仿宋_GB2312" w:cs="仿宋_GB2312"/>
          <w:color w:val="auto"/>
          <w:sz w:val="32"/>
          <w:szCs w:val="32"/>
        </w:rPr>
        <w:t>报告根据《中华人民共和国政府信息公开条例》（以下简称《条例》）</w:t>
      </w:r>
      <w:r>
        <w:rPr>
          <w:rFonts w:hint="eastAsia" w:ascii="仿宋_GB2312" w:hAnsi="仿宋_GB2312" w:eastAsia="仿宋_GB2312" w:cs="仿宋_GB2312"/>
          <w:color w:val="auto"/>
          <w:sz w:val="32"/>
          <w:szCs w:val="32"/>
          <w:lang w:eastAsia="zh-CN"/>
        </w:rPr>
        <w:t>和</w:t>
      </w:r>
      <w:r>
        <w:rPr>
          <w:rFonts w:hint="eastAsia" w:ascii="仿宋_GB2312" w:hAnsi="仿宋_GB2312" w:eastAsia="仿宋_GB2312" w:cs="仿宋_GB2312"/>
          <w:sz w:val="32"/>
          <w:szCs w:val="32"/>
        </w:rPr>
        <w:t>《国务院办公厅政府信息与政务公开办公室关于印发&lt;中华人民共和国政府信息公开工作年度报告格式&gt;的通知》（国办公开办函〔2021〕30号）相关</w:t>
      </w:r>
      <w:r>
        <w:rPr>
          <w:rFonts w:hint="eastAsia" w:ascii="仿宋_GB2312" w:hAnsi="仿宋_GB2312" w:eastAsia="仿宋_GB2312" w:cs="仿宋_GB2312"/>
          <w:color w:val="auto"/>
          <w:sz w:val="32"/>
          <w:szCs w:val="32"/>
        </w:rPr>
        <w:t>要求编制</w:t>
      </w:r>
      <w:r>
        <w:rPr>
          <w:rFonts w:hint="eastAsia" w:ascii="仿宋_GB2312" w:hAnsi="仿宋_GB2312" w:eastAsia="仿宋_GB2312" w:cs="仿宋_GB2312"/>
          <w:color w:val="auto"/>
          <w:sz w:val="32"/>
          <w:szCs w:val="32"/>
          <w:lang w:eastAsia="zh-CN"/>
        </w:rPr>
        <w:t>，全文</w:t>
      </w:r>
      <w:r>
        <w:rPr>
          <w:rFonts w:hint="eastAsia" w:ascii="仿宋_GB2312" w:hAnsi="仿宋_GB2312" w:eastAsia="仿宋_GB2312" w:cs="仿宋_GB2312"/>
          <w:color w:val="auto"/>
          <w:sz w:val="32"/>
          <w:szCs w:val="32"/>
        </w:rPr>
        <w:t>包括总体情况、主动公开政府信息情况、收到和处理政府信息公开申请情况、</w:t>
      </w:r>
      <w:r>
        <w:rPr>
          <w:rFonts w:hint="eastAsia" w:ascii="仿宋_GB2312" w:hAnsi="仿宋_GB2312" w:eastAsia="仿宋_GB2312" w:cs="仿宋_GB2312"/>
          <w:i w:val="0"/>
          <w:caps w:val="0"/>
          <w:color w:val="auto"/>
          <w:spacing w:val="0"/>
          <w:kern w:val="0"/>
          <w:sz w:val="32"/>
          <w:szCs w:val="32"/>
          <w:lang w:val="en-US" w:eastAsia="zh-CN" w:bidi="ar"/>
        </w:rPr>
        <w:t>因政府信息公开工作被申请行政复议和提起行政诉讼情况、政府信息公开工作</w:t>
      </w:r>
      <w:r>
        <w:rPr>
          <w:rFonts w:hint="eastAsia" w:ascii="仿宋_GB2312" w:hAnsi="仿宋_GB2312" w:eastAsia="仿宋_GB2312" w:cs="仿宋_GB2312"/>
          <w:color w:val="auto"/>
          <w:sz w:val="32"/>
          <w:szCs w:val="32"/>
        </w:rPr>
        <w:t>存在的主要问题及改进情况、其他需要报告的事项</w:t>
      </w:r>
      <w:r>
        <w:rPr>
          <w:rFonts w:hint="eastAsia" w:ascii="仿宋_GB2312" w:hAnsi="仿宋_GB2312" w:eastAsia="仿宋_GB2312" w:cs="仿宋_GB2312"/>
          <w:color w:val="auto"/>
          <w:sz w:val="32"/>
          <w:szCs w:val="32"/>
          <w:lang w:eastAsia="zh-CN"/>
        </w:rPr>
        <w:t>等六个部分</w:t>
      </w:r>
      <w:r>
        <w:rPr>
          <w:rFonts w:hint="eastAsia" w:ascii="仿宋_GB2312" w:hAnsi="仿宋_GB2312" w:eastAsia="仿宋_GB2312" w:cs="仿宋_GB2312"/>
          <w:color w:val="auto"/>
          <w:sz w:val="32"/>
          <w:szCs w:val="32"/>
        </w:rPr>
        <w:t>。</w:t>
      </w:r>
      <w:bookmarkStart w:id="0" w:name="_Hlk67405801"/>
      <w:r>
        <w:rPr>
          <w:rFonts w:hint="eastAsia" w:ascii="仿宋_GB2312" w:hAnsi="仿宋_GB2312" w:eastAsia="仿宋_GB2312" w:cs="仿宋_GB2312"/>
          <w:color w:val="auto"/>
          <w:sz w:val="32"/>
          <w:szCs w:val="32"/>
        </w:rPr>
        <w:t>本年度报告中所列数据统计期限从202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年1月1日</w:t>
      </w:r>
      <w:r>
        <w:rPr>
          <w:rFonts w:hint="eastAsia" w:ascii="仿宋_GB2312" w:hAnsi="仿宋_GB2312" w:eastAsia="仿宋_GB2312" w:cs="仿宋_GB2312"/>
          <w:color w:val="auto"/>
          <w:sz w:val="32"/>
          <w:szCs w:val="32"/>
          <w:lang w:eastAsia="zh-CN"/>
        </w:rPr>
        <w:t>至</w:t>
      </w:r>
      <w:r>
        <w:rPr>
          <w:rFonts w:hint="eastAsia" w:ascii="仿宋_GB2312" w:hAnsi="仿宋_GB2312" w:eastAsia="仿宋_GB2312" w:cs="仿宋_GB2312"/>
          <w:color w:val="auto"/>
          <w:sz w:val="32"/>
          <w:szCs w:val="32"/>
        </w:rPr>
        <w:t>12月31日</w:t>
      </w:r>
      <w:bookmarkEnd w:id="0"/>
      <w:r>
        <w:rPr>
          <w:rFonts w:hint="eastAsia" w:ascii="仿宋_GB2312" w:hAnsi="仿宋_GB2312" w:eastAsia="仿宋_GB2312" w:cs="仿宋_GB2312"/>
          <w:color w:val="auto"/>
          <w:sz w:val="32"/>
          <w:szCs w:val="32"/>
        </w:rPr>
        <w:t>。本年度报告电子版可从</w:t>
      </w:r>
      <w:r>
        <w:rPr>
          <w:rFonts w:hint="eastAsia" w:ascii="仿宋_GB2312" w:hAnsi="仿宋_GB2312" w:eastAsia="仿宋_GB2312" w:cs="仿宋_GB2312"/>
          <w:color w:val="auto"/>
          <w:sz w:val="32"/>
          <w:szCs w:val="32"/>
          <w:lang w:eastAsia="zh-CN"/>
        </w:rPr>
        <w:t>冠县人民政府网站</w:t>
      </w:r>
      <w:r>
        <w:rPr>
          <w:rFonts w:hint="eastAsia" w:ascii="仿宋_GB2312" w:hAnsi="仿宋_GB2312" w:eastAsia="仿宋_GB2312" w:cs="仿宋_GB2312"/>
          <w:color w:val="auto"/>
          <w:sz w:val="32"/>
          <w:szCs w:val="32"/>
        </w:rPr>
        <w:t>（http://www.guanxian.gov.cn/）下载。</w:t>
      </w:r>
      <w:r>
        <w:rPr>
          <w:rFonts w:hint="eastAsia" w:ascii="仿宋_GB2312" w:hAnsi="仿宋_GB2312" w:eastAsia="仿宋_GB2312" w:cs="仿宋_GB2312"/>
          <w:color w:val="auto"/>
          <w:sz w:val="32"/>
          <w:szCs w:val="32"/>
          <w:lang w:eastAsia="zh-CN"/>
        </w:rPr>
        <w:t>公众</w:t>
      </w:r>
      <w:r>
        <w:rPr>
          <w:rFonts w:hint="eastAsia" w:ascii="仿宋_GB2312" w:hAnsi="仿宋_GB2312" w:eastAsia="仿宋_GB2312" w:cs="仿宋_GB2312"/>
          <w:color w:val="auto"/>
          <w:sz w:val="32"/>
          <w:szCs w:val="32"/>
        </w:rPr>
        <w:t>如</w:t>
      </w:r>
      <w:r>
        <w:rPr>
          <w:rFonts w:hint="eastAsia" w:ascii="仿宋_GB2312" w:hAnsi="仿宋_GB2312" w:eastAsia="仿宋_GB2312" w:cs="仿宋_GB2312"/>
          <w:color w:val="auto"/>
          <w:sz w:val="32"/>
          <w:szCs w:val="32"/>
          <w:lang w:eastAsia="zh-CN"/>
        </w:rPr>
        <w:t>需进一步咨询了解相关信息</w:t>
      </w:r>
      <w:r>
        <w:rPr>
          <w:rFonts w:hint="eastAsia" w:ascii="仿宋_GB2312" w:hAnsi="仿宋_GB2312" w:eastAsia="仿宋_GB2312" w:cs="仿宋_GB2312"/>
          <w:color w:val="auto"/>
          <w:sz w:val="32"/>
          <w:szCs w:val="32"/>
        </w:rPr>
        <w:t>，请与冠县</w:t>
      </w:r>
      <w:r>
        <w:rPr>
          <w:rFonts w:hint="eastAsia" w:ascii="仿宋_GB2312" w:hAnsi="仿宋_GB2312" w:eastAsia="仿宋_GB2312" w:cs="仿宋_GB2312"/>
          <w:color w:val="auto"/>
          <w:sz w:val="32"/>
          <w:szCs w:val="32"/>
          <w:lang w:eastAsia="zh-CN"/>
        </w:rPr>
        <w:t>市场监督管理局</w:t>
      </w:r>
      <w:r>
        <w:rPr>
          <w:rFonts w:hint="eastAsia" w:ascii="仿宋_GB2312" w:hAnsi="仿宋_GB2312" w:eastAsia="仿宋_GB2312" w:cs="仿宋_GB2312"/>
          <w:color w:val="auto"/>
          <w:sz w:val="32"/>
          <w:szCs w:val="32"/>
        </w:rPr>
        <w:t>联系（</w:t>
      </w:r>
      <w:r>
        <w:rPr>
          <w:rFonts w:hint="eastAsia" w:ascii="仿宋_GB2312" w:hAnsi="仿宋_GB2312" w:eastAsia="仿宋_GB2312" w:cs="仿宋_GB2312"/>
          <w:color w:val="auto"/>
          <w:sz w:val="32"/>
          <w:szCs w:val="32"/>
          <w:lang w:eastAsia="zh-CN"/>
        </w:rPr>
        <w:t>地址：山东省聊城市冠县振兴西路</w:t>
      </w:r>
      <w:r>
        <w:rPr>
          <w:rFonts w:hint="eastAsia" w:ascii="仿宋_GB2312" w:hAnsi="仿宋_GB2312" w:eastAsia="仿宋_GB2312" w:cs="仿宋_GB2312"/>
          <w:color w:val="auto"/>
          <w:sz w:val="32"/>
          <w:szCs w:val="32"/>
          <w:lang w:val="en-US" w:eastAsia="zh-CN"/>
        </w:rPr>
        <w:t>178号；邮编：252500；</w:t>
      </w:r>
      <w:r>
        <w:rPr>
          <w:rFonts w:hint="eastAsia" w:ascii="仿宋_GB2312" w:hAnsi="仿宋_GB2312" w:eastAsia="仿宋_GB2312" w:cs="仿宋_GB2312"/>
          <w:color w:val="auto"/>
          <w:sz w:val="32"/>
          <w:szCs w:val="32"/>
        </w:rPr>
        <w:t>电话:</w:t>
      </w:r>
      <w:r>
        <w:rPr>
          <w:rFonts w:hint="eastAsia" w:ascii="仿宋_GB2312" w:hAnsi="仿宋_GB2312" w:eastAsia="仿宋_GB2312" w:cs="仿宋_GB2312"/>
          <w:color w:val="auto"/>
          <w:sz w:val="32"/>
          <w:szCs w:val="32"/>
          <w:lang w:val="en-US" w:eastAsia="zh-CN"/>
        </w:rPr>
        <w:t>0635-5231331</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邮箱:</w:t>
      </w:r>
      <w:r>
        <w:rPr>
          <w:rFonts w:hint="eastAsia" w:ascii="仿宋_GB2312" w:hAnsi="仿宋_GB2312" w:eastAsia="仿宋_GB2312" w:cs="仿宋_GB2312"/>
          <w:color w:val="auto"/>
          <w:sz w:val="32"/>
          <w:szCs w:val="32"/>
          <w:lang w:val="en-US" w:eastAsia="zh-CN"/>
        </w:rPr>
        <w:t>gxscjgj</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lc.</w:t>
      </w:r>
      <w:r>
        <w:rPr>
          <w:rFonts w:hint="eastAsia" w:ascii="仿宋_GB2312" w:hAnsi="仿宋_GB2312" w:eastAsia="仿宋_GB2312" w:cs="仿宋_GB2312"/>
          <w:color w:val="auto"/>
          <w:sz w:val="32"/>
          <w:szCs w:val="32"/>
        </w:rPr>
        <w:t>shandong.cn）。</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楷体_GB2312" w:eastAsia="楷体_GB2312"/>
          <w:sz w:val="32"/>
          <w:szCs w:val="32"/>
          <w:lang w:eastAsia="zh-CN"/>
        </w:rPr>
      </w:pPr>
      <w:r>
        <w:rPr>
          <w:rFonts w:hint="eastAsia" w:ascii="CESI黑体-GB2312" w:hAnsi="CESI黑体-GB2312" w:eastAsia="CESI黑体-GB2312" w:cs="CESI黑体-GB2312"/>
          <w:b w:val="0"/>
          <w:bCs w:val="0"/>
          <w:sz w:val="32"/>
          <w:szCs w:val="32"/>
          <w:lang w:eastAsia="zh-CN"/>
        </w:rPr>
        <w:t>一、</w:t>
      </w:r>
      <w:r>
        <w:rPr>
          <w:rFonts w:hint="eastAsia" w:ascii="CESI黑体-GB2312" w:hAnsi="CESI黑体-GB2312" w:eastAsia="CESI黑体-GB2312" w:cs="CESI黑体-GB2312"/>
          <w:b w:val="0"/>
          <w:bCs w:val="0"/>
          <w:sz w:val="32"/>
          <w:szCs w:val="32"/>
        </w:rPr>
        <w:t>总体情况</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CESI楷体-GB2312" w:hAnsi="CESI楷体-GB2312" w:eastAsia="CESI楷体-GB2312" w:cs="CESI楷体-GB2312"/>
          <w:b/>
          <w:bCs/>
          <w:sz w:val="32"/>
          <w:szCs w:val="32"/>
          <w:lang w:val="en-US" w:eastAsia="zh-CN"/>
        </w:rPr>
      </w:pPr>
      <w:r>
        <w:rPr>
          <w:rFonts w:hint="eastAsia" w:ascii="CESI楷体-GB2312" w:hAnsi="CESI楷体-GB2312" w:eastAsia="CESI楷体-GB2312" w:cs="CESI楷体-GB2312"/>
          <w:b/>
          <w:bCs/>
          <w:sz w:val="32"/>
          <w:szCs w:val="32"/>
          <w:lang w:val="en-US" w:eastAsia="zh-CN"/>
        </w:rPr>
        <w:t>（一）主动公开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2025年，出台《冠县市场监督管理局2025年政务公开重点工作任务分工》，通过冠县人民政府网站累计发布政府信息279条，主要包括财政信息、食品药品监管领域信息、行政执法公示信息、通知公告等。</w:t>
      </w:r>
    </w:p>
    <w:p>
      <w:pPr>
        <w:pStyle w:val="2"/>
        <w:rPr>
          <w:rFonts w:hint="eastAsia"/>
          <w:lang w:val="en-US" w:eastAsia="zh-CN"/>
        </w:rPr>
      </w:pPr>
      <w:r>
        <w:drawing>
          <wp:inline distT="0" distB="0" distL="114300" distR="114300">
            <wp:extent cx="5263515" cy="3441065"/>
            <wp:effectExtent l="0" t="0" r="13335" b="6985"/>
            <wp:docPr id="5" name="图片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true"/>
                    </pic:cNvPicPr>
                  </pic:nvPicPr>
                  <pic:blipFill>
                    <a:blip r:embed="rId5"/>
                    <a:stretch>
                      <a:fillRect/>
                    </a:stretch>
                  </pic:blipFill>
                  <pic:spPr>
                    <a:xfrm>
                      <a:off x="0" y="0"/>
                      <a:ext cx="5263515" cy="3441065"/>
                    </a:xfrm>
                    <a:prstGeom prst="rect">
                      <a:avLst/>
                    </a:prstGeom>
                    <a:noFill/>
                    <a:ln>
                      <a:noFill/>
                    </a:ln>
                  </pic:spPr>
                </pic:pic>
              </a:graphicData>
            </a:graphic>
          </wp:inline>
        </w:drawing>
      </w:r>
    </w:p>
    <w:p>
      <w:pPr>
        <w:pStyle w:val="2"/>
        <w:rPr>
          <w:rFonts w:hint="eastAsia"/>
          <w:lang w:val="en-US" w:eastAsia="zh-CN"/>
        </w:rPr>
      </w:pPr>
      <w:r>
        <w:rPr>
          <w:rFonts w:hint="eastAsia"/>
          <w:lang w:val="en-US" w:eastAsia="zh-CN"/>
        </w:rPr>
        <w:drawing>
          <wp:inline distT="0" distB="0" distL="114300" distR="114300">
            <wp:extent cx="5272405" cy="3220085"/>
            <wp:effectExtent l="0" t="0" r="4445" b="18415"/>
            <wp:docPr id="4" name="图片 4" descr="C:/Users/Administrator/Desktop/9c28ba55b5dea8b7d152e38be55c7c71.jpg9c28ba55b5dea8b7d152e38be55c7c7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 name="图片 4" descr="C:/Users/Administrator/Desktop/9c28ba55b5dea8b7d152e38be55c7c71.jpg9c28ba55b5dea8b7d152e38be55c7c71"/>
                    <pic:cNvPicPr>
                      <a:picLocks noChangeAspect="true"/>
                    </pic:cNvPicPr>
                  </pic:nvPicPr>
                  <pic:blipFill>
                    <a:blip r:embed="rId6"/>
                    <a:srcRect l="3185" r="3185"/>
                    <a:stretch>
                      <a:fillRect/>
                    </a:stretch>
                  </pic:blipFill>
                  <pic:spPr>
                    <a:xfrm>
                      <a:off x="0" y="0"/>
                      <a:ext cx="5272405" cy="3220085"/>
                    </a:xfrm>
                    <a:prstGeom prst="rect">
                      <a:avLst/>
                    </a:prstGeom>
                  </pic:spPr>
                </pic:pic>
              </a:graphicData>
            </a:graphic>
          </wp:inline>
        </w:drawing>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CESI楷体-GB2312" w:hAnsi="CESI楷体-GB2312" w:eastAsia="CESI楷体-GB2312" w:cs="CESI楷体-GB2312"/>
          <w:b/>
          <w:bCs/>
          <w:sz w:val="32"/>
          <w:szCs w:val="32"/>
        </w:rPr>
      </w:pPr>
      <w:r>
        <w:rPr>
          <w:rFonts w:hint="eastAsia" w:ascii="CESI楷体-GB2312" w:hAnsi="CESI楷体-GB2312" w:eastAsia="CESI楷体-GB2312" w:cs="CESI楷体-GB2312"/>
          <w:b/>
          <w:bCs/>
          <w:sz w:val="32"/>
          <w:szCs w:val="32"/>
          <w:lang w:eastAsia="zh-CN"/>
        </w:rPr>
        <w:t>（二）</w:t>
      </w:r>
      <w:r>
        <w:rPr>
          <w:rFonts w:hint="eastAsia" w:ascii="CESI楷体-GB2312" w:hAnsi="CESI楷体-GB2312" w:eastAsia="CESI楷体-GB2312" w:cs="CESI楷体-GB2312"/>
          <w:b/>
          <w:bCs/>
          <w:sz w:val="32"/>
          <w:szCs w:val="32"/>
        </w:rPr>
        <w:t>依申请公开</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val="0"/>
          <w:i w:val="0"/>
          <w:iCs w:val="0"/>
          <w:caps w:val="0"/>
          <w:color w:val="000000"/>
          <w:spacing w:val="0"/>
          <w:sz w:val="32"/>
          <w:szCs w:val="32"/>
          <w:lang w:val="en-US" w:eastAsia="zh-CN"/>
        </w:rPr>
      </w:pPr>
      <w:r>
        <w:rPr>
          <w:rFonts w:hint="eastAsia" w:ascii="仿宋_GB2312" w:hAnsi="仿宋_GB2312" w:eastAsia="仿宋_GB2312" w:cs="仿宋_GB2312"/>
          <w:b w:val="0"/>
          <w:bCs w:val="0"/>
          <w:i w:val="0"/>
          <w:iCs w:val="0"/>
          <w:caps w:val="0"/>
          <w:color w:val="000000"/>
          <w:spacing w:val="0"/>
          <w:sz w:val="32"/>
          <w:szCs w:val="32"/>
          <w:lang w:val="en-US" w:eastAsia="zh-CN"/>
        </w:rPr>
        <w:t>2025年，共受理政府信息公开申请8件，申请数量较去年增长14.3%。政府信息公开申请内容主要涉及食品安全等方面。本年度答复政府信息公开申请9件（含上年结转1件），均在法定期限内予以答复。在答复的申请中:予以公开5件、占比55.6%，部分公开4件、占44.4%。全年未发生因政府信息公开被行政复议、提起行政诉讼情况。</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CESI楷体-GB2312" w:hAnsi="CESI楷体-GB2312" w:eastAsia="CESI楷体-GB2312" w:cs="CESI楷体-GB2312"/>
          <w:b/>
          <w:bCs/>
          <w:sz w:val="32"/>
          <w:szCs w:val="32"/>
          <w:lang w:val="en-US" w:eastAsia="zh-CN"/>
        </w:rPr>
      </w:pPr>
      <w:r>
        <w:rPr>
          <w:rFonts w:hint="eastAsia" w:ascii="CESI楷体-GB2312" w:hAnsi="CESI楷体-GB2312" w:eastAsia="CESI楷体-GB2312" w:cs="CESI楷体-GB2312"/>
          <w:b/>
          <w:bCs/>
          <w:sz w:val="32"/>
          <w:szCs w:val="32"/>
          <w:lang w:val="en-US" w:eastAsia="zh-CN"/>
        </w:rPr>
        <w:t>（三）政府信息管理</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val="0"/>
          <w:i w:val="0"/>
          <w:iCs w:val="0"/>
          <w:caps w:val="0"/>
          <w:color w:val="000000"/>
          <w:spacing w:val="0"/>
          <w:sz w:val="32"/>
          <w:szCs w:val="32"/>
          <w:lang w:val="en-US" w:eastAsia="zh-CN"/>
        </w:rPr>
      </w:pPr>
      <w:r>
        <w:rPr>
          <w:rFonts w:hint="eastAsia" w:ascii="仿宋_GB2312" w:hAnsi="仿宋_GB2312" w:eastAsia="仿宋_GB2312" w:cs="仿宋_GB2312"/>
          <w:b w:val="0"/>
          <w:bCs w:val="0"/>
          <w:i w:val="0"/>
          <w:iCs w:val="0"/>
          <w:caps w:val="0"/>
          <w:color w:val="000000"/>
          <w:spacing w:val="0"/>
          <w:sz w:val="32"/>
          <w:szCs w:val="32"/>
          <w:lang w:val="en-US" w:eastAsia="zh-CN"/>
        </w:rPr>
        <w:t>按照《政府信息主动公开基本目录》，落实工作责任，明确各科室公开信息任务和时间，安排专人对本机关的政府信息进行维护和更新，严格信息公开保密审查，确保政府网站信息发布质量和安全。</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CESI楷体-GB2312" w:hAnsi="CESI楷体-GB2312" w:eastAsia="CESI楷体-GB2312" w:cs="CESI楷体-GB2312"/>
          <w:b/>
          <w:bCs/>
          <w:sz w:val="32"/>
          <w:szCs w:val="32"/>
          <w:lang w:val="en-US" w:eastAsia="zh-CN"/>
        </w:rPr>
      </w:pPr>
      <w:r>
        <w:rPr>
          <w:rFonts w:hint="eastAsia" w:ascii="CESI楷体-GB2312" w:hAnsi="CESI楷体-GB2312" w:eastAsia="CESI楷体-GB2312" w:cs="CESI楷体-GB2312"/>
          <w:b/>
          <w:bCs/>
          <w:sz w:val="32"/>
          <w:szCs w:val="32"/>
          <w:lang w:val="en-US" w:eastAsia="zh-CN"/>
        </w:rPr>
        <w:t>（四）政府信息公开平台建设</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val="0"/>
          <w:i w:val="0"/>
          <w:iCs w:val="0"/>
          <w:caps w:val="0"/>
          <w:color w:val="000000"/>
          <w:spacing w:val="0"/>
          <w:sz w:val="32"/>
          <w:szCs w:val="32"/>
          <w:lang w:val="en-US" w:eastAsia="zh-CN"/>
        </w:rPr>
      </w:pPr>
      <w:r>
        <w:rPr>
          <w:rFonts w:hint="eastAsia" w:ascii="仿宋_GB2312" w:hAnsi="仿宋_GB2312" w:eastAsia="仿宋_GB2312" w:cs="仿宋_GB2312"/>
          <w:b w:val="0"/>
          <w:bCs w:val="0"/>
          <w:i w:val="0"/>
          <w:iCs w:val="0"/>
          <w:caps w:val="0"/>
          <w:color w:val="000000"/>
          <w:spacing w:val="0"/>
          <w:sz w:val="32"/>
          <w:szCs w:val="32"/>
          <w:lang w:val="en-US" w:eastAsia="zh-CN"/>
        </w:rPr>
        <w:t>充分发挥冠县人民政府网站第一平台作用，规范政府信息公开目录，做好食品、药品、医疗器械等市场监管信息的公开。</w:t>
      </w:r>
    </w:p>
    <w:p>
      <w:pPr>
        <w:keepNext w:val="0"/>
        <w:keepLines w:val="0"/>
        <w:pageBreakBefore w:val="0"/>
        <w:numPr>
          <w:ilvl w:val="0"/>
          <w:numId w:val="1"/>
        </w:numPr>
        <w:kinsoku/>
        <w:wordWrap/>
        <w:overflowPunct/>
        <w:topLinePunct w:val="0"/>
        <w:autoSpaceDE/>
        <w:autoSpaceDN/>
        <w:bidi w:val="0"/>
        <w:adjustRightInd/>
        <w:snapToGrid/>
        <w:spacing w:line="600" w:lineRule="exact"/>
        <w:ind w:firstLine="640" w:firstLineChars="200"/>
        <w:textAlignment w:val="auto"/>
        <w:rPr>
          <w:rFonts w:hint="eastAsia" w:ascii="CESI楷体-GB2312" w:hAnsi="CESI楷体-GB2312" w:eastAsia="CESI楷体-GB2312" w:cs="CESI楷体-GB2312"/>
          <w:b/>
          <w:bCs/>
          <w:sz w:val="32"/>
          <w:szCs w:val="32"/>
          <w:lang w:val="en-US" w:eastAsia="zh-CN"/>
        </w:rPr>
      </w:pPr>
      <w:r>
        <w:rPr>
          <w:rFonts w:hint="eastAsia" w:ascii="CESI楷体-GB2312" w:hAnsi="CESI楷体-GB2312" w:eastAsia="CESI楷体-GB2312" w:cs="CESI楷体-GB2312"/>
          <w:b/>
          <w:bCs/>
          <w:sz w:val="32"/>
          <w:szCs w:val="32"/>
          <w:lang w:val="en-US" w:eastAsia="zh-CN"/>
        </w:rPr>
        <w:t>监督保障</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val="0"/>
          <w:i w:val="0"/>
          <w:iCs w:val="0"/>
          <w:caps w:val="0"/>
          <w:color w:val="000000"/>
          <w:spacing w:val="0"/>
          <w:sz w:val="32"/>
          <w:szCs w:val="32"/>
          <w:lang w:val="en-US" w:eastAsia="zh-CN"/>
        </w:rPr>
      </w:pPr>
      <w:r>
        <w:rPr>
          <w:rFonts w:hint="eastAsia" w:ascii="仿宋_GB2312" w:hAnsi="仿宋_GB2312" w:eastAsia="仿宋_GB2312" w:cs="仿宋_GB2312"/>
          <w:b w:val="0"/>
          <w:bCs w:val="0"/>
          <w:i w:val="0"/>
          <w:iCs w:val="0"/>
          <w:caps w:val="0"/>
          <w:color w:val="000000"/>
          <w:spacing w:val="0"/>
          <w:sz w:val="32"/>
          <w:szCs w:val="32"/>
          <w:lang w:val="en-US" w:eastAsia="zh-CN"/>
        </w:rPr>
        <w:t>定期组织政务公开培训会议，由政务公开工作人员对各科室负责同志进行培训，提高各科室对政务公开工作的重视程度，提升依法履职能力和风险防范意识。</w:t>
      </w:r>
    </w:p>
    <w:p>
      <w:pPr>
        <w:pStyle w:val="3"/>
        <w:numPr>
          <w:ilvl w:val="0"/>
          <w:numId w:val="2"/>
        </w:numPr>
        <w:spacing w:before="0" w:after="0" w:line="240" w:lineRule="auto"/>
        <w:ind w:firstLine="640" w:firstLineChars="200"/>
        <w:rPr>
          <w:rFonts w:hint="eastAsia" w:ascii="CESI黑体-GB2312" w:hAnsi="CESI黑体-GB2312" w:eastAsia="CESI黑体-GB2312" w:cs="CESI黑体-GB2312"/>
          <w:b w:val="0"/>
          <w:bCs w:val="0"/>
        </w:rPr>
      </w:pPr>
      <w:r>
        <w:rPr>
          <w:rFonts w:hint="eastAsia" w:ascii="CESI黑体-GB2312" w:hAnsi="CESI黑体-GB2312" w:eastAsia="CESI黑体-GB2312" w:cs="CESI黑体-GB2312"/>
          <w:b w:val="0"/>
          <w:bCs w:val="0"/>
        </w:rPr>
        <w:t>主动公开政府信息情况</w:t>
      </w:r>
    </w:p>
    <w:tbl>
      <w:tblPr>
        <w:tblStyle w:val="6"/>
        <w:tblpPr w:leftFromText="180" w:rightFromText="180" w:vertAnchor="text" w:horzAnchor="page" w:tblpXSpec="center" w:tblpY="596"/>
        <w:tblOverlap w:val="never"/>
        <w:tblW w:w="5000" w:type="pct"/>
        <w:jc w:val="center"/>
        <w:tblLayout w:type="autofit"/>
        <w:tblCellMar>
          <w:top w:w="0" w:type="dxa"/>
          <w:left w:w="108" w:type="dxa"/>
          <w:bottom w:w="0" w:type="dxa"/>
          <w:right w:w="108" w:type="dxa"/>
        </w:tblCellMar>
      </w:tblPr>
      <w:tblGrid>
        <w:gridCol w:w="2130"/>
        <w:gridCol w:w="2130"/>
        <w:gridCol w:w="2131"/>
        <w:gridCol w:w="2131"/>
      </w:tblGrid>
      <w:tr>
        <w:tblPrEx>
          <w:tblCellMar>
            <w:top w:w="0" w:type="dxa"/>
            <w:left w:w="108" w:type="dxa"/>
            <w:bottom w:w="0" w:type="dxa"/>
            <w:right w:w="108" w:type="dxa"/>
          </w:tblCellMar>
        </w:tblPrEx>
        <w:trPr>
          <w:trHeight w:val="567" w:hRule="atLeast"/>
          <w:jc w:val="center"/>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第二十条第（一）项</w:t>
            </w:r>
          </w:p>
        </w:tc>
      </w:tr>
      <w:tr>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1250" w:type="pct"/>
            <w:tcBorders>
              <w:top w:val="nil"/>
              <w:left w:val="nil"/>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本年制发件数</w:t>
            </w:r>
          </w:p>
        </w:tc>
        <w:tc>
          <w:tcPr>
            <w:tcW w:w="1250" w:type="pct"/>
            <w:tcBorders>
              <w:top w:val="nil"/>
              <w:left w:val="nil"/>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本年废止件数</w:t>
            </w:r>
          </w:p>
        </w:tc>
        <w:tc>
          <w:tcPr>
            <w:tcW w:w="1250" w:type="pct"/>
            <w:tcBorders>
              <w:top w:val="nil"/>
              <w:left w:val="nil"/>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现行有效件数</w:t>
            </w:r>
          </w:p>
        </w:tc>
      </w:tr>
      <w:tr>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规章</w:t>
            </w:r>
          </w:p>
        </w:tc>
        <w:tc>
          <w:tcPr>
            <w:tcW w:w="1250" w:type="pct"/>
            <w:tcBorders>
              <w:top w:val="nil"/>
              <w:left w:val="nil"/>
              <w:bottom w:val="single" w:color="auto" w:sz="8" w:space="0"/>
              <w:right w:val="single" w:color="auto" w:sz="8" w:space="0"/>
            </w:tcBorders>
            <w:noWrap w:val="0"/>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pPr>
              <w:widowControl/>
              <w:jc w:val="center"/>
              <w:rPr>
                <w:rFonts w:hint="eastAsia" w:ascii="仿宋_GB2312" w:hAnsi="Calibri" w:eastAsia="仿宋_GB2312" w:cs="Calibri"/>
                <w:color w:val="000000"/>
                <w:kern w:val="0"/>
                <w:szCs w:val="21"/>
                <w:lang w:val="en-US" w:eastAsia="zh-CN"/>
              </w:rPr>
            </w:pPr>
            <w:r>
              <w:rPr>
                <w:rFonts w:hint="eastAsia" w:ascii="仿宋_GB2312" w:eastAsia="仿宋_GB2312" w:cs="Calibri"/>
                <w:color w:val="000000"/>
                <w:kern w:val="0"/>
                <w:szCs w:val="21"/>
                <w:lang w:val="en-US" w:eastAsia="zh-CN"/>
              </w:rPr>
              <w:t>0</w:t>
            </w:r>
          </w:p>
        </w:tc>
      </w:tr>
      <w:tr>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行政规范性文件</w:t>
            </w:r>
          </w:p>
        </w:tc>
        <w:tc>
          <w:tcPr>
            <w:tcW w:w="1250" w:type="pct"/>
            <w:tcBorders>
              <w:top w:val="nil"/>
              <w:left w:val="nil"/>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pPr>
              <w:widowControl/>
              <w:jc w:val="center"/>
              <w:rPr>
                <w:rFonts w:ascii="仿宋_GB2312" w:hAnsi="Calibri" w:eastAsia="仿宋_GB2312" w:cs="Calibri"/>
                <w:color w:val="000000"/>
                <w:kern w:val="0"/>
                <w:szCs w:val="21"/>
              </w:rPr>
            </w:pPr>
            <w:r>
              <w:rPr>
                <w:rFonts w:hint="eastAsia" w:ascii="仿宋_GB2312" w:eastAsia="仿宋_GB2312" w:cs="Calibri"/>
                <w:color w:val="000000"/>
                <w:kern w:val="0"/>
                <w:szCs w:val="21"/>
                <w:lang w:val="en-US" w:eastAsia="zh-CN"/>
              </w:rPr>
              <w:t>0</w:t>
            </w:r>
          </w:p>
        </w:tc>
      </w:tr>
      <w:tr>
        <w:tblPrEx>
          <w:tblCellMar>
            <w:top w:w="0" w:type="dxa"/>
            <w:left w:w="108" w:type="dxa"/>
            <w:bottom w:w="0" w:type="dxa"/>
            <w:right w:w="108" w:type="dxa"/>
          </w:tblCellMar>
        </w:tblPrEx>
        <w:trPr>
          <w:trHeight w:val="567" w:hRule="atLeast"/>
          <w:jc w:val="center"/>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第二十条第（五）项</w:t>
            </w:r>
          </w:p>
        </w:tc>
      </w:tr>
      <w:tr>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行政许可</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hint="eastAsia" w:ascii="仿宋_GB2312" w:hAnsi="Calibri" w:eastAsia="仿宋_GB2312" w:cs="Calibri"/>
                <w:color w:val="000000"/>
                <w:kern w:val="0"/>
                <w:szCs w:val="21"/>
                <w:lang w:val="en-US" w:eastAsia="zh-CN"/>
              </w:rPr>
            </w:pPr>
            <w:r>
              <w:rPr>
                <w:rFonts w:hint="eastAsia" w:ascii="仿宋_GB2312" w:eastAsia="仿宋_GB2312" w:cs="Calibri"/>
                <w:color w:val="000000"/>
                <w:kern w:val="0"/>
                <w:szCs w:val="21"/>
                <w:lang w:val="en-US" w:eastAsia="zh-CN"/>
              </w:rPr>
              <w:t>0</w:t>
            </w:r>
          </w:p>
        </w:tc>
      </w:tr>
      <w:tr>
        <w:trPr>
          <w:trHeight w:val="567" w:hRule="atLeast"/>
          <w:jc w:val="center"/>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第二十条第（六）项</w:t>
            </w:r>
          </w:p>
        </w:tc>
      </w:tr>
      <w:tr>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行政处罚</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749</w:t>
            </w:r>
          </w:p>
        </w:tc>
      </w:tr>
      <w:tr>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行政强制</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127</w:t>
            </w:r>
          </w:p>
        </w:tc>
      </w:tr>
      <w:tr>
        <w:trPr>
          <w:trHeight w:val="567" w:hRule="atLeast"/>
          <w:jc w:val="center"/>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第二十条第（八）项</w:t>
            </w:r>
          </w:p>
        </w:tc>
      </w:tr>
      <w:tr>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本年收费金额（单位：万元）</w:t>
            </w:r>
          </w:p>
        </w:tc>
      </w:tr>
      <w:tr>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行政事业性收费</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hint="eastAsia" w:ascii="仿宋_GB2312" w:hAnsi="Calibri" w:eastAsia="仿宋_GB2312" w:cs="Calibri"/>
                <w:color w:val="000000"/>
                <w:kern w:val="0"/>
                <w:szCs w:val="21"/>
                <w:lang w:val="en-US" w:eastAsia="zh-CN"/>
              </w:rPr>
            </w:pPr>
            <w:r>
              <w:rPr>
                <w:rFonts w:hint="eastAsia" w:ascii="仿宋_GB2312" w:eastAsia="仿宋_GB2312" w:cs="Calibri"/>
                <w:color w:val="000000"/>
                <w:kern w:val="0"/>
                <w:szCs w:val="21"/>
                <w:lang w:val="en-US" w:eastAsia="zh-CN"/>
              </w:rPr>
              <w:t>0</w:t>
            </w:r>
          </w:p>
        </w:tc>
      </w:tr>
    </w:tbl>
    <w:p>
      <w:pPr>
        <w:pStyle w:val="2"/>
        <w:rPr>
          <w:rFonts w:hint="eastAsia"/>
          <w:lang w:eastAsia="zh-CN"/>
        </w:rPr>
      </w:pPr>
    </w:p>
    <w:p>
      <w:pPr>
        <w:ind w:firstLine="640" w:firstLineChars="200"/>
        <w:jc w:val="left"/>
        <w:rPr>
          <w:rFonts w:hint="eastAsia" w:ascii="CESI黑体-GB2312" w:hAnsi="CESI黑体-GB2312" w:eastAsia="CESI黑体-GB2312" w:cs="CESI黑体-GB2312"/>
          <w:sz w:val="32"/>
          <w:szCs w:val="32"/>
          <w:lang w:eastAsia="zh-CN"/>
        </w:rPr>
      </w:pPr>
    </w:p>
    <w:p>
      <w:pPr>
        <w:ind w:firstLine="640" w:firstLineChars="200"/>
        <w:jc w:val="left"/>
        <w:rPr>
          <w:rFonts w:hint="eastAsia" w:ascii="CESI黑体-GB2312" w:hAnsi="CESI黑体-GB2312" w:eastAsia="CESI黑体-GB2312" w:cs="CESI黑体-GB2312"/>
          <w:sz w:val="32"/>
          <w:szCs w:val="32"/>
        </w:rPr>
      </w:pPr>
      <w:r>
        <w:rPr>
          <w:rFonts w:hint="eastAsia" w:ascii="CESI黑体-GB2312" w:hAnsi="CESI黑体-GB2312" w:eastAsia="CESI黑体-GB2312" w:cs="CESI黑体-GB2312"/>
          <w:sz w:val="32"/>
          <w:szCs w:val="32"/>
          <w:lang w:eastAsia="zh-CN"/>
        </w:rPr>
        <w:t>三、</w:t>
      </w:r>
      <w:r>
        <w:rPr>
          <w:rFonts w:hint="eastAsia" w:ascii="CESI黑体-GB2312" w:hAnsi="CESI黑体-GB2312" w:eastAsia="CESI黑体-GB2312" w:cs="CESI黑体-GB2312"/>
          <w:sz w:val="32"/>
          <w:szCs w:val="32"/>
        </w:rPr>
        <w:t>收到和处理政府信息公开申请情况</w:t>
      </w:r>
    </w:p>
    <w:tbl>
      <w:tblPr>
        <w:tblStyle w:val="6"/>
        <w:tblW w:w="991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829"/>
        <w:gridCol w:w="567"/>
        <w:gridCol w:w="567"/>
        <w:gridCol w:w="731"/>
        <w:gridCol w:w="708"/>
        <w:gridCol w:w="567"/>
        <w:gridCol w:w="85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93" w:type="dxa"/>
            <w:gridSpan w:val="3"/>
            <w:vMerge w:val="restart"/>
            <w:noWrap w:val="0"/>
            <w:tcMar>
              <w:left w:w="108" w:type="dxa"/>
              <w:right w:w="108" w:type="dxa"/>
            </w:tcMar>
            <w:vAlign w:val="center"/>
          </w:tcPr>
          <w:p>
            <w:pPr>
              <w:widowControl/>
              <w:jc w:val="center"/>
              <w:rPr>
                <w:rFonts w:ascii="楷体_GB2312" w:hAnsi="黑体" w:eastAsia="楷体_GB2312"/>
                <w:kern w:val="0"/>
                <w:szCs w:val="21"/>
              </w:rPr>
            </w:pPr>
            <w:r>
              <w:rPr>
                <w:rFonts w:hint="eastAsia" w:ascii="楷体_GB2312" w:hAnsi="黑体" w:eastAsia="楷体_GB2312"/>
                <w:kern w:val="0"/>
                <w:szCs w:val="21"/>
              </w:rPr>
              <w:t>（本列数据的勾稽关系为：第一项加第二项之和，</w:t>
            </w:r>
          </w:p>
          <w:p>
            <w:pPr>
              <w:widowControl/>
              <w:jc w:val="center"/>
              <w:rPr>
                <w:rFonts w:ascii="仿宋_GB2312" w:hAnsi="Times New Roman" w:eastAsia="仿宋_GB2312"/>
                <w:szCs w:val="21"/>
              </w:rPr>
            </w:pPr>
            <w:r>
              <w:rPr>
                <w:rFonts w:hint="eastAsia" w:ascii="楷体_GB2312" w:hAnsi="黑体" w:eastAsia="楷体_GB2312"/>
                <w:kern w:val="0"/>
                <w:szCs w:val="21"/>
              </w:rPr>
              <w:t>等于第三项加第四项之和）</w:t>
            </w:r>
          </w:p>
        </w:tc>
        <w:tc>
          <w:tcPr>
            <w:tcW w:w="4820" w:type="dxa"/>
            <w:gridSpan w:val="7"/>
            <w:noWrap w:val="0"/>
            <w:tcMar>
              <w:left w:w="108" w:type="dxa"/>
              <w:right w:w="108" w:type="dxa"/>
            </w:tcMar>
            <w:vAlign w:val="center"/>
          </w:tcPr>
          <w:p>
            <w:pPr>
              <w:widowControl/>
              <w:spacing w:line="320" w:lineRule="exact"/>
              <w:jc w:val="center"/>
              <w:rPr>
                <w:rFonts w:ascii="黑体" w:hAnsi="黑体" w:eastAsia="黑体"/>
                <w:szCs w:val="21"/>
              </w:rPr>
            </w:pPr>
            <w:r>
              <w:rPr>
                <w:rFonts w:hint="eastAsia" w:ascii="黑体" w:hAnsi="黑体" w:eastAsia="黑体"/>
                <w:kern w:val="0"/>
                <w:szCs w:val="21"/>
              </w:rPr>
              <w:t>申请人情况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noWrap w:val="0"/>
            <w:tcMar>
              <w:left w:w="108" w:type="dxa"/>
              <w:right w:w="108" w:type="dxa"/>
            </w:tcMar>
            <w:vAlign w:val="center"/>
          </w:tcPr>
          <w:p>
            <w:pPr>
              <w:jc w:val="center"/>
              <w:rPr>
                <w:rFonts w:ascii="仿宋_GB2312" w:hAnsi="Times New Roman" w:eastAsia="仿宋_GB2312"/>
                <w:szCs w:val="21"/>
              </w:rPr>
            </w:pPr>
          </w:p>
        </w:tc>
        <w:tc>
          <w:tcPr>
            <w:tcW w:w="829" w:type="dxa"/>
            <w:vMerge w:val="restart"/>
            <w:noWrap w:val="0"/>
            <w:tcMar>
              <w:left w:w="108" w:type="dxa"/>
              <w:right w:w="108" w:type="dxa"/>
            </w:tcMar>
            <w:vAlign w:val="center"/>
          </w:tcPr>
          <w:p>
            <w:pPr>
              <w:widowControl/>
              <w:jc w:val="center"/>
              <w:rPr>
                <w:rFonts w:ascii="黑体" w:hAnsi="黑体" w:eastAsia="黑体"/>
                <w:szCs w:val="21"/>
              </w:rPr>
            </w:pPr>
            <w:r>
              <w:rPr>
                <w:rFonts w:hint="eastAsia" w:ascii="黑体" w:hAnsi="黑体" w:eastAsia="黑体"/>
                <w:kern w:val="0"/>
                <w:szCs w:val="21"/>
              </w:rPr>
              <w:t>自然人</w:t>
            </w:r>
          </w:p>
        </w:tc>
        <w:tc>
          <w:tcPr>
            <w:tcW w:w="3140" w:type="dxa"/>
            <w:gridSpan w:val="5"/>
            <w:noWrap w:val="0"/>
            <w:tcMar>
              <w:left w:w="108" w:type="dxa"/>
              <w:right w:w="108" w:type="dxa"/>
            </w:tcMar>
            <w:vAlign w:val="center"/>
          </w:tcPr>
          <w:p>
            <w:pPr>
              <w:widowControl/>
              <w:spacing w:line="320" w:lineRule="exact"/>
              <w:jc w:val="center"/>
              <w:rPr>
                <w:rFonts w:ascii="黑体" w:hAnsi="黑体" w:eastAsia="黑体"/>
                <w:szCs w:val="21"/>
              </w:rPr>
            </w:pPr>
            <w:r>
              <w:rPr>
                <w:rFonts w:hint="eastAsia" w:ascii="黑体" w:hAnsi="黑体" w:eastAsia="黑体"/>
                <w:kern w:val="0"/>
                <w:szCs w:val="21"/>
              </w:rPr>
              <w:t>法人或其他组织</w:t>
            </w:r>
          </w:p>
        </w:tc>
        <w:tc>
          <w:tcPr>
            <w:tcW w:w="851" w:type="dxa"/>
            <w:vMerge w:val="restart"/>
            <w:noWrap w:val="0"/>
            <w:tcMar>
              <w:left w:w="108" w:type="dxa"/>
              <w:right w:w="108" w:type="dxa"/>
            </w:tcMar>
            <w:vAlign w:val="center"/>
          </w:tcPr>
          <w:p>
            <w:pPr>
              <w:widowControl/>
              <w:jc w:val="center"/>
              <w:rPr>
                <w:rFonts w:ascii="黑体" w:hAnsi="黑体" w:eastAsia="黑体"/>
                <w:szCs w:val="21"/>
              </w:rPr>
            </w:pPr>
            <w:r>
              <w:rPr>
                <w:rFonts w:hint="eastAsia" w:ascii="黑体" w:hAnsi="黑体" w:eastAsia="黑体"/>
                <w:kern w:val="0"/>
                <w:szCs w:val="21"/>
              </w:rPr>
              <w:t>总计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093" w:type="dxa"/>
            <w:gridSpan w:val="3"/>
            <w:vMerge w:val="continue"/>
            <w:noWrap w:val="0"/>
            <w:tcMar>
              <w:left w:w="108" w:type="dxa"/>
              <w:right w:w="108" w:type="dxa"/>
            </w:tcMar>
            <w:vAlign w:val="center"/>
          </w:tcPr>
          <w:p>
            <w:pPr>
              <w:jc w:val="center"/>
              <w:rPr>
                <w:rFonts w:ascii="仿宋_GB2312" w:hAnsi="Times New Roman" w:eastAsia="仿宋_GB2312"/>
                <w:szCs w:val="21"/>
              </w:rPr>
            </w:pPr>
          </w:p>
        </w:tc>
        <w:tc>
          <w:tcPr>
            <w:tcW w:w="829" w:type="dxa"/>
            <w:vMerge w:val="continue"/>
            <w:noWrap w:val="0"/>
            <w:tcMar>
              <w:left w:w="108" w:type="dxa"/>
              <w:right w:w="108" w:type="dxa"/>
            </w:tcMar>
            <w:vAlign w:val="center"/>
          </w:tcPr>
          <w:p>
            <w:pPr>
              <w:jc w:val="center"/>
              <w:rPr>
                <w:rFonts w:ascii="黑体" w:hAnsi="黑体" w:eastAsia="黑体"/>
                <w:szCs w:val="21"/>
              </w:rPr>
            </w:pPr>
          </w:p>
        </w:tc>
        <w:tc>
          <w:tcPr>
            <w:tcW w:w="567" w:type="dxa"/>
            <w:noWrap w:val="0"/>
            <w:tcMar>
              <w:left w:w="108" w:type="dxa"/>
              <w:right w:w="108" w:type="dxa"/>
            </w:tcMar>
            <w:vAlign w:val="center"/>
          </w:tcPr>
          <w:p>
            <w:pPr>
              <w:widowControl/>
              <w:spacing w:line="320" w:lineRule="exact"/>
              <w:ind w:left="-106" w:leftChars="-51" w:right="-107" w:rightChars="-51" w:hanging="1"/>
              <w:jc w:val="center"/>
              <w:rPr>
                <w:rFonts w:ascii="黑体" w:hAnsi="黑体" w:eastAsia="黑体"/>
                <w:szCs w:val="21"/>
              </w:rPr>
            </w:pPr>
            <w:r>
              <w:rPr>
                <w:rFonts w:hint="eastAsia" w:ascii="黑体" w:hAnsi="黑体" w:eastAsia="黑体"/>
                <w:kern w:val="0"/>
                <w:szCs w:val="21"/>
              </w:rPr>
              <w:t>商业企业</w:t>
            </w:r>
          </w:p>
        </w:tc>
        <w:tc>
          <w:tcPr>
            <w:tcW w:w="567" w:type="dxa"/>
            <w:noWrap w:val="0"/>
            <w:tcMar>
              <w:left w:w="108" w:type="dxa"/>
              <w:right w:w="108" w:type="dxa"/>
            </w:tcMar>
            <w:vAlign w:val="center"/>
          </w:tcPr>
          <w:p>
            <w:pPr>
              <w:widowControl/>
              <w:spacing w:line="320" w:lineRule="exact"/>
              <w:ind w:left="-107" w:leftChars="-51" w:right="-107" w:rightChars="-51"/>
              <w:jc w:val="center"/>
              <w:rPr>
                <w:rFonts w:ascii="黑体" w:hAnsi="黑体" w:eastAsia="黑体"/>
                <w:szCs w:val="21"/>
              </w:rPr>
            </w:pPr>
            <w:r>
              <w:rPr>
                <w:rFonts w:hint="eastAsia" w:ascii="黑体" w:hAnsi="黑体" w:eastAsia="黑体"/>
                <w:kern w:val="0"/>
                <w:szCs w:val="21"/>
              </w:rPr>
              <w:t>科研机构</w:t>
            </w:r>
          </w:p>
        </w:tc>
        <w:tc>
          <w:tcPr>
            <w:tcW w:w="731" w:type="dxa"/>
            <w:noWrap w:val="0"/>
            <w:tcMar>
              <w:left w:w="108" w:type="dxa"/>
              <w:right w:w="108" w:type="dxa"/>
            </w:tcMar>
            <w:vAlign w:val="center"/>
          </w:tcPr>
          <w:p>
            <w:pPr>
              <w:widowControl/>
              <w:spacing w:line="320" w:lineRule="exact"/>
              <w:ind w:left="-107" w:leftChars="-51" w:right="-107" w:rightChars="-51"/>
              <w:jc w:val="center"/>
              <w:rPr>
                <w:rFonts w:ascii="黑体" w:hAnsi="黑体" w:eastAsia="黑体"/>
                <w:szCs w:val="21"/>
              </w:rPr>
            </w:pPr>
            <w:r>
              <w:rPr>
                <w:rFonts w:hint="eastAsia" w:ascii="黑体" w:hAnsi="黑体" w:eastAsia="黑体"/>
                <w:kern w:val="0"/>
                <w:szCs w:val="21"/>
              </w:rPr>
              <w:t>社会公益组织</w:t>
            </w:r>
          </w:p>
        </w:tc>
        <w:tc>
          <w:tcPr>
            <w:tcW w:w="708" w:type="dxa"/>
            <w:noWrap w:val="0"/>
            <w:tcMar>
              <w:left w:w="108" w:type="dxa"/>
              <w:right w:w="108" w:type="dxa"/>
            </w:tcMar>
            <w:vAlign w:val="center"/>
          </w:tcPr>
          <w:p>
            <w:pPr>
              <w:widowControl/>
              <w:spacing w:line="320" w:lineRule="exact"/>
              <w:ind w:left="-106" w:leftChars="-51" w:right="-107" w:rightChars="-51" w:hanging="1"/>
              <w:jc w:val="center"/>
              <w:rPr>
                <w:rFonts w:ascii="黑体" w:hAnsi="黑体" w:eastAsia="黑体"/>
                <w:szCs w:val="21"/>
              </w:rPr>
            </w:pPr>
            <w:r>
              <w:rPr>
                <w:rFonts w:hint="eastAsia" w:ascii="黑体" w:hAnsi="黑体" w:eastAsia="黑体"/>
                <w:kern w:val="0"/>
                <w:szCs w:val="21"/>
              </w:rPr>
              <w:t>法律服务机构</w:t>
            </w:r>
          </w:p>
        </w:tc>
        <w:tc>
          <w:tcPr>
            <w:tcW w:w="567" w:type="dxa"/>
            <w:noWrap w:val="0"/>
            <w:tcMar>
              <w:left w:w="108" w:type="dxa"/>
              <w:right w:w="108" w:type="dxa"/>
            </w:tcMar>
            <w:vAlign w:val="center"/>
          </w:tcPr>
          <w:p>
            <w:pPr>
              <w:widowControl/>
              <w:spacing w:line="360" w:lineRule="exact"/>
              <w:ind w:left="-63" w:leftChars="-30" w:right="-134" w:rightChars="-64"/>
              <w:jc w:val="center"/>
              <w:rPr>
                <w:rFonts w:ascii="黑体" w:hAnsi="黑体" w:eastAsia="黑体"/>
                <w:szCs w:val="21"/>
              </w:rPr>
            </w:pPr>
            <w:r>
              <w:rPr>
                <w:rFonts w:hint="eastAsia" w:ascii="黑体" w:hAnsi="黑体" w:eastAsia="黑体"/>
                <w:kern w:val="0"/>
                <w:szCs w:val="21"/>
              </w:rPr>
              <w:t>其他</w:t>
            </w:r>
          </w:p>
        </w:tc>
        <w:tc>
          <w:tcPr>
            <w:tcW w:w="851" w:type="dxa"/>
            <w:vMerge w:val="continue"/>
            <w:noWrap w:val="0"/>
            <w:tcMar>
              <w:left w:w="108" w:type="dxa"/>
              <w:right w:w="108" w:type="dxa"/>
            </w:tcMar>
            <w:vAlign w:val="center"/>
          </w:tcPr>
          <w:p>
            <w:pPr>
              <w:jc w:val="center"/>
              <w:rPr>
                <w:rFonts w:ascii="仿宋_GB2312" w:hAnsi="Times New Roman" w:eastAsia="仿宋_GB2312"/>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noWrap w:val="0"/>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一、</w:t>
            </w:r>
            <w:bookmarkStart w:id="1" w:name="_Hlk66973412"/>
            <w:r>
              <w:rPr>
                <w:rFonts w:hint="eastAsia" w:ascii="黑体" w:hAnsi="黑体" w:eastAsia="黑体"/>
                <w:kern w:val="0"/>
                <w:szCs w:val="21"/>
              </w:rPr>
              <w:t>本年新收政府信息公开申请数量</w:t>
            </w:r>
            <w:bookmarkEnd w:id="1"/>
          </w:p>
        </w:tc>
        <w:tc>
          <w:tcPr>
            <w:tcW w:w="829" w:type="dxa"/>
            <w:noWrap w:val="0"/>
            <w:tcMar>
              <w:left w:w="108" w:type="dxa"/>
              <w:right w:w="108" w:type="dxa"/>
            </w:tcMar>
            <w:vAlign w:val="center"/>
          </w:tcPr>
          <w:p>
            <w:pPr>
              <w:widowControl/>
              <w:spacing w:after="180"/>
              <w:jc w:val="center"/>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8</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bidi="ar-SA"/>
              </w:rPr>
              <w:t>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noWrap w:val="0"/>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二、上年结转政府信息公开申请数量</w:t>
            </w:r>
          </w:p>
        </w:tc>
        <w:tc>
          <w:tcPr>
            <w:tcW w:w="829" w:type="dxa"/>
            <w:noWrap w:val="0"/>
            <w:tcMar>
              <w:left w:w="108" w:type="dxa"/>
              <w:right w:w="108" w:type="dxa"/>
            </w:tcMar>
            <w:vAlign w:val="center"/>
          </w:tcPr>
          <w:p>
            <w:pPr>
              <w:widowControl/>
              <w:spacing w:after="180"/>
              <w:jc w:val="center"/>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1</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restart"/>
            <w:noWrap w:val="0"/>
            <w:tcMar>
              <w:left w:w="108" w:type="dxa"/>
              <w:right w:w="108" w:type="dxa"/>
            </w:tcMar>
            <w:vAlign w:val="center"/>
          </w:tcPr>
          <w:p>
            <w:pPr>
              <w:widowControl/>
              <w:spacing w:after="180"/>
              <w:rPr>
                <w:rFonts w:ascii="黑体" w:hAnsi="黑体" w:eastAsia="黑体"/>
                <w:szCs w:val="21"/>
              </w:rPr>
            </w:pPr>
            <w:r>
              <w:rPr>
                <w:rFonts w:hint="eastAsia" w:ascii="黑体" w:hAnsi="黑体" w:eastAsia="黑体"/>
                <w:kern w:val="0"/>
                <w:szCs w:val="21"/>
              </w:rPr>
              <w:t>三、本年度办理结果</w:t>
            </w:r>
          </w:p>
        </w:tc>
        <w:tc>
          <w:tcPr>
            <w:tcW w:w="4677" w:type="dxa"/>
            <w:gridSpan w:val="2"/>
            <w:noWrap w:val="0"/>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（一）予以公开</w:t>
            </w:r>
          </w:p>
        </w:tc>
        <w:tc>
          <w:tcPr>
            <w:tcW w:w="829"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5</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rPr>
                <w:rFonts w:ascii="黑体" w:hAnsi="黑体" w:eastAsia="黑体"/>
                <w:szCs w:val="21"/>
              </w:rPr>
            </w:pPr>
          </w:p>
        </w:tc>
        <w:tc>
          <w:tcPr>
            <w:tcW w:w="4677" w:type="dxa"/>
            <w:gridSpan w:val="2"/>
            <w:noWrap w:val="0"/>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（二）部分公开（</w:t>
            </w:r>
            <w:bookmarkStart w:id="2" w:name="_Hlk66973981"/>
            <w:r>
              <w:rPr>
                <w:rFonts w:hint="eastAsia" w:ascii="黑体" w:hAnsi="黑体" w:eastAsia="黑体"/>
                <w:kern w:val="0"/>
                <w:szCs w:val="21"/>
              </w:rPr>
              <w:t>区分处理的，只计这一情形，不计其他情形</w:t>
            </w:r>
            <w:bookmarkEnd w:id="2"/>
            <w:r>
              <w:rPr>
                <w:rFonts w:hint="eastAsia" w:ascii="黑体" w:hAnsi="黑体" w:eastAsia="黑体"/>
                <w:kern w:val="0"/>
                <w:szCs w:val="21"/>
              </w:rPr>
              <w:t>）</w:t>
            </w:r>
          </w:p>
        </w:tc>
        <w:tc>
          <w:tcPr>
            <w:tcW w:w="829"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bidi="ar-SA"/>
              </w:rPr>
              <w:t>4</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restart"/>
            <w:noWrap w:val="0"/>
            <w:tcMar>
              <w:left w:w="108" w:type="dxa"/>
              <w:right w:w="108" w:type="dxa"/>
            </w:tcMar>
            <w:vAlign w:val="center"/>
          </w:tcPr>
          <w:p>
            <w:pPr>
              <w:widowControl/>
              <w:spacing w:line="200" w:lineRule="exact"/>
              <w:ind w:left="-107" w:leftChars="-51"/>
              <w:rPr>
                <w:rFonts w:ascii="黑体" w:hAnsi="黑体" w:eastAsia="黑体"/>
                <w:szCs w:val="21"/>
              </w:rPr>
            </w:pPr>
            <w:r>
              <w:rPr>
                <w:rFonts w:hint="eastAsia" w:ascii="黑体" w:hAnsi="黑体" w:eastAsia="黑体"/>
                <w:kern w:val="0"/>
                <w:szCs w:val="21"/>
              </w:rPr>
              <w:t>（三）不予公开</w:t>
            </w:r>
          </w:p>
        </w:tc>
        <w:tc>
          <w:tcPr>
            <w:tcW w:w="2976" w:type="dxa"/>
            <w:noWrap w:val="0"/>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1.属于国家秘密</w:t>
            </w:r>
          </w:p>
        </w:tc>
        <w:tc>
          <w:tcPr>
            <w:tcW w:w="829"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spacing w:line="200" w:lineRule="exact"/>
              <w:rPr>
                <w:rFonts w:ascii="黑体" w:hAnsi="黑体" w:eastAsia="黑体"/>
                <w:szCs w:val="21"/>
              </w:rPr>
            </w:pPr>
          </w:p>
        </w:tc>
        <w:tc>
          <w:tcPr>
            <w:tcW w:w="2976" w:type="dxa"/>
            <w:noWrap w:val="0"/>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2.</w:t>
            </w:r>
            <w:bookmarkStart w:id="3" w:name="_Hlk66974104"/>
            <w:r>
              <w:rPr>
                <w:rFonts w:hint="eastAsia" w:ascii="仿宋_GB2312" w:hAnsi="黑体" w:eastAsia="仿宋_GB2312"/>
                <w:kern w:val="0"/>
                <w:szCs w:val="21"/>
              </w:rPr>
              <w:t>其他法律行政法规禁止公开</w:t>
            </w:r>
            <w:bookmarkEnd w:id="3"/>
          </w:p>
        </w:tc>
        <w:tc>
          <w:tcPr>
            <w:tcW w:w="829"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spacing w:line="200" w:lineRule="exact"/>
              <w:rPr>
                <w:rFonts w:ascii="黑体" w:hAnsi="黑体" w:eastAsia="黑体"/>
                <w:szCs w:val="21"/>
              </w:rPr>
            </w:pPr>
          </w:p>
        </w:tc>
        <w:tc>
          <w:tcPr>
            <w:tcW w:w="2976" w:type="dxa"/>
            <w:noWrap w:val="0"/>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3.危及“三安全一稳定”</w:t>
            </w:r>
          </w:p>
        </w:tc>
        <w:tc>
          <w:tcPr>
            <w:tcW w:w="829"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spacing w:line="200" w:lineRule="exact"/>
              <w:rPr>
                <w:rFonts w:ascii="黑体" w:hAnsi="黑体" w:eastAsia="黑体"/>
                <w:szCs w:val="21"/>
              </w:rPr>
            </w:pPr>
          </w:p>
        </w:tc>
        <w:tc>
          <w:tcPr>
            <w:tcW w:w="2976" w:type="dxa"/>
            <w:noWrap w:val="0"/>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4.</w:t>
            </w:r>
            <w:bookmarkStart w:id="4" w:name="_Hlk66974290"/>
            <w:r>
              <w:rPr>
                <w:rFonts w:hint="eastAsia" w:ascii="仿宋_GB2312" w:hAnsi="黑体" w:eastAsia="仿宋_GB2312"/>
                <w:kern w:val="0"/>
                <w:szCs w:val="21"/>
              </w:rPr>
              <w:t>保护第三方合法权益</w:t>
            </w:r>
            <w:bookmarkEnd w:id="4"/>
          </w:p>
        </w:tc>
        <w:tc>
          <w:tcPr>
            <w:tcW w:w="829"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spacing w:line="200" w:lineRule="exact"/>
              <w:rPr>
                <w:rFonts w:ascii="黑体" w:hAnsi="黑体" w:eastAsia="黑体"/>
                <w:szCs w:val="21"/>
              </w:rPr>
            </w:pPr>
          </w:p>
        </w:tc>
        <w:tc>
          <w:tcPr>
            <w:tcW w:w="2976" w:type="dxa"/>
            <w:noWrap w:val="0"/>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5.属于三类内部事务信息</w:t>
            </w:r>
          </w:p>
        </w:tc>
        <w:tc>
          <w:tcPr>
            <w:tcW w:w="829"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spacing w:line="200" w:lineRule="exact"/>
              <w:rPr>
                <w:rFonts w:ascii="黑体" w:hAnsi="黑体" w:eastAsia="黑体"/>
                <w:szCs w:val="21"/>
              </w:rPr>
            </w:pPr>
          </w:p>
        </w:tc>
        <w:tc>
          <w:tcPr>
            <w:tcW w:w="2976" w:type="dxa"/>
            <w:noWrap w:val="0"/>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6.</w:t>
            </w:r>
            <w:bookmarkStart w:id="5" w:name="_Hlk66974555"/>
            <w:r>
              <w:rPr>
                <w:rFonts w:hint="eastAsia" w:ascii="仿宋_GB2312" w:hAnsi="黑体" w:eastAsia="仿宋_GB2312"/>
                <w:kern w:val="0"/>
                <w:szCs w:val="21"/>
              </w:rPr>
              <w:t>属于四类过程性信息</w:t>
            </w:r>
            <w:bookmarkEnd w:id="5"/>
          </w:p>
        </w:tc>
        <w:tc>
          <w:tcPr>
            <w:tcW w:w="829"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spacing w:line="200" w:lineRule="exact"/>
              <w:rPr>
                <w:rFonts w:ascii="黑体" w:hAnsi="黑体" w:eastAsia="黑体"/>
                <w:szCs w:val="21"/>
              </w:rPr>
            </w:pPr>
          </w:p>
        </w:tc>
        <w:tc>
          <w:tcPr>
            <w:tcW w:w="2976" w:type="dxa"/>
            <w:noWrap w:val="0"/>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7.属于行政执法案卷</w:t>
            </w:r>
          </w:p>
        </w:tc>
        <w:tc>
          <w:tcPr>
            <w:tcW w:w="829"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spacing w:line="200" w:lineRule="exact"/>
              <w:rPr>
                <w:rFonts w:ascii="黑体" w:hAnsi="黑体" w:eastAsia="黑体"/>
                <w:szCs w:val="21"/>
              </w:rPr>
            </w:pPr>
          </w:p>
        </w:tc>
        <w:tc>
          <w:tcPr>
            <w:tcW w:w="2976" w:type="dxa"/>
            <w:noWrap w:val="0"/>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8.</w:t>
            </w:r>
            <w:bookmarkStart w:id="6" w:name="_Hlk66975211"/>
            <w:r>
              <w:rPr>
                <w:rFonts w:hint="eastAsia" w:ascii="仿宋_GB2312" w:hAnsi="黑体" w:eastAsia="仿宋_GB2312"/>
                <w:kern w:val="0"/>
                <w:szCs w:val="21"/>
              </w:rPr>
              <w:t>属于行政查询事项</w:t>
            </w:r>
            <w:bookmarkEnd w:id="6"/>
          </w:p>
        </w:tc>
        <w:tc>
          <w:tcPr>
            <w:tcW w:w="829"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restart"/>
            <w:noWrap w:val="0"/>
            <w:tcMar>
              <w:left w:w="108" w:type="dxa"/>
              <w:right w:w="108" w:type="dxa"/>
            </w:tcMar>
            <w:vAlign w:val="center"/>
          </w:tcPr>
          <w:p>
            <w:pPr>
              <w:widowControl/>
              <w:spacing w:line="200" w:lineRule="exact"/>
              <w:ind w:left="-107" w:leftChars="-51"/>
              <w:rPr>
                <w:rFonts w:ascii="黑体" w:hAnsi="黑体" w:eastAsia="黑体"/>
                <w:szCs w:val="21"/>
              </w:rPr>
            </w:pPr>
            <w:r>
              <w:rPr>
                <w:rFonts w:hint="eastAsia" w:ascii="黑体" w:hAnsi="黑体" w:eastAsia="黑体"/>
                <w:kern w:val="0"/>
                <w:szCs w:val="21"/>
              </w:rPr>
              <w:t>（四）无法提供</w:t>
            </w:r>
          </w:p>
        </w:tc>
        <w:tc>
          <w:tcPr>
            <w:tcW w:w="2976" w:type="dxa"/>
            <w:noWrap w:val="0"/>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1.本机关不掌握相关政府信息</w:t>
            </w:r>
          </w:p>
        </w:tc>
        <w:tc>
          <w:tcPr>
            <w:tcW w:w="829"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spacing w:line="200" w:lineRule="exact"/>
              <w:ind w:left="-107" w:leftChars="-51"/>
              <w:rPr>
                <w:rFonts w:ascii="黑体" w:hAnsi="黑体" w:eastAsia="黑体"/>
                <w:szCs w:val="21"/>
              </w:rPr>
            </w:pPr>
          </w:p>
        </w:tc>
        <w:tc>
          <w:tcPr>
            <w:tcW w:w="2976" w:type="dxa"/>
            <w:noWrap w:val="0"/>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2.</w:t>
            </w:r>
            <w:bookmarkStart w:id="7" w:name="_Hlk66975392"/>
            <w:r>
              <w:rPr>
                <w:rFonts w:hint="eastAsia" w:ascii="仿宋_GB2312" w:hAnsi="黑体" w:eastAsia="仿宋_GB2312"/>
                <w:kern w:val="0"/>
                <w:szCs w:val="21"/>
              </w:rPr>
              <w:t>没有现成信息需要另行制作</w:t>
            </w:r>
            <w:bookmarkEnd w:id="7"/>
          </w:p>
        </w:tc>
        <w:tc>
          <w:tcPr>
            <w:tcW w:w="829"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49"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spacing w:line="200" w:lineRule="exact"/>
              <w:ind w:left="-107" w:leftChars="-51"/>
              <w:rPr>
                <w:rFonts w:ascii="黑体" w:hAnsi="黑体" w:eastAsia="黑体"/>
                <w:szCs w:val="21"/>
              </w:rPr>
            </w:pPr>
          </w:p>
        </w:tc>
        <w:tc>
          <w:tcPr>
            <w:tcW w:w="2976" w:type="dxa"/>
            <w:noWrap w:val="0"/>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3.</w:t>
            </w:r>
            <w:bookmarkStart w:id="8" w:name="_Hlk66975466"/>
            <w:r>
              <w:rPr>
                <w:rFonts w:hint="eastAsia" w:ascii="仿宋_GB2312" w:hAnsi="黑体" w:eastAsia="仿宋_GB2312"/>
                <w:kern w:val="0"/>
                <w:szCs w:val="21"/>
              </w:rPr>
              <w:t>补正后申请内容仍不明确</w:t>
            </w:r>
            <w:bookmarkEnd w:id="8"/>
          </w:p>
        </w:tc>
        <w:tc>
          <w:tcPr>
            <w:tcW w:w="829"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restart"/>
            <w:noWrap w:val="0"/>
            <w:tcMar>
              <w:left w:w="108" w:type="dxa"/>
              <w:right w:w="108" w:type="dxa"/>
            </w:tcMar>
            <w:vAlign w:val="center"/>
          </w:tcPr>
          <w:p>
            <w:pPr>
              <w:widowControl/>
              <w:spacing w:line="200" w:lineRule="exact"/>
              <w:ind w:left="-107" w:leftChars="-51"/>
              <w:rPr>
                <w:rFonts w:ascii="黑体" w:hAnsi="黑体" w:eastAsia="黑体"/>
                <w:szCs w:val="21"/>
              </w:rPr>
            </w:pPr>
            <w:r>
              <w:rPr>
                <w:rFonts w:hint="eastAsia" w:ascii="黑体" w:hAnsi="黑体" w:eastAsia="黑体"/>
                <w:kern w:val="0"/>
                <w:szCs w:val="21"/>
              </w:rPr>
              <w:t>（五）不予处理</w:t>
            </w:r>
          </w:p>
        </w:tc>
        <w:tc>
          <w:tcPr>
            <w:tcW w:w="2976" w:type="dxa"/>
            <w:noWrap w:val="0"/>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1.</w:t>
            </w:r>
            <w:bookmarkStart w:id="9" w:name="_Hlk66975537"/>
            <w:r>
              <w:rPr>
                <w:rFonts w:hint="eastAsia" w:ascii="仿宋_GB2312" w:hAnsi="黑体" w:eastAsia="仿宋_GB2312"/>
                <w:kern w:val="0"/>
                <w:szCs w:val="21"/>
              </w:rPr>
              <w:t>信访举报投诉类申请</w:t>
            </w:r>
            <w:bookmarkEnd w:id="9"/>
          </w:p>
        </w:tc>
        <w:tc>
          <w:tcPr>
            <w:tcW w:w="829" w:type="dxa"/>
            <w:noWrap w:val="0"/>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spacing w:line="200" w:lineRule="exact"/>
              <w:rPr>
                <w:rFonts w:ascii="黑体" w:hAnsi="黑体" w:eastAsia="黑体"/>
                <w:szCs w:val="21"/>
              </w:rPr>
            </w:pPr>
          </w:p>
        </w:tc>
        <w:tc>
          <w:tcPr>
            <w:tcW w:w="2976" w:type="dxa"/>
            <w:noWrap w:val="0"/>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2.重复申请</w:t>
            </w:r>
          </w:p>
        </w:tc>
        <w:tc>
          <w:tcPr>
            <w:tcW w:w="829"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spacing w:line="200" w:lineRule="exact"/>
              <w:rPr>
                <w:rFonts w:ascii="黑体" w:hAnsi="黑体" w:eastAsia="黑体"/>
                <w:szCs w:val="21"/>
              </w:rPr>
            </w:pPr>
          </w:p>
        </w:tc>
        <w:tc>
          <w:tcPr>
            <w:tcW w:w="2976" w:type="dxa"/>
            <w:noWrap w:val="0"/>
            <w:tcMar>
              <w:left w:w="108" w:type="dxa"/>
              <w:right w:w="108" w:type="dxa"/>
            </w:tcMar>
            <w:vAlign w:val="center"/>
          </w:tcPr>
          <w:p>
            <w:pPr>
              <w:widowControl/>
              <w:spacing w:line="200" w:lineRule="exact"/>
              <w:rPr>
                <w:rFonts w:ascii="仿宋_GB2312" w:hAnsi="黑体" w:eastAsia="仿宋_GB2312"/>
                <w:szCs w:val="21"/>
              </w:rPr>
            </w:pPr>
            <w:r>
              <w:rPr>
                <w:rFonts w:hint="eastAsia" w:ascii="仿宋_GB2312" w:hAnsi="黑体" w:eastAsia="仿宋_GB2312"/>
                <w:kern w:val="0"/>
                <w:szCs w:val="21"/>
              </w:rPr>
              <w:t>3.要求提供公开出版物</w:t>
            </w:r>
          </w:p>
        </w:tc>
        <w:tc>
          <w:tcPr>
            <w:tcW w:w="829"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spacing w:line="200" w:lineRule="exact"/>
              <w:rPr>
                <w:rFonts w:ascii="黑体" w:hAnsi="黑体" w:eastAsia="黑体"/>
                <w:szCs w:val="21"/>
              </w:rPr>
            </w:pPr>
          </w:p>
        </w:tc>
        <w:tc>
          <w:tcPr>
            <w:tcW w:w="2976" w:type="dxa"/>
            <w:noWrap w:val="0"/>
            <w:tcMar>
              <w:left w:w="108" w:type="dxa"/>
              <w:right w:w="108" w:type="dxa"/>
            </w:tcMar>
            <w:vAlign w:val="center"/>
          </w:tcPr>
          <w:p>
            <w:pPr>
              <w:widowControl/>
              <w:spacing w:line="200" w:lineRule="exact"/>
              <w:rPr>
                <w:rFonts w:ascii="仿宋_GB2312" w:hAnsi="黑体" w:eastAsia="仿宋_GB2312"/>
                <w:szCs w:val="21"/>
              </w:rPr>
            </w:pPr>
            <w:r>
              <w:rPr>
                <w:rFonts w:hint="eastAsia" w:ascii="仿宋_GB2312" w:hAnsi="黑体" w:eastAsia="仿宋_GB2312"/>
                <w:kern w:val="0"/>
                <w:szCs w:val="21"/>
              </w:rPr>
              <w:t>4.无正当理由大量反复申请</w:t>
            </w:r>
          </w:p>
        </w:tc>
        <w:tc>
          <w:tcPr>
            <w:tcW w:w="829"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spacing w:line="200" w:lineRule="exact"/>
              <w:rPr>
                <w:rFonts w:ascii="黑体" w:hAnsi="黑体" w:eastAsia="黑体"/>
                <w:szCs w:val="21"/>
              </w:rPr>
            </w:pPr>
          </w:p>
        </w:tc>
        <w:tc>
          <w:tcPr>
            <w:tcW w:w="2976" w:type="dxa"/>
            <w:noWrap w:val="0"/>
            <w:tcMar>
              <w:left w:w="108" w:type="dxa"/>
              <w:right w:w="108" w:type="dxa"/>
            </w:tcMar>
            <w:vAlign w:val="center"/>
          </w:tcPr>
          <w:p>
            <w:pPr>
              <w:widowControl/>
              <w:spacing w:line="300" w:lineRule="exact"/>
              <w:rPr>
                <w:rFonts w:ascii="仿宋_GB2312" w:hAnsi="黑体" w:eastAsia="仿宋_GB2312"/>
                <w:szCs w:val="21"/>
              </w:rPr>
            </w:pPr>
            <w:r>
              <w:rPr>
                <w:rFonts w:hint="eastAsia" w:ascii="仿宋_GB2312" w:hAnsi="黑体" w:eastAsia="仿宋_GB2312"/>
                <w:kern w:val="0"/>
                <w:szCs w:val="21"/>
              </w:rPr>
              <w:t>5.要求行政机关确认或重新出具已获取信息</w:t>
            </w:r>
          </w:p>
        </w:tc>
        <w:tc>
          <w:tcPr>
            <w:tcW w:w="829"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restart"/>
            <w:noWrap w:val="0"/>
            <w:tcMar>
              <w:left w:w="108" w:type="dxa"/>
              <w:right w:w="108" w:type="dxa"/>
            </w:tcMar>
            <w:vAlign w:val="center"/>
          </w:tcPr>
          <w:p>
            <w:pPr>
              <w:widowControl/>
              <w:spacing w:line="300" w:lineRule="exact"/>
              <w:rPr>
                <w:rFonts w:ascii="黑体" w:hAnsi="黑体" w:eastAsia="黑体"/>
                <w:kern w:val="0"/>
                <w:szCs w:val="21"/>
              </w:rPr>
            </w:pPr>
            <w:r>
              <w:rPr>
                <w:rFonts w:hint="eastAsia" w:ascii="黑体" w:hAnsi="黑体" w:eastAsia="黑体"/>
                <w:kern w:val="0"/>
                <w:szCs w:val="21"/>
              </w:rPr>
              <w:t>（六）其他处理</w:t>
            </w:r>
          </w:p>
        </w:tc>
        <w:tc>
          <w:tcPr>
            <w:tcW w:w="2976" w:type="dxa"/>
            <w:noWrap w:val="0"/>
            <w:vAlign w:val="center"/>
          </w:tcPr>
          <w:p>
            <w:pPr>
              <w:widowControl/>
              <w:spacing w:line="300" w:lineRule="exact"/>
              <w:rPr>
                <w:rFonts w:ascii="仿宋_GB2312" w:hAnsi="楷体" w:eastAsia="仿宋_GB2312"/>
              </w:rPr>
            </w:pPr>
            <w:r>
              <w:rPr>
                <w:rFonts w:hint="eastAsia" w:ascii="仿宋_GB2312" w:hAnsi="楷体" w:eastAsia="仿宋_GB2312"/>
              </w:rPr>
              <w:t>1.申请人无正当理由逾期不补正、行政机关不再处理其政府信息公开申请</w:t>
            </w:r>
          </w:p>
        </w:tc>
        <w:tc>
          <w:tcPr>
            <w:tcW w:w="829"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widowControl/>
              <w:spacing w:line="300" w:lineRule="exact"/>
              <w:rPr>
                <w:rFonts w:ascii="黑体" w:hAnsi="黑体" w:eastAsia="黑体"/>
                <w:kern w:val="0"/>
                <w:szCs w:val="21"/>
              </w:rPr>
            </w:pPr>
          </w:p>
        </w:tc>
        <w:tc>
          <w:tcPr>
            <w:tcW w:w="2976" w:type="dxa"/>
            <w:noWrap w:val="0"/>
            <w:vAlign w:val="center"/>
          </w:tcPr>
          <w:p>
            <w:pPr>
              <w:widowControl/>
              <w:spacing w:line="300" w:lineRule="exact"/>
              <w:rPr>
                <w:rFonts w:ascii="仿宋_GB2312" w:hAnsi="黑体" w:eastAsia="仿宋_GB2312"/>
                <w:kern w:val="0"/>
                <w:szCs w:val="21"/>
              </w:rPr>
            </w:pPr>
            <w:r>
              <w:rPr>
                <w:rFonts w:hint="eastAsia" w:ascii="仿宋_GB2312" w:hAnsi="楷体" w:eastAsia="仿宋_GB2312"/>
              </w:rPr>
              <w:t>2.申请人逾期未按收费通知要求缴纳费用、行政机关不再处理其政府信息公开申请</w:t>
            </w:r>
          </w:p>
        </w:tc>
        <w:tc>
          <w:tcPr>
            <w:tcW w:w="829"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widowControl/>
              <w:spacing w:line="300" w:lineRule="exact"/>
              <w:rPr>
                <w:rFonts w:ascii="黑体" w:hAnsi="黑体" w:eastAsia="黑体"/>
                <w:kern w:val="0"/>
                <w:szCs w:val="21"/>
              </w:rPr>
            </w:pPr>
          </w:p>
        </w:tc>
        <w:tc>
          <w:tcPr>
            <w:tcW w:w="2976" w:type="dxa"/>
            <w:noWrap w:val="0"/>
            <w:vAlign w:val="center"/>
          </w:tcPr>
          <w:p>
            <w:pPr>
              <w:widowControl/>
              <w:spacing w:line="300" w:lineRule="exact"/>
              <w:rPr>
                <w:rFonts w:ascii="仿宋_GB2312" w:hAnsi="黑体" w:eastAsia="仿宋_GB2312"/>
                <w:kern w:val="0"/>
                <w:szCs w:val="21"/>
              </w:rPr>
            </w:pPr>
            <w:r>
              <w:rPr>
                <w:rFonts w:hint="eastAsia" w:ascii="仿宋_GB2312" w:hAnsi="楷体" w:eastAsia="仿宋_GB2312"/>
              </w:rPr>
              <w:t>3.其他</w:t>
            </w:r>
          </w:p>
        </w:tc>
        <w:tc>
          <w:tcPr>
            <w:tcW w:w="829"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rPr>
                <w:rFonts w:ascii="黑体" w:hAnsi="黑体" w:eastAsia="黑体"/>
                <w:szCs w:val="21"/>
              </w:rPr>
            </w:pPr>
          </w:p>
        </w:tc>
        <w:tc>
          <w:tcPr>
            <w:tcW w:w="4677" w:type="dxa"/>
            <w:gridSpan w:val="2"/>
            <w:noWrap w:val="0"/>
            <w:tcMar>
              <w:left w:w="108" w:type="dxa"/>
              <w:right w:w="108" w:type="dxa"/>
            </w:tcMar>
            <w:vAlign w:val="center"/>
          </w:tcPr>
          <w:p>
            <w:pPr>
              <w:widowControl/>
              <w:spacing w:line="300" w:lineRule="exact"/>
              <w:rPr>
                <w:rFonts w:ascii="黑体" w:hAnsi="黑体" w:eastAsia="黑体"/>
                <w:kern w:val="0"/>
                <w:szCs w:val="21"/>
              </w:rPr>
            </w:pPr>
            <w:r>
              <w:rPr>
                <w:rFonts w:hint="eastAsia" w:ascii="黑体" w:hAnsi="黑体" w:eastAsia="黑体"/>
                <w:kern w:val="0"/>
                <w:szCs w:val="21"/>
              </w:rPr>
              <w:t>（七）总计</w:t>
            </w:r>
          </w:p>
        </w:tc>
        <w:tc>
          <w:tcPr>
            <w:tcW w:w="829" w:type="dxa"/>
            <w:noWrap w:val="0"/>
            <w:tcMar>
              <w:left w:w="108" w:type="dxa"/>
              <w:right w:w="108" w:type="dxa"/>
            </w:tcMar>
            <w:vAlign w:val="center"/>
          </w:tcPr>
          <w:p>
            <w:pPr>
              <w:widowControl/>
              <w:spacing w:after="180" w:line="200" w:lineRule="exact"/>
              <w:jc w:val="center"/>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9</w:t>
            </w:r>
          </w:p>
        </w:tc>
        <w:tc>
          <w:tcPr>
            <w:tcW w:w="567" w:type="dxa"/>
            <w:noWrap w:val="0"/>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9</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gridSpan w:val="3"/>
            <w:noWrap w:val="0"/>
            <w:tcMar>
              <w:left w:w="108" w:type="dxa"/>
              <w:right w:w="108" w:type="dxa"/>
            </w:tcMar>
            <w:vAlign w:val="center"/>
          </w:tcPr>
          <w:p>
            <w:pPr>
              <w:widowControl/>
              <w:spacing w:line="300" w:lineRule="exact"/>
              <w:rPr>
                <w:rFonts w:ascii="黑体" w:hAnsi="黑体" w:eastAsia="黑体"/>
                <w:kern w:val="0"/>
                <w:szCs w:val="21"/>
              </w:rPr>
            </w:pPr>
            <w:r>
              <w:rPr>
                <w:rFonts w:hint="eastAsia" w:ascii="黑体" w:hAnsi="黑体" w:eastAsia="黑体"/>
                <w:kern w:val="0"/>
                <w:szCs w:val="21"/>
              </w:rPr>
              <w:t>四、结转下年度继续办理</w:t>
            </w:r>
          </w:p>
        </w:tc>
        <w:tc>
          <w:tcPr>
            <w:tcW w:w="829"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bidi="ar-SA"/>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bl>
    <w:p>
      <w:pPr>
        <w:ind w:firstLine="640" w:firstLineChars="200"/>
        <w:jc w:val="left"/>
        <w:rPr>
          <w:rFonts w:hint="eastAsia" w:ascii="CESI黑体-GB2312" w:hAnsi="CESI黑体-GB2312" w:eastAsia="CESI黑体-GB2312" w:cs="CESI黑体-GB2312"/>
          <w:sz w:val="32"/>
          <w:szCs w:val="32"/>
        </w:rPr>
      </w:pPr>
      <w:r>
        <w:rPr>
          <w:rFonts w:hint="eastAsia" w:ascii="CESI黑体-GB2312" w:hAnsi="CESI黑体-GB2312" w:eastAsia="CESI黑体-GB2312" w:cs="CESI黑体-GB2312"/>
          <w:sz w:val="32"/>
          <w:szCs w:val="32"/>
          <w:lang w:eastAsia="zh-CN"/>
        </w:rPr>
        <w:t>四、</w:t>
      </w:r>
      <w:r>
        <w:rPr>
          <w:rFonts w:hint="eastAsia" w:ascii="CESI黑体-GB2312" w:hAnsi="CESI黑体-GB2312" w:eastAsia="CESI黑体-GB2312" w:cs="CESI黑体-GB2312"/>
          <w:sz w:val="32"/>
          <w:szCs w:val="32"/>
        </w:rPr>
        <w:t>政府信息公开行政复议、行政诉讼情况</w:t>
      </w:r>
    </w:p>
    <w:tbl>
      <w:tblPr>
        <w:tblStyle w:val="6"/>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行政复议</w:t>
            </w:r>
          </w:p>
        </w:tc>
        <w:tc>
          <w:tcPr>
            <w:tcW w:w="5997" w:type="dxa"/>
            <w:gridSpan w:val="10"/>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ind w:left="-149" w:leftChars="-71" w:right="-170" w:rightChars="-81"/>
              <w:jc w:val="center"/>
              <w:rPr>
                <w:rFonts w:ascii="黑体" w:hAnsi="黑体" w:eastAsia="黑体"/>
                <w:kern w:val="0"/>
                <w:sz w:val="20"/>
                <w:szCs w:val="20"/>
              </w:rPr>
            </w:pPr>
            <w:r>
              <w:rPr>
                <w:rFonts w:ascii="黑体" w:hAnsi="黑体" w:eastAsia="黑体"/>
                <w:kern w:val="0"/>
                <w:sz w:val="20"/>
                <w:szCs w:val="20"/>
              </w:rPr>
              <w:t>结果</w:t>
            </w:r>
          </w:p>
          <w:p>
            <w:pPr>
              <w:widowControl/>
              <w:ind w:left="-149" w:leftChars="-71" w:right="-170" w:rightChars="-81"/>
              <w:jc w:val="center"/>
              <w:rPr>
                <w:rFonts w:ascii="黑体" w:hAnsi="黑体" w:eastAsia="黑体"/>
              </w:rPr>
            </w:pPr>
            <w:r>
              <w:rPr>
                <w:rFonts w:ascii="黑体" w:hAnsi="黑体" w:eastAsia="黑体"/>
                <w:kern w:val="0"/>
                <w:sz w:val="20"/>
                <w:szCs w:val="20"/>
              </w:rPr>
              <w:t>维持</w:t>
            </w:r>
          </w:p>
        </w:tc>
        <w:tc>
          <w:tcPr>
            <w:tcW w:w="604" w:type="dxa"/>
            <w:vMerge w:val="restart"/>
            <w:tcBorders>
              <w:top w:val="nil"/>
              <w:left w:val="nil"/>
              <w:bottom w:val="single" w:color="auto" w:sz="8" w:space="0"/>
              <w:right w:val="single" w:color="auto" w:sz="8" w:space="0"/>
            </w:tcBorders>
            <w:noWrap w:val="0"/>
            <w:tcMar>
              <w:left w:w="108" w:type="dxa"/>
              <w:right w:w="108" w:type="dxa"/>
            </w:tcMar>
            <w:vAlign w:val="center"/>
          </w:tcPr>
          <w:p>
            <w:pPr>
              <w:widowControl/>
              <w:ind w:left="-43" w:leftChars="-21" w:right="-132" w:rightChars="-63" w:hanging="1"/>
              <w:jc w:val="center"/>
              <w:rPr>
                <w:rFonts w:ascii="黑体" w:hAnsi="黑体" w:eastAsia="黑体"/>
              </w:rPr>
            </w:pPr>
            <w:r>
              <w:rPr>
                <w:rFonts w:ascii="黑体" w:hAnsi="黑体" w:eastAsia="黑体"/>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82" w:leftChars="-39" w:right="-97" w:rightChars="-46"/>
              <w:jc w:val="center"/>
              <w:rPr>
                <w:rFonts w:ascii="黑体" w:hAnsi="黑体" w:eastAsia="黑体"/>
              </w:rPr>
            </w:pPr>
            <w:r>
              <w:rPr>
                <w:rFonts w:ascii="黑体" w:hAnsi="黑体" w:eastAsia="黑体"/>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18" w:leftChars="-56" w:right="-118" w:rightChars="-56"/>
              <w:jc w:val="center"/>
              <w:rPr>
                <w:rFonts w:ascii="黑体" w:hAnsi="黑体" w:eastAsia="黑体"/>
                <w:kern w:val="0"/>
                <w:sz w:val="20"/>
                <w:szCs w:val="20"/>
              </w:rPr>
            </w:pPr>
            <w:r>
              <w:rPr>
                <w:rFonts w:ascii="黑体" w:hAnsi="黑体" w:eastAsia="黑体"/>
                <w:kern w:val="0"/>
                <w:sz w:val="20"/>
                <w:szCs w:val="20"/>
              </w:rPr>
              <w:t>尚未</w:t>
            </w:r>
          </w:p>
          <w:p>
            <w:pPr>
              <w:widowControl/>
              <w:ind w:left="-118" w:leftChars="-56" w:right="-118" w:rightChars="-56"/>
              <w:jc w:val="center"/>
              <w:rPr>
                <w:rFonts w:ascii="黑体" w:hAnsi="黑体" w:eastAsia="黑体"/>
              </w:rPr>
            </w:pPr>
            <w:r>
              <w:rPr>
                <w:rFonts w:ascii="黑体" w:hAnsi="黑体" w:eastAsia="黑体"/>
                <w:kern w:val="0"/>
                <w:sz w:val="20"/>
                <w:szCs w:val="20"/>
              </w:rPr>
              <w:t>审结</w:t>
            </w:r>
          </w:p>
        </w:tc>
        <w:tc>
          <w:tcPr>
            <w:tcW w:w="658"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spacing w:line="320" w:lineRule="exact"/>
              <w:jc w:val="center"/>
              <w:rPr>
                <w:rFonts w:ascii="黑体" w:hAnsi="黑体" w:eastAsia="黑体"/>
                <w:kern w:val="0"/>
                <w:sz w:val="20"/>
                <w:szCs w:val="20"/>
              </w:rPr>
            </w:pPr>
            <w:r>
              <w:rPr>
                <w:rFonts w:ascii="黑体" w:hAnsi="黑体" w:eastAsia="黑体"/>
                <w:kern w:val="0"/>
                <w:sz w:val="20"/>
                <w:szCs w:val="20"/>
              </w:rPr>
              <w:t>总</w:t>
            </w:r>
          </w:p>
          <w:p>
            <w:pPr>
              <w:widowControl/>
              <w:spacing w:line="320" w:lineRule="exact"/>
              <w:jc w:val="center"/>
              <w:rPr>
                <w:rFonts w:ascii="黑体" w:hAnsi="黑体" w:eastAsia="黑体"/>
              </w:rPr>
            </w:pPr>
            <w:r>
              <w:rPr>
                <w:rFonts w:ascii="黑体" w:hAnsi="黑体" w:eastAsia="黑体"/>
                <w:kern w:val="0"/>
                <w:sz w:val="20"/>
                <w:szCs w:val="20"/>
              </w:rPr>
              <w:t>计</w:t>
            </w:r>
          </w:p>
        </w:tc>
        <w:tc>
          <w:tcPr>
            <w:tcW w:w="2970"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bookmarkStart w:id="10" w:name="_Hlk67039688"/>
            <w:r>
              <w:rPr>
                <w:rFonts w:ascii="黑体" w:hAnsi="黑体" w:eastAsia="黑体"/>
                <w:kern w:val="0"/>
                <w:sz w:val="20"/>
                <w:szCs w:val="20"/>
              </w:rPr>
              <w:t>复议后起诉</w:t>
            </w:r>
            <w:bookmarkEnd w:id="10"/>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ascii="黑体" w:hAnsi="黑体" w:eastAsia="黑体"/>
                <w:sz w:val="24"/>
              </w:rPr>
            </w:pPr>
          </w:p>
        </w:tc>
        <w:tc>
          <w:tcPr>
            <w:tcW w:w="604" w:type="dxa"/>
            <w:vMerge w:val="continue"/>
            <w:tcBorders>
              <w:top w:val="nil"/>
              <w:left w:val="nil"/>
              <w:bottom w:val="single" w:color="auto" w:sz="8" w:space="0"/>
              <w:right w:val="single" w:color="auto" w:sz="8" w:space="0"/>
            </w:tcBorders>
            <w:noWrap w:val="0"/>
            <w:tcMar>
              <w:left w:w="108" w:type="dxa"/>
              <w:right w:w="108" w:type="dxa"/>
            </w:tcMar>
            <w:vAlign w:val="center"/>
          </w:tcPr>
          <w:p>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rPr>
                <w:rFonts w:ascii="黑体" w:hAnsi="黑体" w:eastAsia="黑体"/>
                <w:sz w:val="24"/>
              </w:rPr>
            </w:pPr>
          </w:p>
        </w:tc>
        <w:tc>
          <w:tcPr>
            <w:tcW w:w="658"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rPr>
                <w:rFonts w:ascii="黑体" w:hAnsi="黑体" w:eastAsia="黑体"/>
                <w:sz w:val="24"/>
              </w:rPr>
            </w:pPr>
          </w:p>
        </w:tc>
        <w:tc>
          <w:tcPr>
            <w:tcW w:w="550" w:type="dxa"/>
            <w:tcBorders>
              <w:top w:val="nil"/>
              <w:left w:val="nil"/>
              <w:bottom w:val="single" w:color="auto" w:sz="8" w:space="0"/>
              <w:right w:val="single" w:color="auto" w:sz="8" w:space="0"/>
            </w:tcBorders>
            <w:noWrap w:val="0"/>
            <w:tcMar>
              <w:left w:w="108" w:type="dxa"/>
              <w:right w:w="108" w:type="dxa"/>
            </w:tcMar>
            <w:vAlign w:val="center"/>
          </w:tcPr>
          <w:p>
            <w:pPr>
              <w:widowControl/>
              <w:ind w:left="-105" w:leftChars="-50" w:right="-126" w:rightChars="-60"/>
              <w:jc w:val="center"/>
              <w:rPr>
                <w:rFonts w:ascii="黑体" w:hAnsi="黑体" w:eastAsia="黑体"/>
              </w:rPr>
            </w:pPr>
            <w:r>
              <w:rPr>
                <w:rFonts w:ascii="黑体" w:hAnsi="黑体" w:eastAsia="黑体"/>
                <w:kern w:val="0"/>
                <w:sz w:val="20"/>
                <w:szCs w:val="20"/>
              </w:rPr>
              <w:t>结果维持</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ind w:left="-86" w:leftChars="-41" w:right="-88" w:rightChars="-42"/>
              <w:jc w:val="center"/>
              <w:rPr>
                <w:rFonts w:ascii="黑体" w:hAnsi="黑体" w:eastAsia="黑体"/>
              </w:rPr>
            </w:pPr>
            <w:r>
              <w:rPr>
                <w:rFonts w:ascii="黑体" w:hAnsi="黑体" w:eastAsia="黑体"/>
                <w:kern w:val="0"/>
                <w:sz w:val="20"/>
                <w:szCs w:val="20"/>
              </w:rPr>
              <w:t>结果纠正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26" w:leftChars="-60" w:right="-136" w:rightChars="-65"/>
              <w:jc w:val="center"/>
              <w:rPr>
                <w:rFonts w:ascii="黑体" w:hAnsi="黑体" w:eastAsia="黑体"/>
                <w:kern w:val="0"/>
                <w:sz w:val="20"/>
                <w:szCs w:val="20"/>
              </w:rPr>
            </w:pPr>
            <w:r>
              <w:rPr>
                <w:rFonts w:ascii="黑体" w:hAnsi="黑体" w:eastAsia="黑体"/>
                <w:kern w:val="0"/>
                <w:sz w:val="20"/>
                <w:szCs w:val="20"/>
              </w:rPr>
              <w:t>其他</w:t>
            </w:r>
          </w:p>
          <w:p>
            <w:pPr>
              <w:widowControl/>
              <w:ind w:left="-126" w:leftChars="-60" w:right="-136" w:rightChars="-65"/>
              <w:jc w:val="center"/>
              <w:rPr>
                <w:rFonts w:ascii="黑体" w:hAnsi="黑体" w:eastAsia="黑体"/>
              </w:rPr>
            </w:pPr>
            <w:r>
              <w:rPr>
                <w:rFonts w:ascii="黑体" w:hAnsi="黑体" w:eastAsia="黑体"/>
                <w:kern w:val="0"/>
                <w:sz w:val="20"/>
                <w:szCs w:val="20"/>
              </w:rPr>
              <w:t>结果</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64" w:leftChars="-78" w:right="-153" w:rightChars="-73"/>
              <w:jc w:val="center"/>
              <w:rPr>
                <w:rFonts w:ascii="黑体" w:hAnsi="黑体" w:eastAsia="黑体"/>
                <w:kern w:val="0"/>
                <w:sz w:val="20"/>
                <w:szCs w:val="20"/>
              </w:rPr>
            </w:pPr>
            <w:r>
              <w:rPr>
                <w:rFonts w:ascii="黑体" w:hAnsi="黑体" w:eastAsia="黑体"/>
                <w:kern w:val="0"/>
                <w:sz w:val="20"/>
                <w:szCs w:val="20"/>
              </w:rPr>
              <w:t>尚未</w:t>
            </w:r>
          </w:p>
          <w:p>
            <w:pPr>
              <w:widowControl/>
              <w:ind w:left="-164" w:leftChars="-78" w:right="-153" w:rightChars="-73"/>
              <w:jc w:val="center"/>
              <w:rPr>
                <w:rFonts w:ascii="黑体" w:hAnsi="黑体" w:eastAsia="黑体"/>
              </w:rPr>
            </w:pPr>
            <w:r>
              <w:rPr>
                <w:rFonts w:ascii="黑体" w:hAnsi="黑体" w:eastAsia="黑体"/>
                <w:kern w:val="0"/>
                <w:sz w:val="20"/>
                <w:szCs w:val="20"/>
              </w:rPr>
              <w:t>审结</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总计</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99" w:leftChars="-47" w:right="-78" w:rightChars="-37"/>
              <w:jc w:val="center"/>
              <w:rPr>
                <w:rFonts w:ascii="黑体" w:hAnsi="黑体" w:eastAsia="黑体"/>
              </w:rPr>
            </w:pPr>
            <w:r>
              <w:rPr>
                <w:rFonts w:ascii="黑体" w:hAnsi="黑体" w:eastAsia="黑体"/>
                <w:kern w:val="0"/>
                <w:sz w:val="20"/>
                <w:szCs w:val="20"/>
              </w:rPr>
              <w:t>结果维持</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36" w:leftChars="-65" w:right="-124" w:rightChars="-59"/>
              <w:jc w:val="center"/>
              <w:rPr>
                <w:rFonts w:ascii="黑体" w:hAnsi="黑体" w:eastAsia="黑体"/>
                <w:kern w:val="0"/>
                <w:sz w:val="20"/>
                <w:szCs w:val="20"/>
              </w:rPr>
            </w:pPr>
            <w:r>
              <w:rPr>
                <w:rFonts w:ascii="黑体" w:hAnsi="黑体" w:eastAsia="黑体"/>
                <w:kern w:val="0"/>
                <w:sz w:val="20"/>
                <w:szCs w:val="20"/>
              </w:rPr>
              <w:t>结果</w:t>
            </w:r>
          </w:p>
          <w:p>
            <w:pPr>
              <w:widowControl/>
              <w:ind w:left="-136" w:leftChars="-65" w:right="-124" w:rightChars="-59"/>
              <w:jc w:val="center"/>
              <w:rPr>
                <w:rFonts w:ascii="黑体" w:hAnsi="黑体" w:eastAsia="黑体"/>
              </w:rPr>
            </w:pPr>
            <w:r>
              <w:rPr>
                <w:rFonts w:ascii="黑体" w:hAnsi="黑体" w:eastAsia="黑体"/>
                <w:kern w:val="0"/>
                <w:sz w:val="20"/>
                <w:szCs w:val="20"/>
              </w:rPr>
              <w:t>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73" w:leftChars="-83" w:right="-134" w:rightChars="-64" w:hanging="1"/>
              <w:jc w:val="center"/>
              <w:rPr>
                <w:rFonts w:ascii="黑体" w:hAnsi="黑体" w:eastAsia="黑体"/>
                <w:kern w:val="0"/>
                <w:sz w:val="20"/>
                <w:szCs w:val="20"/>
              </w:rPr>
            </w:pPr>
            <w:r>
              <w:rPr>
                <w:rFonts w:ascii="黑体" w:hAnsi="黑体" w:eastAsia="黑体"/>
                <w:kern w:val="0"/>
                <w:sz w:val="20"/>
                <w:szCs w:val="20"/>
              </w:rPr>
              <w:t>其他</w:t>
            </w:r>
          </w:p>
          <w:p>
            <w:pPr>
              <w:widowControl/>
              <w:ind w:left="-173" w:leftChars="-83" w:right="-134" w:rightChars="-64" w:hanging="1"/>
              <w:jc w:val="center"/>
              <w:rPr>
                <w:rFonts w:ascii="黑体" w:hAnsi="黑体" w:eastAsia="黑体"/>
              </w:rPr>
            </w:pPr>
            <w:r>
              <w:rPr>
                <w:rFonts w:ascii="黑体" w:hAnsi="黑体" w:eastAsia="黑体"/>
                <w:kern w:val="0"/>
                <w:sz w:val="20"/>
                <w:szCs w:val="20"/>
              </w:rPr>
              <w:t>结果</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67" w:leftChars="-33" w:right="-105" w:rightChars="-50" w:hanging="2" w:hangingChars="1"/>
              <w:jc w:val="center"/>
              <w:rPr>
                <w:rFonts w:ascii="黑体" w:hAnsi="黑体" w:eastAsia="黑体"/>
              </w:rPr>
            </w:pPr>
            <w:r>
              <w:rPr>
                <w:rFonts w:ascii="黑体" w:hAnsi="黑体" w:eastAsia="黑体"/>
                <w:kern w:val="0"/>
                <w:sz w:val="20"/>
                <w:szCs w:val="20"/>
              </w:rPr>
              <w:t>尚未审结</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after="180"/>
              <w:jc w:val="center"/>
              <w:rPr>
                <w:rFonts w:hint="default" w:ascii="Times New Roman" w:hAnsi="Times New Roman" w:eastAsia="宋体"/>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default" w:ascii="Times New Roman" w:hAnsi="Times New Roman" w:eastAsia="宋体"/>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58"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default" w:ascii="Times New Roman" w:hAnsi="Times New Roman" w:eastAsia="宋体"/>
                <w:lang w:val="en-US" w:eastAsia="zh-CN"/>
              </w:rPr>
            </w:pPr>
            <w:r>
              <w:rPr>
                <w:rFonts w:hint="eastAsia" w:ascii="Times New Roman" w:hAnsi="Times New Roman"/>
                <w:lang w:val="en-US" w:eastAsia="zh-CN"/>
              </w:rPr>
              <w:t>0</w:t>
            </w:r>
          </w:p>
        </w:tc>
        <w:tc>
          <w:tcPr>
            <w:tcW w:w="550"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default"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default" w:ascii="Times New Roman" w:hAnsi="Times New Roman" w:eastAsia="宋体"/>
                <w:lang w:val="en-US" w:eastAsia="zh-CN"/>
              </w:rPr>
            </w:pPr>
            <w:r>
              <w:rPr>
                <w:rFonts w:hint="eastAsia" w:ascii="Times New Roman" w:hAnsi="Times New Roman"/>
                <w:lang w:val="en-US" w:eastAsia="zh-CN"/>
              </w:rPr>
              <w:t xml:space="preserve">0 </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r>
    </w:tbl>
    <w:p>
      <w:pPr>
        <w:pStyle w:val="3"/>
        <w:pageBreakBefore w:val="0"/>
        <w:widowControl w:val="0"/>
        <w:numPr>
          <w:ilvl w:val="0"/>
          <w:numId w:val="0"/>
        </w:numPr>
        <w:kinsoku/>
        <w:overflowPunct/>
        <w:topLinePunct w:val="0"/>
        <w:autoSpaceDE/>
        <w:autoSpaceDN/>
        <w:bidi w:val="0"/>
        <w:adjustRightInd/>
        <w:spacing w:before="0" w:after="0" w:line="600" w:lineRule="exact"/>
        <w:ind w:firstLine="640" w:firstLineChars="200"/>
        <w:textAlignment w:val="auto"/>
        <w:rPr>
          <w:rFonts w:hint="eastAsia" w:ascii="CESI黑体-GB2312" w:hAnsi="CESI黑体-GB2312" w:eastAsia="CESI黑体-GB2312" w:cs="CESI黑体-GB2312"/>
          <w:b w:val="0"/>
          <w:bCs w:val="0"/>
        </w:rPr>
      </w:pPr>
      <w:r>
        <w:rPr>
          <w:rFonts w:hint="eastAsia" w:ascii="CESI黑体-GB2312" w:hAnsi="CESI黑体-GB2312" w:eastAsia="CESI黑体-GB2312" w:cs="CESI黑体-GB2312"/>
          <w:b w:val="0"/>
          <w:bCs w:val="0"/>
          <w:lang w:eastAsia="zh-CN"/>
        </w:rPr>
        <w:t>五、</w:t>
      </w:r>
      <w:r>
        <w:rPr>
          <w:rFonts w:hint="eastAsia" w:ascii="CESI黑体-GB2312" w:hAnsi="CESI黑体-GB2312" w:eastAsia="CESI黑体-GB2312" w:cs="CESI黑体-GB2312"/>
          <w:b w:val="0"/>
          <w:bCs w:val="0"/>
        </w:rPr>
        <w:t>存在的主要问题及改进情况</w:t>
      </w:r>
    </w:p>
    <w:p>
      <w:pPr>
        <w:pStyle w:val="2"/>
        <w:pageBreakBefore w:val="0"/>
        <w:widowControl w:val="0"/>
        <w:kinsoku/>
        <w:overflowPunct/>
        <w:topLinePunct w:val="0"/>
        <w:autoSpaceDE/>
        <w:autoSpaceDN/>
        <w:bidi w:val="0"/>
        <w:adjustRightInd/>
        <w:spacing w:line="600" w:lineRule="exact"/>
        <w:ind w:firstLine="640" w:firstLineChars="200"/>
        <w:textAlignment w:val="auto"/>
        <w:outlineLvl w:val="9"/>
        <w:rPr>
          <w:rFonts w:hint="eastAsia"/>
          <w:lang w:val="en-US" w:eastAsia="zh-CN"/>
        </w:rPr>
      </w:pPr>
      <w:r>
        <w:rPr>
          <w:rFonts w:hint="eastAsia" w:ascii="CESI楷体-GB2312" w:hAnsi="CESI楷体-GB2312" w:eastAsia="CESI楷体-GB2312" w:cs="CESI楷体-GB2312"/>
          <w:b/>
          <w:bCs/>
          <w:kern w:val="2"/>
          <w:sz w:val="32"/>
          <w:szCs w:val="32"/>
          <w:lang w:val="en-US" w:eastAsia="zh-CN" w:bidi="ar-SA"/>
        </w:rPr>
        <w:t>（一）存在的主要问题</w:t>
      </w:r>
    </w:p>
    <w:p>
      <w:pPr>
        <w:pStyle w:val="2"/>
        <w:pageBreakBefore w:val="0"/>
        <w:widowControl w:val="0"/>
        <w:numPr>
          <w:ilvl w:val="0"/>
          <w:numId w:val="0"/>
        </w:numPr>
        <w:kinsoku/>
        <w:overflowPunct/>
        <w:topLinePunct w:val="0"/>
        <w:autoSpaceDE/>
        <w:autoSpaceDN/>
        <w:bidi w:val="0"/>
        <w:adjustRightInd/>
        <w:spacing w:line="600" w:lineRule="exact"/>
        <w:ind w:firstLine="640" w:firstLineChars="200"/>
        <w:textAlignment w:val="auto"/>
        <w:rPr>
          <w:rFonts w:hint="eastAsia" w:ascii="仿宋_GB2312" w:hAnsi="仿宋_GB2312" w:eastAsia="仿宋_GB2312" w:cs="仿宋_GB2312"/>
          <w:b w:val="0"/>
          <w:bCs w:val="0"/>
          <w:i w:val="0"/>
          <w:iCs w:val="0"/>
          <w:caps w:val="0"/>
          <w:color w:val="000000"/>
          <w:spacing w:val="0"/>
          <w:kern w:val="2"/>
          <w:sz w:val="32"/>
          <w:szCs w:val="32"/>
          <w:lang w:val="en-US" w:eastAsia="zh-CN" w:bidi="ar-SA"/>
        </w:rPr>
      </w:pPr>
      <w:r>
        <w:rPr>
          <w:rFonts w:hint="eastAsia" w:ascii="仿宋_GB2312" w:hAnsi="仿宋_GB2312" w:eastAsia="仿宋_GB2312" w:cs="仿宋_GB2312"/>
          <w:b w:val="0"/>
          <w:bCs w:val="0"/>
          <w:i w:val="0"/>
          <w:iCs w:val="0"/>
          <w:caps w:val="0"/>
          <w:color w:val="000000"/>
          <w:spacing w:val="0"/>
          <w:kern w:val="2"/>
          <w:sz w:val="32"/>
          <w:szCs w:val="32"/>
          <w:lang w:val="en-US" w:eastAsia="zh-CN" w:bidi="ar-SA"/>
        </w:rPr>
        <w:t>部分栏目更新不及时，公开的内容、形式有待丰富。</w:t>
      </w:r>
    </w:p>
    <w:p>
      <w:pPr>
        <w:pStyle w:val="2"/>
        <w:pageBreakBefore w:val="0"/>
        <w:widowControl w:val="0"/>
        <w:kinsoku/>
        <w:overflowPunct/>
        <w:topLinePunct w:val="0"/>
        <w:autoSpaceDE/>
        <w:autoSpaceDN/>
        <w:bidi w:val="0"/>
        <w:adjustRightInd/>
        <w:spacing w:line="600" w:lineRule="exact"/>
        <w:ind w:firstLine="640" w:firstLineChars="200"/>
        <w:textAlignment w:val="auto"/>
        <w:outlineLvl w:val="9"/>
        <w:rPr>
          <w:rFonts w:hint="eastAsia" w:ascii="CESI楷体-GB2312" w:hAnsi="CESI楷体-GB2312" w:eastAsia="CESI楷体-GB2312" w:cs="CESI楷体-GB2312"/>
          <w:b/>
          <w:bCs/>
          <w:kern w:val="2"/>
          <w:sz w:val="32"/>
          <w:szCs w:val="32"/>
          <w:lang w:val="en-US" w:eastAsia="zh-CN" w:bidi="ar-SA"/>
        </w:rPr>
      </w:pPr>
      <w:r>
        <w:rPr>
          <w:rFonts w:hint="eastAsia" w:ascii="CESI楷体-GB2312" w:hAnsi="CESI楷体-GB2312" w:eastAsia="CESI楷体-GB2312" w:cs="CESI楷体-GB2312"/>
          <w:b/>
          <w:bCs/>
          <w:kern w:val="2"/>
          <w:sz w:val="32"/>
          <w:szCs w:val="32"/>
          <w:lang w:val="en-US" w:eastAsia="zh-CN" w:bidi="ar-SA"/>
        </w:rPr>
        <w:t>（二）改进情况</w:t>
      </w:r>
    </w:p>
    <w:p>
      <w:pPr>
        <w:pStyle w:val="2"/>
        <w:pageBreakBefore w:val="0"/>
        <w:widowControl w:val="0"/>
        <w:numPr>
          <w:ilvl w:val="0"/>
          <w:numId w:val="0"/>
        </w:numPr>
        <w:kinsoku/>
        <w:overflowPunct/>
        <w:topLinePunct w:val="0"/>
        <w:autoSpaceDE/>
        <w:autoSpaceDN/>
        <w:bidi w:val="0"/>
        <w:adjustRightInd/>
        <w:spacing w:line="600" w:lineRule="exact"/>
        <w:ind w:firstLine="640" w:firstLineChars="200"/>
        <w:textAlignment w:val="auto"/>
        <w:rPr>
          <w:rFonts w:hint="eastAsia" w:ascii="仿宋_GB2312" w:hAnsi="仿宋_GB2312" w:eastAsia="仿宋_GB2312" w:cs="仿宋_GB2312"/>
          <w:b w:val="0"/>
          <w:bCs w:val="0"/>
          <w:i w:val="0"/>
          <w:iCs w:val="0"/>
          <w:caps w:val="0"/>
          <w:color w:val="000000"/>
          <w:spacing w:val="0"/>
          <w:kern w:val="2"/>
          <w:sz w:val="32"/>
          <w:szCs w:val="32"/>
          <w:lang w:val="en-US" w:eastAsia="zh-CN" w:bidi="ar-SA"/>
        </w:rPr>
      </w:pPr>
      <w:r>
        <w:rPr>
          <w:rFonts w:hint="eastAsia" w:ascii="仿宋_GB2312" w:hAnsi="仿宋_GB2312" w:eastAsia="仿宋_GB2312" w:cs="仿宋_GB2312"/>
          <w:b w:val="0"/>
          <w:bCs w:val="0"/>
          <w:i w:val="0"/>
          <w:iCs w:val="0"/>
          <w:caps w:val="0"/>
          <w:color w:val="000000"/>
          <w:spacing w:val="0"/>
          <w:kern w:val="2"/>
          <w:sz w:val="32"/>
          <w:szCs w:val="32"/>
          <w:lang w:val="en-US" w:eastAsia="zh-CN" w:bidi="ar-SA"/>
        </w:rPr>
        <w:t>明确职责要求，加强检查督促，努力提政府信息公开意识和服务意识，切实提高政务公开业务水平，以高质量政务公开满足群众需求，确保政务公开工作与日常工作的无缝衔接。同时严格按照有关规范程序，及时、准确、全面地公开政府信息。</w:t>
      </w:r>
    </w:p>
    <w:p>
      <w:pPr>
        <w:pStyle w:val="2"/>
        <w:pageBreakBefore w:val="0"/>
        <w:widowControl w:val="0"/>
        <w:numPr>
          <w:ilvl w:val="0"/>
          <w:numId w:val="0"/>
        </w:numPr>
        <w:kinsoku/>
        <w:overflowPunct/>
        <w:topLinePunct w:val="0"/>
        <w:autoSpaceDE/>
        <w:autoSpaceDN/>
        <w:bidi w:val="0"/>
        <w:adjustRightInd/>
        <w:spacing w:line="60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lang w:eastAsia="zh-CN"/>
        </w:rPr>
        <w:t>六、</w:t>
      </w:r>
      <w:r>
        <w:rPr>
          <w:rFonts w:hint="eastAsia" w:ascii="黑体" w:hAnsi="黑体" w:eastAsia="黑体" w:cs="黑体"/>
          <w:b w:val="0"/>
          <w:bCs w:val="0"/>
          <w:sz w:val="32"/>
          <w:szCs w:val="32"/>
        </w:rPr>
        <w:t>其他需要报告的事项</w:t>
      </w:r>
    </w:p>
    <w:p>
      <w:pPr>
        <w:pageBreakBefore w:val="0"/>
        <w:widowControl w:val="0"/>
        <w:kinsoku/>
        <w:overflowPunct/>
        <w:topLinePunct w:val="0"/>
        <w:autoSpaceDE/>
        <w:autoSpaceDN/>
        <w:bidi w:val="0"/>
        <w:adjustRightInd/>
        <w:spacing w:line="600" w:lineRule="exact"/>
        <w:ind w:firstLine="640" w:firstLineChars="200"/>
        <w:textAlignment w:val="auto"/>
        <w:rPr>
          <w:rFonts w:hint="eastAsia" w:ascii="CESI楷体-GB2312" w:hAnsi="CESI楷体-GB2312" w:eastAsia="CESI楷体-GB2312" w:cs="CESI楷体-GB2312"/>
          <w:b/>
          <w:bCs/>
          <w:sz w:val="32"/>
          <w:szCs w:val="32"/>
          <w:lang w:eastAsia="zh-CN"/>
        </w:rPr>
      </w:pPr>
      <w:r>
        <w:rPr>
          <w:rFonts w:hint="eastAsia" w:ascii="CESI楷体-GB2312" w:hAnsi="CESI楷体-GB2312" w:eastAsia="CESI楷体-GB2312" w:cs="CESI楷体-GB2312"/>
          <w:b/>
          <w:bCs/>
          <w:sz w:val="32"/>
          <w:szCs w:val="32"/>
          <w:lang w:eastAsia="zh-CN"/>
        </w:rPr>
        <w:t>（一）政府信息公开信息处理费收取情况</w:t>
      </w:r>
    </w:p>
    <w:p>
      <w:pPr>
        <w:pStyle w:val="2"/>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outlineLvl w:val="9"/>
        <w:rPr>
          <w:rFonts w:hint="eastAsia" w:ascii="仿宋_GB2312" w:hAnsi="仿宋_GB2312" w:eastAsia="仿宋_GB2312" w:cs="仿宋_GB2312"/>
          <w:b w:val="0"/>
          <w:bCs w:val="0"/>
          <w:i w:val="0"/>
          <w:iCs w:val="0"/>
          <w:caps w:val="0"/>
          <w:color w:val="000000"/>
          <w:spacing w:val="0"/>
          <w:kern w:val="2"/>
          <w:sz w:val="32"/>
          <w:szCs w:val="32"/>
          <w:lang w:val="en-US" w:eastAsia="zh-CN" w:bidi="ar-SA"/>
        </w:rPr>
      </w:pPr>
      <w:r>
        <w:rPr>
          <w:rFonts w:hint="eastAsia" w:ascii="仿宋_GB2312" w:hAnsi="仿宋_GB2312" w:eastAsia="仿宋_GB2312" w:cs="仿宋_GB2312"/>
          <w:b w:val="0"/>
          <w:bCs w:val="0"/>
          <w:i w:val="0"/>
          <w:iCs w:val="0"/>
          <w:caps w:val="0"/>
          <w:color w:val="000000"/>
          <w:spacing w:val="0"/>
          <w:kern w:val="2"/>
          <w:sz w:val="32"/>
          <w:szCs w:val="32"/>
          <w:lang w:val="en-US" w:eastAsia="zh-CN" w:bidi="ar-SA"/>
        </w:rPr>
        <w:t>认真落实《国务院办公厅关于印发&lt;政府信息公开信息处理费管理办法&gt;的通知》（国办函〔2020〕109号）和《山东省人民政府办公厅关于做好政府信息公开信息处理费管理工作有关事项的通知》（鲁政办字〔2020〕179号）规定，本年度政府信息公开未收取信息处理费。</w:t>
      </w:r>
    </w:p>
    <w:p>
      <w:pPr>
        <w:pageBreakBefore w:val="0"/>
        <w:widowControl w:val="0"/>
        <w:kinsoku/>
        <w:overflowPunct/>
        <w:topLinePunct w:val="0"/>
        <w:autoSpaceDE/>
        <w:autoSpaceDN/>
        <w:bidi w:val="0"/>
        <w:adjustRightInd/>
        <w:spacing w:line="600" w:lineRule="exact"/>
        <w:ind w:firstLine="640" w:firstLineChars="200"/>
        <w:textAlignment w:val="auto"/>
        <w:rPr>
          <w:rFonts w:hint="eastAsia" w:ascii="CESI楷体-GB2312" w:hAnsi="CESI楷体-GB2312" w:eastAsia="CESI楷体-GB2312" w:cs="CESI楷体-GB2312"/>
          <w:b/>
          <w:bCs/>
          <w:sz w:val="32"/>
          <w:szCs w:val="32"/>
          <w:lang w:eastAsia="zh-CN"/>
        </w:rPr>
      </w:pPr>
      <w:r>
        <w:rPr>
          <w:rFonts w:hint="eastAsia" w:ascii="CESI楷体-GB2312" w:hAnsi="CESI楷体-GB2312" w:eastAsia="CESI楷体-GB2312" w:cs="CESI楷体-GB2312"/>
          <w:b/>
          <w:bCs/>
          <w:sz w:val="32"/>
          <w:szCs w:val="32"/>
          <w:lang w:eastAsia="zh-CN"/>
        </w:rPr>
        <w:t>（二）落实年度政务公开工作要点情况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lang w:val="en-US" w:eastAsia="zh-CN"/>
        </w:rPr>
      </w:pPr>
      <w:r>
        <w:rPr>
          <w:rFonts w:hint="eastAsia" w:ascii="仿宋_GB2312" w:hAnsi="仿宋_GB2312" w:eastAsia="仿宋_GB2312" w:cs="仿宋_GB2312"/>
          <w:b w:val="0"/>
          <w:bCs w:val="0"/>
          <w:i w:val="0"/>
          <w:iCs w:val="0"/>
          <w:caps w:val="0"/>
          <w:color w:val="000000"/>
          <w:spacing w:val="0"/>
          <w:kern w:val="2"/>
          <w:sz w:val="32"/>
          <w:szCs w:val="32"/>
          <w:lang w:val="en-US" w:eastAsia="zh-CN" w:bidi="ar-SA"/>
        </w:rPr>
        <w:t>认真落实《冠县人民政府办公室关于2025年政务公开重点工作任务分工的通知》文件要求，</w:t>
      </w:r>
      <w:r>
        <w:rPr>
          <w:rFonts w:hint="eastAsia" w:ascii="仿宋_GB2312" w:hAnsi="仿宋_GB2312" w:eastAsia="仿宋_GB2312" w:cs="仿宋_GB2312"/>
          <w:color w:val="auto"/>
          <w:sz w:val="32"/>
          <w:szCs w:val="32"/>
          <w:lang w:eastAsia="zh-CN"/>
        </w:rPr>
        <w:t>以服务中心、方便群众为立足点，围绕中心、贴近民生、强化措施，依法、及时、准确地公开了相关政府信息，推进政府信息公开工作深入开展。</w:t>
      </w:r>
    </w:p>
    <w:p>
      <w:pPr>
        <w:pageBreakBefore w:val="0"/>
        <w:widowControl w:val="0"/>
        <w:kinsoku/>
        <w:overflowPunct/>
        <w:topLinePunct w:val="0"/>
        <w:autoSpaceDE/>
        <w:autoSpaceDN/>
        <w:bidi w:val="0"/>
        <w:adjustRightInd/>
        <w:spacing w:line="600" w:lineRule="exact"/>
        <w:ind w:firstLine="640" w:firstLineChars="200"/>
        <w:textAlignment w:val="auto"/>
        <w:rPr>
          <w:rFonts w:hint="eastAsia" w:ascii="CESI楷体-GB2312" w:hAnsi="CESI楷体-GB2312" w:eastAsia="CESI楷体-GB2312" w:cs="CESI楷体-GB2312"/>
          <w:b/>
          <w:bCs/>
          <w:sz w:val="32"/>
          <w:szCs w:val="32"/>
          <w:lang w:eastAsia="zh-CN"/>
        </w:rPr>
      </w:pPr>
      <w:r>
        <w:rPr>
          <w:rFonts w:hint="eastAsia" w:ascii="CESI楷体-GB2312" w:hAnsi="CESI楷体-GB2312" w:eastAsia="CESI楷体-GB2312" w:cs="CESI楷体-GB2312"/>
          <w:b/>
          <w:bCs/>
          <w:sz w:val="32"/>
          <w:szCs w:val="32"/>
          <w:lang w:eastAsia="zh-CN"/>
        </w:rPr>
        <w:t>（三）人大代表建议和政协提案办理结果公开情况</w:t>
      </w:r>
    </w:p>
    <w:p>
      <w:pPr>
        <w:pStyle w:val="2"/>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outlineLvl w:val="9"/>
        <w:rPr>
          <w:rFonts w:hint="eastAsia" w:ascii="仿宋_GB2312" w:hAnsi="仿宋_GB2312" w:eastAsia="仿宋_GB2312" w:cs="仿宋_GB2312"/>
          <w:b w:val="0"/>
          <w:bCs w:val="0"/>
          <w:i w:val="0"/>
          <w:iCs w:val="0"/>
          <w:caps w:val="0"/>
          <w:color w:val="000000"/>
          <w:spacing w:val="0"/>
          <w:kern w:val="2"/>
          <w:sz w:val="32"/>
          <w:szCs w:val="32"/>
          <w:lang w:val="en-US" w:eastAsia="zh-CN" w:bidi="ar-SA"/>
        </w:rPr>
      </w:pPr>
      <w:r>
        <w:rPr>
          <w:rFonts w:hint="eastAsia" w:ascii="仿宋_GB2312" w:hAnsi="仿宋_GB2312" w:eastAsia="仿宋_GB2312" w:cs="仿宋_GB2312"/>
          <w:b w:val="0"/>
          <w:bCs w:val="0"/>
          <w:i w:val="0"/>
          <w:iCs w:val="0"/>
          <w:caps w:val="0"/>
          <w:color w:val="000000"/>
          <w:spacing w:val="0"/>
          <w:kern w:val="2"/>
          <w:sz w:val="32"/>
          <w:szCs w:val="32"/>
          <w:lang w:val="en-US" w:eastAsia="zh-CN" w:bidi="ar-SA"/>
        </w:rPr>
        <w:t>2025年共办理人大代表建议7件、政协提案36件，办复率均为100%。严格按照《山东省人民政府办公厅关于做好人大代表建议和政协提案办理结果公开工作的通知》（鲁政办字〔2016〕63号）要求，除涉及国家秘密、工作秘密的，所有建议提案办理复文或摘要以及办理总体情况均在冠县人民政府网站“冠县建议提案办理”专栏进行了集中公开。</w:t>
      </w:r>
    </w:p>
    <w:p>
      <w:pPr>
        <w:pageBreakBefore w:val="0"/>
        <w:widowControl w:val="0"/>
        <w:kinsoku/>
        <w:overflowPunct/>
        <w:topLinePunct w:val="0"/>
        <w:autoSpaceDE/>
        <w:autoSpaceDN/>
        <w:bidi w:val="0"/>
        <w:adjustRightInd/>
        <w:spacing w:line="600" w:lineRule="exact"/>
        <w:ind w:firstLine="640" w:firstLineChars="200"/>
        <w:textAlignment w:val="auto"/>
        <w:rPr>
          <w:rFonts w:hint="eastAsia" w:ascii="CESI楷体-GB2312" w:hAnsi="CESI楷体-GB2312" w:eastAsia="CESI楷体-GB2312" w:cs="CESI楷体-GB2312"/>
          <w:b/>
          <w:bCs/>
          <w:sz w:val="32"/>
          <w:szCs w:val="32"/>
          <w:lang w:eastAsia="zh-CN"/>
        </w:rPr>
      </w:pPr>
      <w:r>
        <w:rPr>
          <w:rFonts w:hint="eastAsia" w:ascii="CESI楷体-GB2312" w:hAnsi="CESI楷体-GB2312" w:eastAsia="CESI楷体-GB2312" w:cs="CESI楷体-GB2312"/>
          <w:b/>
          <w:bCs/>
          <w:sz w:val="32"/>
          <w:szCs w:val="32"/>
          <w:lang w:eastAsia="zh-CN"/>
        </w:rPr>
        <w:t>（四）政务公开工作创新情况</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b w:val="0"/>
          <w:bCs w:val="0"/>
          <w:i w:val="0"/>
          <w:iCs w:val="0"/>
          <w:caps w:val="0"/>
          <w:color w:val="000000"/>
          <w:spacing w:val="0"/>
          <w:kern w:val="2"/>
          <w:sz w:val="32"/>
          <w:szCs w:val="32"/>
          <w:lang w:val="en-US" w:eastAsia="zh-CN" w:bidi="ar-SA"/>
        </w:rPr>
      </w:pPr>
      <w:r>
        <w:rPr>
          <w:rFonts w:hint="eastAsia" w:ascii="仿宋_GB2312" w:hAnsi="仿宋_GB2312" w:eastAsia="仿宋_GB2312" w:cs="仿宋_GB2312"/>
          <w:b w:val="0"/>
          <w:bCs w:val="0"/>
          <w:i w:val="0"/>
          <w:iCs w:val="0"/>
          <w:caps w:val="0"/>
          <w:color w:val="000000"/>
          <w:spacing w:val="0"/>
          <w:kern w:val="2"/>
          <w:sz w:val="32"/>
          <w:szCs w:val="32"/>
          <w:lang w:val="en-US" w:eastAsia="zh-CN" w:bidi="ar-SA"/>
        </w:rPr>
        <w:t>2025年组织开展了“计量小刻度 服务大民生”政府开放日活动，经验做法被聊城电视台、《聊城日报》等宣传报道。</w:t>
      </w:r>
    </w:p>
    <w:p>
      <w:pPr>
        <w:pStyle w:val="2"/>
        <w:jc w:val="center"/>
        <w:rPr>
          <w:rFonts w:hint="eastAsia"/>
          <w:lang w:val="en-US" w:eastAsia="zh-CN"/>
        </w:rPr>
      </w:pPr>
      <w:r>
        <w:rPr>
          <w:rFonts w:hint="eastAsia"/>
          <w:lang w:val="en-US" w:eastAsia="zh-CN"/>
        </w:rPr>
        <w:drawing>
          <wp:inline distT="0" distB="0" distL="114300" distR="114300">
            <wp:extent cx="3672840" cy="2451735"/>
            <wp:effectExtent l="0" t="0" r="3810" b="5715"/>
            <wp:docPr id="7" name="图片 7" descr="66a6cd4705c16f322c8f84092829ec3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 name="图片 7" descr="66a6cd4705c16f322c8f84092829ec36"/>
                    <pic:cNvPicPr>
                      <a:picLocks noChangeAspect="true"/>
                    </pic:cNvPicPr>
                  </pic:nvPicPr>
                  <pic:blipFill>
                    <a:blip r:embed="rId7"/>
                    <a:stretch>
                      <a:fillRect/>
                    </a:stretch>
                  </pic:blipFill>
                  <pic:spPr>
                    <a:xfrm>
                      <a:off x="0" y="0"/>
                      <a:ext cx="3672840" cy="2451735"/>
                    </a:xfrm>
                    <a:prstGeom prst="rect">
                      <a:avLst/>
                    </a:prstGeom>
                  </pic:spPr>
                </pic:pic>
              </a:graphicData>
            </a:graphic>
          </wp:inline>
        </w:drawing>
      </w:r>
      <w:r>
        <w:rPr>
          <w:rFonts w:hint="eastAsia"/>
          <w:lang w:val="en-US" w:eastAsia="zh-CN"/>
        </w:rPr>
        <w:drawing>
          <wp:inline distT="0" distB="0" distL="114300" distR="114300">
            <wp:extent cx="3709035" cy="2475230"/>
            <wp:effectExtent l="0" t="0" r="5715" b="1270"/>
            <wp:docPr id="6" name="图片 6" descr="97f6baf4afa82e6b7b31418e542367cb"/>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图片 6" descr="97f6baf4afa82e6b7b31418e542367cb"/>
                    <pic:cNvPicPr>
                      <a:picLocks noChangeAspect="true"/>
                    </pic:cNvPicPr>
                  </pic:nvPicPr>
                  <pic:blipFill>
                    <a:blip r:embed="rId8"/>
                    <a:stretch>
                      <a:fillRect/>
                    </a:stretch>
                  </pic:blipFill>
                  <pic:spPr>
                    <a:xfrm>
                      <a:off x="0" y="0"/>
                      <a:ext cx="3709035" cy="2475230"/>
                    </a:xfrm>
                    <a:prstGeom prst="rect">
                      <a:avLst/>
                    </a:prstGeom>
                  </pic:spPr>
                </pic:pic>
              </a:graphicData>
            </a:graphic>
          </wp:inline>
        </w:drawing>
      </w:r>
      <w:r>
        <w:rPr>
          <w:rFonts w:hint="eastAsia"/>
          <w:lang w:val="en-US" w:eastAsia="zh-CN"/>
        </w:rPr>
        <w:drawing>
          <wp:inline distT="0" distB="0" distL="114300" distR="114300">
            <wp:extent cx="3701415" cy="2470785"/>
            <wp:effectExtent l="0" t="0" r="13335" b="5715"/>
            <wp:docPr id="3" name="图片 3" descr="fb2788c230b08e8fa0373a360f37643b"/>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 name="图片 3" descr="fb2788c230b08e8fa0373a360f37643b"/>
                    <pic:cNvPicPr>
                      <a:picLocks noChangeAspect="true"/>
                    </pic:cNvPicPr>
                  </pic:nvPicPr>
                  <pic:blipFill>
                    <a:blip r:embed="rId9"/>
                    <a:stretch>
                      <a:fillRect/>
                    </a:stretch>
                  </pic:blipFill>
                  <pic:spPr>
                    <a:xfrm>
                      <a:off x="0" y="0"/>
                      <a:ext cx="3701415" cy="2470785"/>
                    </a:xfrm>
                    <a:prstGeom prst="rect">
                      <a:avLst/>
                    </a:prstGeom>
                  </pic:spPr>
                </pic:pic>
              </a:graphicData>
            </a:graphic>
          </wp:inline>
        </w:drawing>
      </w:r>
      <w:bookmarkStart w:id="11" w:name="_GoBack"/>
      <w:bookmarkEnd w:id="11"/>
    </w:p>
    <w:p>
      <w:pPr>
        <w:pageBreakBefore w:val="0"/>
        <w:widowControl w:val="0"/>
        <w:kinsoku/>
        <w:overflowPunct/>
        <w:topLinePunct w:val="0"/>
        <w:autoSpaceDE/>
        <w:autoSpaceDN/>
        <w:bidi w:val="0"/>
        <w:adjustRightInd/>
        <w:spacing w:line="600" w:lineRule="exact"/>
        <w:ind w:firstLine="640" w:firstLineChars="200"/>
        <w:textAlignment w:val="auto"/>
        <w:rPr>
          <w:rFonts w:hint="eastAsia" w:ascii="CESI楷体-GB2312" w:hAnsi="CESI楷体-GB2312" w:eastAsia="CESI楷体-GB2312" w:cs="CESI楷体-GB2312"/>
          <w:b/>
          <w:bCs/>
          <w:sz w:val="32"/>
          <w:szCs w:val="32"/>
          <w:lang w:eastAsia="zh-CN"/>
        </w:rPr>
      </w:pPr>
      <w:r>
        <w:rPr>
          <w:rFonts w:hint="eastAsia" w:ascii="CESI楷体-GB2312" w:hAnsi="CESI楷体-GB2312" w:eastAsia="CESI楷体-GB2312" w:cs="CESI楷体-GB2312"/>
          <w:b/>
          <w:bCs/>
          <w:sz w:val="32"/>
          <w:szCs w:val="32"/>
          <w:lang w:eastAsia="zh-CN"/>
        </w:rPr>
        <w:t>（五）政府信息公开年度报告数据统计需要说明的事项</w:t>
      </w:r>
    </w:p>
    <w:p>
      <w:pPr>
        <w:pageBreakBefore w:val="0"/>
        <w:shd w:val="clear"/>
        <w:kinsoku/>
        <w:overflowPunct/>
        <w:topLinePunct w:val="0"/>
        <w:autoSpaceDE/>
        <w:autoSpaceDN/>
        <w:bidi w:val="0"/>
        <w:adjustRightInd/>
        <w:spacing w:line="240" w:lineRule="auto"/>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1.</w:t>
      </w:r>
      <w:r>
        <w:rPr>
          <w:rFonts w:hint="eastAsia" w:ascii="仿宋_GB2312" w:eastAsia="仿宋_GB2312"/>
          <w:sz w:val="32"/>
          <w:szCs w:val="32"/>
          <w:lang w:eastAsia="zh-CN"/>
        </w:rPr>
        <w:t>本年度报告中所列数据统计期限从</w:t>
      </w:r>
      <w:r>
        <w:rPr>
          <w:rFonts w:hint="eastAsia" w:ascii="仿宋_GB2312" w:eastAsia="仿宋_GB2312"/>
          <w:sz w:val="32"/>
          <w:szCs w:val="32"/>
          <w:lang w:val="en-US" w:eastAsia="zh-CN"/>
        </w:rPr>
        <w:t>2025年1月1日到12月31日止。</w:t>
      </w:r>
    </w:p>
    <w:p>
      <w:pPr>
        <w:pStyle w:val="5"/>
        <w:pageBreakBefore w:val="0"/>
        <w:shd w:val="clear" w:color="auto"/>
        <w:kinsoku/>
        <w:overflowPunct/>
        <w:topLinePunct w:val="0"/>
        <w:autoSpaceDE/>
        <w:autoSpaceDN/>
        <w:bidi w:val="0"/>
        <w:adjustRightInd/>
        <w:spacing w:beforeAutospacing="0" w:afterAutospacing="0" w:line="240" w:lineRule="auto"/>
        <w:ind w:firstLine="640" w:firstLineChars="200"/>
        <w:jc w:val="both"/>
        <w:textAlignment w:val="auto"/>
        <w:rPr>
          <w:rFonts w:ascii="仿宋_GB2312" w:hAnsi="Times New Roman" w:eastAsia="仿宋_GB2312" w:cs="仿宋_GB2312"/>
          <w:sz w:val="32"/>
          <w:szCs w:val="32"/>
          <w:shd w:val="clear" w:color="auto" w:fill="FFFFFF"/>
        </w:rPr>
      </w:pPr>
      <w:r>
        <w:rPr>
          <w:rFonts w:ascii="仿宋_GB2312" w:hAnsi="Times New Roman" w:eastAsia="仿宋_GB2312" w:cs="仿宋_GB2312"/>
          <w:sz w:val="32"/>
          <w:szCs w:val="32"/>
          <w:shd w:val="clear" w:color="auto" w:fill="FFFFFF"/>
        </w:rPr>
        <w:t>2</w:t>
      </w:r>
      <w:r>
        <w:rPr>
          <w:rFonts w:hint="eastAsia" w:ascii="仿宋_GB2312" w:hAnsi="Times New Roman" w:eastAsia="仿宋_GB2312" w:cs="仿宋_GB2312"/>
          <w:sz w:val="32"/>
          <w:szCs w:val="32"/>
          <w:shd w:val="clear" w:color="auto" w:fill="FFFFFF"/>
          <w:lang w:val="en-US" w:eastAsia="zh-CN"/>
        </w:rPr>
        <w:t>.</w:t>
      </w:r>
      <w:r>
        <w:rPr>
          <w:rFonts w:hint="eastAsia" w:ascii="仿宋_GB2312" w:hAnsi="Times New Roman" w:eastAsia="仿宋_GB2312" w:cs="仿宋_GB2312"/>
          <w:sz w:val="32"/>
          <w:szCs w:val="32"/>
          <w:shd w:val="clear" w:color="auto" w:fill="FFFFFF"/>
        </w:rPr>
        <w:t>行政许可数量、行政处罚和行政强制数量，包括已公开和依法未公开的全部处理决定。</w:t>
      </w:r>
    </w:p>
    <w:p>
      <w:pPr>
        <w:pStyle w:val="5"/>
        <w:pageBreakBefore w:val="0"/>
        <w:shd w:val="clear" w:color="auto"/>
        <w:kinsoku/>
        <w:overflowPunct/>
        <w:topLinePunct w:val="0"/>
        <w:autoSpaceDE/>
        <w:autoSpaceDN/>
        <w:bidi w:val="0"/>
        <w:adjustRightInd/>
        <w:spacing w:beforeAutospacing="0" w:afterAutospacing="0" w:line="240" w:lineRule="auto"/>
        <w:ind w:firstLine="640" w:firstLineChars="200"/>
        <w:jc w:val="both"/>
        <w:textAlignment w:val="auto"/>
        <w:rPr>
          <w:rFonts w:ascii="仿宋_GB2312" w:hAnsi="Times New Roman" w:eastAsia="仿宋_GB2312"/>
          <w:sz w:val="32"/>
          <w:szCs w:val="32"/>
          <w:shd w:val="clear" w:color="auto" w:fill="FFFFFF"/>
        </w:rPr>
      </w:pPr>
      <w:r>
        <w:rPr>
          <w:rFonts w:ascii="仿宋_GB2312" w:hAnsi="Times New Roman" w:eastAsia="仿宋_GB2312" w:cs="仿宋_GB2312"/>
          <w:sz w:val="32"/>
          <w:szCs w:val="32"/>
          <w:shd w:val="clear" w:color="auto" w:fill="FFFFFF"/>
        </w:rPr>
        <w:t>3</w:t>
      </w:r>
      <w:r>
        <w:rPr>
          <w:rFonts w:hint="eastAsia" w:ascii="仿宋_GB2312" w:hAnsi="Times New Roman" w:eastAsia="仿宋_GB2312" w:cs="仿宋_GB2312"/>
          <w:sz w:val="32"/>
          <w:szCs w:val="32"/>
          <w:shd w:val="clear" w:color="auto" w:fill="FFFFFF"/>
          <w:lang w:val="en-US" w:eastAsia="zh-CN"/>
        </w:rPr>
        <w:t>.</w:t>
      </w:r>
      <w:r>
        <w:rPr>
          <w:rFonts w:hint="eastAsia" w:ascii="仿宋_GB2312" w:hAnsi="Times New Roman" w:eastAsia="仿宋_GB2312" w:cs="仿宋_GB2312"/>
          <w:sz w:val="32"/>
          <w:szCs w:val="32"/>
          <w:shd w:val="clear" w:color="auto" w:fill="FFFFFF"/>
        </w:rPr>
        <w:t>行政复议机关作为共同被告的行政诉讼案件，只计算原行为主体的案件数量，不计算行政复议机关的案件数量。</w:t>
      </w:r>
    </w:p>
    <w:p>
      <w:pPr>
        <w:pStyle w:val="2"/>
      </w:pPr>
    </w:p>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FreeSerif"/>
    <w:panose1 w:val="02040503050406030204"/>
    <w:charset w:val="00"/>
    <w:family w:val="auto"/>
    <w:pitch w:val="default"/>
    <w:sig w:usb0="00000000" w:usb1="00000000" w:usb2="02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decorative"/>
    <w:pitch w:val="default"/>
    <w:sig w:usb0="00000001" w:usb1="080E0000" w:usb2="00000000" w:usb3="00000000" w:csb0="00040000" w:csb1="00000000"/>
  </w:font>
  <w:font w:name="楷体_GB2312">
    <w:panose1 w:val="02010609030101010101"/>
    <w:charset w:val="86"/>
    <w:family w:val="decorative"/>
    <w:pitch w:val="default"/>
    <w:sig w:usb0="00000001" w:usb1="080E0000" w:usb2="00000000" w:usb3="00000000" w:csb0="00040000" w:csb1="00000000"/>
  </w:font>
  <w:font w:name="CESI黑体-GB2312">
    <w:panose1 w:val="02000500000000000000"/>
    <w:charset w:val="86"/>
    <w:family w:val="auto"/>
    <w:pitch w:val="default"/>
    <w:sig w:usb0="800002BF" w:usb1="184F6CF8" w:usb2="00000012" w:usb3="00000000" w:csb0="0004000F" w:csb1="00000000"/>
  </w:font>
  <w:font w:name="CESI楷体-GB2312">
    <w:panose1 w:val="02000500000000000000"/>
    <w:charset w:val="86"/>
    <w:family w:val="auto"/>
    <w:pitch w:val="default"/>
    <w:sig w:usb0="800002BF" w:usb1="184F6CF8" w:usb2="00000012" w:usb3="00000000" w:csb0="0004000F" w:csb1="00000000"/>
  </w:font>
  <w:font w:name="楷体">
    <w:altName w:val="方正楷体_GBK"/>
    <w:panose1 w:val="02010609060101010101"/>
    <w:charset w:val="86"/>
    <w:family w:val="decorative"/>
    <w:pitch w:val="default"/>
    <w:sig w:usb0="00000000" w:usb1="00000000"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A00002BF" w:usb1="38CF7CFA" w:usb2="00082016" w:usb3="00000000" w:csb0="00040001" w:csb1="00000000"/>
  </w:font>
  <w:font w:name="FreeSerif">
    <w:panose1 w:val="02020603050405020304"/>
    <w:charset w:val="00"/>
    <w:family w:val="auto"/>
    <w:pitch w:val="default"/>
    <w:sig w:usb0="E59FAFFF" w:usb1="C200FDFF" w:usb2="43501B29" w:usb3="04000043" w:csb0="600101FF" w:csb1="FFFF0000"/>
  </w:font>
  <w:font w:name="arial">
    <w:altName w:val="URW Bookman"/>
    <w:panose1 w:val="00000000000000000000"/>
    <w:charset w:val="00"/>
    <w:family w:val="auto"/>
    <w:pitch w:val="default"/>
    <w:sig w:usb0="00000000" w:usb1="00000000" w:usb2="00000000" w:usb3="00000000" w:csb0="00000000" w:csb1="00000000"/>
  </w:font>
  <w:font w:name="URW Bookman">
    <w:panose1 w:val="00000400000000000000"/>
    <w:charset w:val="00"/>
    <w:family w:val="auto"/>
    <w:pitch w:val="default"/>
    <w:sig w:usb0="00000287" w:usb1="00000800" w:usb2="00000000" w:usb3="00000000" w:csb0="6000009F" w:csb1="00000000"/>
  </w:font>
  <w:font w:name="方正宋体S-超大字符集">
    <w:panose1 w:val="02000000000000000000"/>
    <w:charset w:val="86"/>
    <w:family w:val="auto"/>
    <w:pitch w:val="default"/>
    <w:sig w:usb0="00000001" w:usb1="08000000" w:usb2="00000000" w:usb3="00000000" w:csb0="00040000" w:csb1="00000000"/>
  </w:font>
  <w:font w:name="Standard Symbols PS">
    <w:panose1 w:val="05050102010706020507"/>
    <w:charset w:val="00"/>
    <w:family w:val="auto"/>
    <w:pitch w:val="default"/>
    <w:sig w:usb0="00000003" w:usb1="00000000" w:usb2="00000000" w:usb3="00000000" w:csb0="00000001" w:csb1="00000000"/>
  </w:font>
  <w:font w:name="方正楷体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4"/>
                          </w:pPr>
                          <w:r>
                            <w:fldChar w:fldCharType="begin"/>
                          </w:r>
                          <w:r>
                            <w:instrText xml:space="preserve"> PAGE  \* MERGEFORMAT </w:instrText>
                          </w:r>
                          <w:r>
                            <w:fldChar w:fldCharType="separate"/>
                          </w:r>
                          <w:r>
                            <w:t>1</w:t>
                          </w:r>
                          <w:r>
                            <w:fldChar w:fldCharType="end"/>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BYAAABkcnMvUEsB&#10;AhQAFAAAAAgAh07iQM6pebnPAAAABQEAAA8AAAAAAAAAAQAgAAAAOAAAAGRycy9kb3ducmV2Lnht&#10;bFBLAQIUABQAAAAIAIdO4kAszGsKswEAAFIDAAAOAAAAAAAAAAEAIAAAADQBAABkcnMvZTJvRG9j&#10;LnhtbFBLBQYAAAAABgAGAFkBAABZBQAAAAA=&#10;">
              <v:fill on="f" focussize="0,0"/>
              <v:stroke on="f"/>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D238679"/>
    <w:multiLevelType w:val="singleLevel"/>
    <w:tmpl w:val="0D238679"/>
    <w:lvl w:ilvl="0" w:tentative="0">
      <w:start w:val="5"/>
      <w:numFmt w:val="chineseCounting"/>
      <w:suff w:val="nothing"/>
      <w:lvlText w:val="（%1）"/>
      <w:lvlJc w:val="left"/>
      <w:rPr>
        <w:rFonts w:hint="eastAsia"/>
      </w:rPr>
    </w:lvl>
  </w:abstractNum>
  <w:abstractNum w:abstractNumId="1">
    <w:nsid w:val="680301AB"/>
    <w:multiLevelType w:val="singleLevel"/>
    <w:tmpl w:val="680301AB"/>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FiYzI2MWM0NWFiMWQ2ODljYjk4YzY5MTQxZGNlN2IifQ=="/>
  </w:docVars>
  <w:rsids>
    <w:rsidRoot w:val="046A5A8F"/>
    <w:rsid w:val="046A5A8F"/>
    <w:rsid w:val="04AB1CB5"/>
    <w:rsid w:val="088779CE"/>
    <w:rsid w:val="090973B8"/>
    <w:rsid w:val="0E287D58"/>
    <w:rsid w:val="1351449B"/>
    <w:rsid w:val="154C49E4"/>
    <w:rsid w:val="16097912"/>
    <w:rsid w:val="1B281F85"/>
    <w:rsid w:val="1B6C2BE8"/>
    <w:rsid w:val="1BC25F36"/>
    <w:rsid w:val="1F8112FE"/>
    <w:rsid w:val="20293F9D"/>
    <w:rsid w:val="25CC152D"/>
    <w:rsid w:val="38091B00"/>
    <w:rsid w:val="3CD10CF6"/>
    <w:rsid w:val="5CB0535B"/>
    <w:rsid w:val="5DAF058A"/>
    <w:rsid w:val="66DE0D17"/>
    <w:rsid w:val="66E3632D"/>
    <w:rsid w:val="6E690CD6"/>
    <w:rsid w:val="77B5B755"/>
    <w:rsid w:val="7BD7051B"/>
    <w:rsid w:val="7C374CF9"/>
    <w:rsid w:val="7E413AB9"/>
    <w:rsid w:val="7FDF2539"/>
    <w:rsid w:val="9BE5562B"/>
    <w:rsid w:val="BA7B23C6"/>
    <w:rsid w:val="FE734873"/>
    <w:rsid w:val="FE73E4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2"/>
    <w:basedOn w:val="1"/>
    <w:next w:val="1"/>
    <w:unhideWhenUsed/>
    <w:qFormat/>
    <w:uiPriority w:val="9"/>
    <w:pPr>
      <w:keepNext/>
      <w:keepLines/>
      <w:spacing w:before="260" w:after="260" w:line="416" w:lineRule="auto"/>
      <w:outlineLvl w:val="1"/>
    </w:pPr>
    <w:rPr>
      <w:rFonts w:ascii="Cambria" w:hAnsi="Cambria" w:eastAsia="宋体" w:cs="Times New Roman"/>
      <w:b/>
      <w:bCs/>
      <w:sz w:val="32"/>
      <w:szCs w:val="3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header"/>
    <w:basedOn w:val="1"/>
    <w:next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Normal (Web)"/>
    <w:basedOn w:val="1"/>
    <w:qFormat/>
    <w:uiPriority w:val="99"/>
    <w:pPr>
      <w:spacing w:beforeAutospacing="1" w:afterAutospacing="1"/>
      <w:jc w:val="left"/>
    </w:pPr>
    <w:rPr>
      <w:rFonts w:cs="Times New Roman"/>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1446</Words>
  <Characters>1560</Characters>
  <Lines>0</Lines>
  <Paragraphs>0</Paragraphs>
  <TotalTime>1</TotalTime>
  <ScaleCrop>false</ScaleCrop>
  <LinksUpToDate>false</LinksUpToDate>
  <CharactersWithSpaces>1560</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2024-01-18T09:03:00Z</dcterms:created>
  <dc:creator>cookie</dc:creator>
  <cp:lastModifiedBy>user</cp:lastModifiedBy>
  <dcterms:modified xsi:type="dcterms:W3CDTF">2026-01-29T08:58:50Z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335D3A7153414F69BCA95F144036B9FD_13</vt:lpwstr>
  </property>
  <property fmtid="{D5CDD505-2E9C-101B-9397-08002B2CF9AE}" pid="4" name="KSOTemplateDocerSaveRecord">
    <vt:lpwstr>eyJoZGlkIjoiMzhhYzBhZGEzYjRhMTU2ZTAyMjNlNzUzMzliNGExNDMiLCJ1c2VySWQiOiI0MjA2NDQzMDQifQ==</vt:lpwstr>
  </property>
</Properties>
</file>