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3CB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val="en-US" w:eastAsia="zh-CN"/>
        </w:rPr>
        <w:t>冠县人民政府2025年</w:t>
      </w:r>
      <w:r>
        <w:rPr>
          <w:rFonts w:hint="eastAsia" w:ascii="CESI小标宋-GB2312" w:hAnsi="CESI小标宋-GB2312" w:eastAsia="CESI小标宋-GB2312" w:cs="CESI小标宋-GB2312"/>
          <w:sz w:val="44"/>
          <w:szCs w:val="44"/>
        </w:rPr>
        <w:t>政府信息公开工作</w:t>
      </w:r>
    </w:p>
    <w:p w14:paraId="79ED69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rPr>
        <w:t>年度报告</w:t>
      </w:r>
    </w:p>
    <w:p w14:paraId="4055AF67">
      <w:pPr>
        <w:pStyle w:val="5"/>
        <w:rPr>
          <w:rFonts w:hint="eastAsia"/>
        </w:rPr>
      </w:pPr>
    </w:p>
    <w:p w14:paraId="3B25DF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（http://www.guanxian.gov.cn/）下载。如对本年度报告有疑问，请与冠县人民政府办公室联系（地址：山东省聊城市冠县红旗北路109号；邮编：252500；电话:0635-5237226；电子邮箱:gxzwgk@lc.shandong.cn）。</w:t>
      </w:r>
    </w:p>
    <w:p w14:paraId="746B19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14:paraId="762808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sz w:val="32"/>
          <w:szCs w:val="32"/>
          <w:lang w:eastAsia="zh-CN"/>
        </w:rPr>
      </w:pP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冠县</w:t>
      </w:r>
      <w:r>
        <w:rPr>
          <w:rFonts w:hint="eastAsia" w:ascii="仿宋_GB2312" w:hAnsi="仿宋_GB2312" w:eastAsia="仿宋_GB2312" w:cs="仿宋_GB2312"/>
          <w:sz w:val="32"/>
          <w:szCs w:val="32"/>
        </w:rPr>
        <w:t>深入贯彻落实</w:t>
      </w:r>
      <w:r>
        <w:rPr>
          <w:rFonts w:hint="eastAsia" w:ascii="仿宋_GB2312" w:hAnsi="仿宋_GB2312" w:eastAsia="仿宋_GB2312" w:cs="仿宋_GB2312"/>
          <w:sz w:val="32"/>
          <w:szCs w:val="32"/>
          <w:lang w:eastAsia="zh-CN"/>
        </w:rPr>
        <w:t>上级单位</w:t>
      </w:r>
      <w:r>
        <w:rPr>
          <w:rFonts w:hint="eastAsia" w:ascii="仿宋_GB2312" w:hAnsi="仿宋_GB2312" w:eastAsia="仿宋_GB2312" w:cs="仿宋_GB2312"/>
          <w:sz w:val="32"/>
          <w:szCs w:val="32"/>
        </w:rPr>
        <w:t>关于做好新时代政务公开工作</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决策部署</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，进一步加强</w:t>
      </w:r>
      <w:r>
        <w:rPr>
          <w:rFonts w:hint="eastAsia" w:ascii="仿宋_GB2312" w:hAnsi="仿宋_GB2312" w:eastAsia="仿宋_GB2312" w:cs="仿宋_GB2312"/>
          <w:sz w:val="32"/>
          <w:szCs w:val="32"/>
          <w:lang w:val="en-US" w:eastAsia="zh-CN"/>
        </w:rPr>
        <w:t>主动公开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依申请公开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政策解读、公众参与等工作</w:t>
      </w:r>
      <w:r>
        <w:rPr>
          <w:rFonts w:hint="eastAsia" w:ascii="仿宋_GB2312" w:hAnsi="仿宋_GB2312" w:eastAsia="仿宋_GB2312" w:cs="仿宋_GB2312"/>
          <w:sz w:val="32"/>
          <w:szCs w:val="32"/>
        </w:rPr>
        <w:t>，</w:t>
      </w:r>
      <w:r>
        <w:rPr>
          <w:rFonts w:hint="eastAsia" w:ascii="仿宋_GB2312" w:eastAsia="仿宋_GB2312"/>
          <w:sz w:val="32"/>
          <w:szCs w:val="32"/>
        </w:rPr>
        <w:t>充分发挥政务公开促进政策落实、优化政务服务、强化监督管理的功能作用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w:t>
      </w:r>
      <w:r>
        <w:rPr>
          <w:rFonts w:hint="eastAsia" w:ascii="仿宋_GB2312" w:hAnsi="仿宋_GB2312" w:eastAsia="仿宋_GB2312" w:cs="仿宋_GB2312"/>
          <w:sz w:val="32"/>
          <w:szCs w:val="32"/>
        </w:rPr>
        <w:t>推动政务公开规范升级</w:t>
      </w:r>
      <w:r>
        <w:rPr>
          <w:rFonts w:hint="eastAsia" w:ascii="仿宋_GB2312" w:hAnsi="仿宋_GB2312" w:eastAsia="仿宋_GB2312" w:cs="仿宋_GB2312"/>
          <w:sz w:val="32"/>
          <w:szCs w:val="32"/>
          <w:lang w:eastAsia="zh-CN"/>
        </w:rPr>
        <w:t>。</w:t>
      </w:r>
    </w:p>
    <w:p w14:paraId="7D620C2B">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24B5E8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FF"/>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1、政府信息公开制度建设情况。2025年，</w:t>
      </w:r>
      <w:r>
        <w:rPr>
          <w:rFonts w:hint="eastAsia" w:ascii="仿宋_GB2312" w:hAnsi="仿宋_GB2312" w:eastAsia="仿宋_GB2312" w:cs="仿宋_GB2312"/>
          <w:b w:val="0"/>
          <w:bCs w:val="0"/>
          <w:i w:val="0"/>
          <w:iCs w:val="0"/>
          <w:caps w:val="0"/>
          <w:color w:val="000000"/>
          <w:spacing w:val="0"/>
          <w:sz w:val="32"/>
          <w:szCs w:val="32"/>
          <w:lang w:eastAsia="zh-CN"/>
        </w:rPr>
        <w:t>出台《冠县人民政府办公室关于印发202</w:t>
      </w:r>
      <w:r>
        <w:rPr>
          <w:rFonts w:hint="eastAsia" w:ascii="仿宋_GB2312" w:hAnsi="仿宋_GB2312" w:eastAsia="仿宋_GB2312" w:cs="仿宋_GB2312"/>
          <w:b w:val="0"/>
          <w:bCs w:val="0"/>
          <w:i w:val="0"/>
          <w:iCs w:val="0"/>
          <w:caps w:val="0"/>
          <w:color w:val="000000"/>
          <w:spacing w:val="0"/>
          <w:sz w:val="32"/>
          <w:szCs w:val="32"/>
          <w:lang w:val="en-US" w:eastAsia="zh-CN"/>
        </w:rPr>
        <w:t>5</w:t>
      </w:r>
      <w:r>
        <w:rPr>
          <w:rFonts w:hint="eastAsia" w:ascii="仿宋_GB2312" w:hAnsi="仿宋_GB2312" w:eastAsia="仿宋_GB2312" w:cs="仿宋_GB2312"/>
          <w:b w:val="0"/>
          <w:bCs w:val="0"/>
          <w:i w:val="0"/>
          <w:iCs w:val="0"/>
          <w:caps w:val="0"/>
          <w:color w:val="000000"/>
          <w:spacing w:val="0"/>
          <w:sz w:val="32"/>
          <w:szCs w:val="32"/>
          <w:lang w:eastAsia="zh-CN"/>
        </w:rPr>
        <w:t>年冠县政务公开重点工作任务分工的通知》，</w:t>
      </w:r>
      <w:r>
        <w:rPr>
          <w:rFonts w:hint="eastAsia" w:ascii="仿宋_GB2312" w:hAnsi="仿宋_GB2312" w:eastAsia="仿宋_GB2312" w:cs="仿宋_GB2312"/>
          <w:b w:val="0"/>
          <w:bCs w:val="0"/>
          <w:i w:val="0"/>
          <w:iCs w:val="0"/>
          <w:caps w:val="0"/>
          <w:color w:val="000000"/>
          <w:spacing w:val="0"/>
          <w:sz w:val="32"/>
          <w:szCs w:val="32"/>
          <w:lang w:val="en-US" w:eastAsia="zh-CN"/>
        </w:rPr>
        <w:t>细化工作任务分工，对责任单位提出具体要求、完成时限，确保各项工作落地落实。</w:t>
      </w:r>
    </w:p>
    <w:p w14:paraId="618399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spacing w:val="0"/>
          <w:sz w:val="32"/>
          <w:szCs w:val="32"/>
          <w:lang w:val="en-US" w:eastAsia="zh-CN"/>
        </w:rPr>
        <w:t>2、信息发布数量。2025年，冠县人民政府网站主动发布政府信息10792条，主要包括要闻动态、政策文件、财政信息、行政执法公示、公共企事业单位等方面信息。</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“冠县在线”微信公众号发布信息2304条。</w:t>
      </w:r>
    </w:p>
    <w:p w14:paraId="39579B02">
      <w:pPr>
        <w:keepNext w:val="0"/>
        <w:keepLines w:val="0"/>
        <w:pageBreakBefore w:val="0"/>
        <w:widowControl w:val="0"/>
        <w:tabs>
          <w:tab w:val="left" w:pos="621"/>
        </w:tab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sz w:val="32"/>
          <w:szCs w:val="32"/>
        </w:rPr>
        <w:drawing>
          <wp:anchor distT="0" distB="0" distL="114300" distR="114300" simplePos="0" relativeHeight="251659264" behindDoc="0" locked="0" layoutInCell="1" allowOverlap="1">
            <wp:simplePos x="0" y="0"/>
            <wp:positionH relativeFrom="column">
              <wp:posOffset>79375</wp:posOffset>
            </wp:positionH>
            <wp:positionV relativeFrom="page">
              <wp:posOffset>4510405</wp:posOffset>
            </wp:positionV>
            <wp:extent cx="4959350" cy="3855720"/>
            <wp:effectExtent l="4445" t="4445" r="8255" b="6985"/>
            <wp:wrapTopAndBottom/>
            <wp:docPr id="10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仿宋_GB2312" w:hAnsi="仿宋_GB2312" w:eastAsia="仿宋_GB2312" w:cs="仿宋_GB2312"/>
          <w:b w:val="0"/>
          <w:bCs w:val="0"/>
          <w:i w:val="0"/>
          <w:iCs w:val="0"/>
          <w:caps w:val="0"/>
          <w:color w:val="000000"/>
          <w:spacing w:val="0"/>
          <w:sz w:val="32"/>
          <w:szCs w:val="32"/>
          <w:lang w:val="en-US" w:eastAsia="zh-CN"/>
        </w:rPr>
        <w:t>3、解读回应情况。运用图片图表、音频视频、H5动画、卡通动漫等不断丰富解读形式，持续提升解读质效。2025年，共发布各类型政策解读44篇。</w:t>
      </w:r>
      <w:r>
        <w:rPr>
          <w:rFonts w:hint="eastAsia" w:ascii="仿宋_GB2312" w:hAnsi="仿宋_GB2312" w:eastAsia="仿宋_GB2312" w:cs="仿宋_GB2312"/>
          <w:sz w:val="32"/>
          <w:szCs w:val="32"/>
          <w:lang w:val="en-US" w:eastAsia="zh-CN"/>
        </w:rPr>
        <w:t>加强领导信箱、在线访谈、意见征集、网上调查等互动平台建设，及时公开公众意见建议采纳情况。2025年，共答复网站留言200件、开展意见征集6次、开展网上调查4次。</w:t>
      </w:r>
    </w:p>
    <w:p w14:paraId="1CA7804D">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3DDCEAF6">
      <w:pPr>
        <w:ind w:firstLine="640" w:firstLineChars="200"/>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pPr>
      <w:r>
        <w:rPr>
          <w:rFonts w:hint="eastAsia" w:ascii="仿宋_GB2312" w:hAnsi="仿宋_GB2312" w:eastAsia="仿宋_GB2312" w:cs="仿宋_GB2312"/>
          <w:sz w:val="32"/>
          <w:szCs w:val="32"/>
          <w:lang w:val="en-US" w:eastAsia="zh-CN"/>
        </w:rPr>
        <w:t>2025年，共受理政府信息公开申请142件，申请数量较去年增长9.23%。</w:t>
      </w:r>
      <w:r>
        <w:rPr>
          <w:rFonts w:hint="eastAsia" w:ascii="仿宋_GB2312" w:hAnsi="仿宋_GB2312" w:eastAsia="仿宋_GB2312" w:cs="仿宋_GB2312"/>
          <w:sz w:val="32"/>
          <w:szCs w:val="32"/>
        </w:rPr>
        <w:t>政府信息公开申请内容主要涉及</w:t>
      </w:r>
      <w:r>
        <w:rPr>
          <w:rFonts w:hint="eastAsia" w:ascii="仿宋_GB2312" w:hAnsi="仿宋_GB2312" w:eastAsia="仿宋_GB2312" w:cs="仿宋_GB2312"/>
          <w:sz w:val="32"/>
          <w:szCs w:val="32"/>
          <w:lang w:val="en-US" w:eastAsia="zh-CN"/>
        </w:rPr>
        <w:t>土地征收、房屋征收补偿等方面。</w:t>
      </w:r>
      <w:r>
        <w:rPr>
          <w:rFonts w:hint="eastAsia" w:ascii="仿宋_GB2312" w:hAnsi="仿宋_GB2312" w:eastAsia="仿宋_GB2312" w:cs="仿宋_GB2312"/>
          <w:sz w:val="32"/>
          <w:szCs w:val="32"/>
        </w:rPr>
        <w:t>本年度答复政府信息公开申请</w:t>
      </w: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件（含上年结转</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均在法定期限内予以答复。在答复的申请中：</w:t>
      </w:r>
      <w:r>
        <w:rPr>
          <w:rFonts w:hint="eastAsia" w:ascii="仿宋_GB2312" w:hAnsi="仿宋_GB2312" w:eastAsia="仿宋_GB2312" w:cs="仿宋_GB2312"/>
          <w:sz w:val="32"/>
          <w:szCs w:val="32"/>
          <w:lang w:val="en-US" w:eastAsia="zh-CN"/>
        </w:rPr>
        <w:t>予以公开36件、占25.53%，部分公开46件、占32.63%，不予公开8件、占5.67%，无法提供28件、占19.86%，不予处理1件、占0.71%，其他处理22件、占15.6%。信息公开行政复议6件，结果维持5件，结果纠正1件；未经复议直接起诉1件，结果维持1件。</w:t>
      </w:r>
    </w:p>
    <w:p w14:paraId="567616F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drawing>
          <wp:anchor distT="0" distB="0" distL="114300" distR="114300" simplePos="0" relativeHeight="251663360" behindDoc="0" locked="0" layoutInCell="1" allowOverlap="1">
            <wp:simplePos x="0" y="0"/>
            <wp:positionH relativeFrom="column">
              <wp:posOffset>-28575</wp:posOffset>
            </wp:positionH>
            <wp:positionV relativeFrom="page">
              <wp:posOffset>6115050</wp:posOffset>
            </wp:positionV>
            <wp:extent cx="5271770" cy="3171190"/>
            <wp:effectExtent l="0" t="0" r="5080" b="10160"/>
            <wp:wrapTopAndBottom/>
            <wp:docPr id="3" name="图片 3" descr="4bb7bd23ac506c2a5896d4b83fc82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bb7bd23ac506c2a5896d4b83fc829b6"/>
                    <pic:cNvPicPr>
                      <a:picLocks noChangeAspect="1"/>
                    </pic:cNvPicPr>
                  </pic:nvPicPr>
                  <pic:blipFill>
                    <a:blip r:embed="rId5"/>
                    <a:stretch>
                      <a:fillRect/>
                    </a:stretch>
                  </pic:blipFill>
                  <pic:spPr>
                    <a:xfrm>
                      <a:off x="0" y="0"/>
                      <a:ext cx="5271770" cy="3171190"/>
                    </a:xfrm>
                    <a:prstGeom prst="rect">
                      <a:avLst/>
                    </a:prstGeom>
                  </pic:spPr>
                </pic:pic>
              </a:graphicData>
            </a:graphic>
          </wp:anchor>
        </w:drawing>
      </w: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14:paraId="79B5DF7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加强政府信息管理</w:t>
      </w:r>
      <w:r>
        <w:rPr>
          <w:rFonts w:hint="eastAsia" w:ascii="仿宋_GB2312" w:eastAsia="仿宋_GB2312"/>
          <w:sz w:val="32"/>
          <w:szCs w:val="32"/>
          <w:lang w:eastAsia="zh-CN"/>
        </w:rPr>
        <w:t>，</w:t>
      </w:r>
      <w:r>
        <w:rPr>
          <w:rFonts w:hint="eastAsia" w:ascii="仿宋_GB2312" w:eastAsia="仿宋_GB2312"/>
          <w:sz w:val="32"/>
          <w:szCs w:val="32"/>
          <w:lang w:val="en-US" w:eastAsia="zh-CN"/>
        </w:rPr>
        <w:t>规范</w:t>
      </w:r>
      <w:r>
        <w:rPr>
          <w:rFonts w:hint="eastAsia" w:ascii="仿宋_GB2312" w:eastAsia="仿宋_GB2312"/>
          <w:sz w:val="32"/>
          <w:szCs w:val="32"/>
        </w:rPr>
        <w:t>信息的收集、整理、公开、更新、监督等</w:t>
      </w:r>
      <w:r>
        <w:rPr>
          <w:rFonts w:hint="eastAsia" w:ascii="仿宋_GB2312" w:eastAsia="仿宋_GB2312"/>
          <w:sz w:val="32"/>
          <w:szCs w:val="32"/>
          <w:lang w:val="en-US" w:eastAsia="zh-CN"/>
        </w:rPr>
        <w:t>流程</w:t>
      </w:r>
      <w:r>
        <w:rPr>
          <w:rFonts w:hint="eastAsia" w:ascii="仿宋_GB2312" w:eastAsia="仿宋_GB2312"/>
          <w:sz w:val="32"/>
          <w:szCs w:val="32"/>
          <w:lang w:eastAsia="zh-CN"/>
        </w:rPr>
        <w:t>，</w:t>
      </w:r>
      <w:r>
        <w:rPr>
          <w:rFonts w:hint="eastAsia" w:ascii="仿宋_GB2312" w:eastAsia="仿宋_GB2312"/>
          <w:sz w:val="32"/>
          <w:szCs w:val="32"/>
        </w:rPr>
        <w:t>确保信息的真实性、时效性和安全性，为公众提供准确、全面的政府资讯</w:t>
      </w:r>
      <w:r>
        <w:rPr>
          <w:rFonts w:hint="eastAsia" w:ascii="仿宋_GB2312" w:eastAsia="仿宋_GB2312"/>
          <w:sz w:val="32"/>
          <w:szCs w:val="32"/>
          <w:lang w:eastAsia="zh-CN"/>
        </w:rPr>
        <w:t>。</w:t>
      </w:r>
      <w:r>
        <w:rPr>
          <w:rFonts w:hint="eastAsia" w:ascii="仿宋_GB2312" w:eastAsia="仿宋_GB2312"/>
          <w:sz w:val="32"/>
          <w:szCs w:val="32"/>
          <w:lang w:val="en-US" w:eastAsia="zh-CN"/>
        </w:rPr>
        <w:t>做好</w:t>
      </w:r>
      <w:r>
        <w:rPr>
          <w:rFonts w:hint="default" w:ascii="仿宋_GB2312" w:eastAsia="仿宋_GB2312"/>
          <w:sz w:val="32"/>
          <w:szCs w:val="32"/>
          <w:lang w:val="en-US" w:eastAsia="zh-CN"/>
        </w:rPr>
        <w:t>保密审查</w:t>
      </w:r>
      <w:r>
        <w:rPr>
          <w:rFonts w:hint="eastAsia" w:ascii="仿宋_GB2312" w:eastAsia="仿宋_GB2312"/>
          <w:sz w:val="32"/>
          <w:szCs w:val="32"/>
          <w:lang w:val="en-US" w:eastAsia="zh-CN"/>
        </w:rPr>
        <w:t>工作，</w:t>
      </w:r>
      <w:r>
        <w:rPr>
          <w:rFonts w:hint="eastAsia" w:ascii="仿宋_GB2312" w:eastAsia="仿宋_GB2312"/>
          <w:sz w:val="32"/>
          <w:szCs w:val="32"/>
        </w:rPr>
        <w:t>保障国家秘密、商业秘密和个人隐私不被泄露。</w:t>
      </w:r>
      <w:r>
        <w:rPr>
          <w:rFonts w:hint="eastAsia" w:ascii="仿宋_GB2312" w:eastAsia="仿宋_GB2312"/>
          <w:sz w:val="32"/>
          <w:szCs w:val="32"/>
          <w:lang w:val="en-US" w:eastAsia="zh-CN"/>
        </w:rPr>
        <w:t>全力</w:t>
      </w:r>
      <w:r>
        <w:rPr>
          <w:rFonts w:hint="eastAsia" w:ascii="仿宋_GB2312" w:eastAsia="仿宋_GB2312"/>
          <w:sz w:val="32"/>
          <w:szCs w:val="32"/>
        </w:rPr>
        <w:t>促进透明政府建设，增强社会监督，提升治理效能。</w:t>
      </w:r>
    </w:p>
    <w:p w14:paraId="39D4DFBF">
      <w:pPr>
        <w:keepNext w:val="0"/>
        <w:keepLines w:val="0"/>
        <w:pageBreakBefore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67F141A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-9525</wp:posOffset>
            </wp:positionH>
            <wp:positionV relativeFrom="page">
              <wp:posOffset>5201285</wp:posOffset>
            </wp:positionV>
            <wp:extent cx="5267325" cy="3435985"/>
            <wp:effectExtent l="0" t="0" r="9525" b="12065"/>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5267325" cy="3435985"/>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持续优化冠县人民政府网站</w:t>
      </w:r>
      <w:r>
        <w:rPr>
          <w:rFonts w:hint="eastAsia" w:ascii="仿宋_GB2312" w:hAnsi="仿宋_GB2312" w:eastAsia="仿宋_GB2312" w:cs="仿宋_GB2312"/>
          <w:sz w:val="32"/>
          <w:szCs w:val="32"/>
        </w:rPr>
        <w:t>信息公开平台</w:t>
      </w:r>
      <w:r>
        <w:rPr>
          <w:rFonts w:hint="eastAsia" w:ascii="仿宋_GB2312" w:hAnsi="仿宋_GB2312" w:eastAsia="仿宋_GB2312" w:cs="仿宋_GB2312"/>
          <w:sz w:val="32"/>
          <w:szCs w:val="32"/>
          <w:lang w:val="en-US" w:eastAsia="zh-CN"/>
        </w:rPr>
        <w:t>功能，</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发布</w:t>
      </w:r>
      <w:r>
        <w:rPr>
          <w:rFonts w:hint="eastAsia" w:ascii="仿宋_GB2312" w:hAnsi="仿宋_GB2312" w:eastAsia="仿宋_GB2312" w:cs="仿宋_GB2312"/>
          <w:sz w:val="32"/>
          <w:szCs w:val="32"/>
        </w:rPr>
        <w:t>信息权威准确、便于获取利用。</w:t>
      </w:r>
      <w:r>
        <w:rPr>
          <w:rFonts w:hint="eastAsia" w:ascii="仿宋_GB2312" w:hAnsi="仿宋_GB2312" w:eastAsia="仿宋_GB2312" w:cs="仿宋_GB2312"/>
          <w:sz w:val="32"/>
          <w:szCs w:val="32"/>
          <w:lang w:val="en-US" w:eastAsia="zh-CN"/>
        </w:rPr>
        <w:t>合理利用现有</w:t>
      </w:r>
      <w:r>
        <w:rPr>
          <w:rFonts w:hint="eastAsia" w:ascii="仿宋_GB2312" w:hAnsi="仿宋_GB2312" w:eastAsia="仿宋_GB2312" w:cs="仿宋_GB2312"/>
          <w:sz w:val="32"/>
          <w:szCs w:val="32"/>
        </w:rPr>
        <w:t>政务新媒体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扩大</w:t>
      </w:r>
      <w:r>
        <w:rPr>
          <w:rFonts w:hint="eastAsia" w:ascii="仿宋_GB2312" w:hAnsi="仿宋_GB2312" w:eastAsia="仿宋_GB2312" w:cs="仿宋_GB2312"/>
          <w:sz w:val="32"/>
          <w:szCs w:val="32"/>
        </w:rPr>
        <w:t>信息传播力</w:t>
      </w:r>
      <w:r>
        <w:rPr>
          <w:rFonts w:hint="eastAsia" w:ascii="仿宋_GB2312" w:hAnsi="仿宋_GB2312" w:eastAsia="仿宋_GB2312" w:cs="仿宋_GB2312"/>
          <w:sz w:val="32"/>
          <w:szCs w:val="32"/>
          <w:lang w:val="en-US" w:eastAsia="zh-CN"/>
        </w:rPr>
        <w:t>和覆盖面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不断提升</w:t>
      </w:r>
      <w:r>
        <w:rPr>
          <w:rFonts w:hint="eastAsia" w:ascii="仿宋_GB2312" w:hAnsi="仿宋_GB2312" w:eastAsia="仿宋_GB2312" w:cs="仿宋_GB2312"/>
          <w:sz w:val="32"/>
          <w:szCs w:val="32"/>
        </w:rPr>
        <w:t>政务公开</w:t>
      </w:r>
      <w:r>
        <w:rPr>
          <w:rFonts w:hint="eastAsia" w:ascii="仿宋_GB2312" w:hAnsi="仿宋_GB2312" w:eastAsia="仿宋_GB2312" w:cs="仿宋_GB2312"/>
          <w:sz w:val="32"/>
          <w:szCs w:val="32"/>
          <w:lang w:val="en-US" w:eastAsia="zh-CN"/>
        </w:rPr>
        <w:t>体验</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服务水平</w:t>
      </w:r>
      <w:r>
        <w:rPr>
          <w:rFonts w:hint="eastAsia" w:ascii="仿宋_GB2312" w:hAnsi="仿宋_GB2312" w:eastAsia="仿宋_GB2312" w:cs="仿宋_GB2312"/>
          <w:sz w:val="32"/>
          <w:szCs w:val="32"/>
        </w:rPr>
        <w:t>，配备数字化设备，提供信息查询、申请受理等服务，打通服务群众“最后一公里”。</w:t>
      </w:r>
    </w:p>
    <w:p w14:paraId="67DD2E4F">
      <w:pPr>
        <w:pStyle w:val="3"/>
      </w:pPr>
      <w:r>
        <w:drawing>
          <wp:inline distT="0" distB="0" distL="114300" distR="114300">
            <wp:extent cx="5272405" cy="3486150"/>
            <wp:effectExtent l="0" t="0" r="444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72405" cy="3486150"/>
                    </a:xfrm>
                    <a:prstGeom prst="rect">
                      <a:avLst/>
                    </a:prstGeom>
                    <a:noFill/>
                    <a:ln>
                      <a:noFill/>
                    </a:ln>
                  </pic:spPr>
                </pic:pic>
              </a:graphicData>
            </a:graphic>
          </wp:inline>
        </w:drawing>
      </w:r>
    </w:p>
    <w:p w14:paraId="002D4AD5">
      <w:pPr>
        <w:pStyle w:val="3"/>
        <w:rPr>
          <w:rFonts w:hint="eastAsia"/>
          <w:lang w:val="en-US" w:eastAsia="zh-CN"/>
        </w:rPr>
      </w:pPr>
      <w:r>
        <w:rPr>
          <w:rFonts w:hint="eastAsia" w:eastAsia="仿宋_GB2312"/>
          <w:lang w:val="en-US" w:eastAsia="zh-CN"/>
        </w:rPr>
        <w:drawing>
          <wp:inline distT="0" distB="0" distL="114300" distR="114300">
            <wp:extent cx="5266055" cy="3519805"/>
            <wp:effectExtent l="0" t="0" r="10795" b="4445"/>
            <wp:docPr id="4" name="图片 4" descr="697b16a7aa028497400fb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97b16a7aa028497400fbe0a"/>
                    <pic:cNvPicPr>
                      <a:picLocks noChangeAspect="1"/>
                    </pic:cNvPicPr>
                  </pic:nvPicPr>
                  <pic:blipFill>
                    <a:blip r:embed="rId8"/>
                    <a:stretch>
                      <a:fillRect/>
                    </a:stretch>
                  </pic:blipFill>
                  <pic:spPr>
                    <a:xfrm>
                      <a:off x="0" y="0"/>
                      <a:ext cx="5266055" cy="3519805"/>
                    </a:xfrm>
                    <a:prstGeom prst="rect">
                      <a:avLst/>
                    </a:prstGeom>
                  </pic:spPr>
                </pic:pic>
              </a:graphicData>
            </a:graphic>
          </wp:inline>
        </w:drawing>
      </w:r>
    </w:p>
    <w:p w14:paraId="6F57EF28">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69BE4036">
      <w:pPr>
        <w:ind w:firstLine="640" w:firstLineChars="200"/>
        <w:rPr>
          <w:rFonts w:hint="eastAsia" w:ascii="CESI黑体-GB2312" w:hAnsi="CESI黑体-GB2312" w:eastAsia="CESI黑体-GB2312" w:cs="CESI黑体-GB2312"/>
          <w:b w:val="0"/>
          <w:bCs w:val="0"/>
          <w:sz w:val="32"/>
          <w:szCs w:val="32"/>
          <w:lang w:eastAsia="zh-CN"/>
        </w:rPr>
      </w:pPr>
      <w:r>
        <w:rPr>
          <w:rFonts w:hint="eastAsia" w:ascii="仿宋_GB2312" w:hAnsi="仿宋_GB2312" w:eastAsia="仿宋_GB2312" w:cs="仿宋_GB2312"/>
          <w:sz w:val="32"/>
          <w:szCs w:val="32"/>
        </w:rPr>
        <w:t>将政务公开工作纳入绩效考核体系,强化统筹部署与监督落实。建立常态化自查和第三方监测，定期检查网站更新，及时整改问题。畅通公众参与路径，通过意见征集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网上</w:t>
      </w:r>
      <w:r>
        <w:rPr>
          <w:rFonts w:hint="eastAsia" w:ascii="仿宋_GB2312" w:hAnsi="仿宋_GB2312" w:eastAsia="仿宋_GB2312" w:cs="仿宋_GB2312"/>
          <w:sz w:val="32"/>
          <w:szCs w:val="32"/>
        </w:rPr>
        <w:t>调查等方式收集</w:t>
      </w:r>
      <w:r>
        <w:rPr>
          <w:rFonts w:hint="eastAsia" w:ascii="仿宋_GB2312" w:hAnsi="仿宋_GB2312" w:eastAsia="仿宋_GB2312" w:cs="仿宋_GB2312"/>
          <w:sz w:val="32"/>
          <w:szCs w:val="32"/>
          <w:lang w:val="en-US" w:eastAsia="zh-CN"/>
        </w:rPr>
        <w:t>意见建议</w:t>
      </w:r>
      <w:r>
        <w:rPr>
          <w:rFonts w:hint="eastAsia" w:ascii="仿宋_GB2312" w:hAnsi="仿宋_GB2312" w:eastAsia="仿宋_GB2312" w:cs="仿宋_GB2312"/>
          <w:sz w:val="32"/>
          <w:szCs w:val="32"/>
        </w:rPr>
        <w:t>，促进政府响应公众需求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提升管理效能。202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年冠县未发生责任追究情况。</w:t>
      </w:r>
    </w:p>
    <w:p w14:paraId="7E9571A9">
      <w:pPr>
        <w:pStyle w:val="2"/>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8"/>
        <w:tblpPr w:leftFromText="180" w:rightFromText="180" w:vertAnchor="text" w:horzAnchor="page" w:tblpX="1790" w:tblpY="144"/>
        <w:tblOverlap w:val="never"/>
        <w:tblW w:w="5000" w:type="pct"/>
        <w:jc w:val="center"/>
        <w:tblLayout w:type="autofit"/>
        <w:tblCellMar>
          <w:top w:w="0" w:type="dxa"/>
          <w:left w:w="108" w:type="dxa"/>
          <w:bottom w:w="0" w:type="dxa"/>
          <w:right w:w="108" w:type="dxa"/>
        </w:tblCellMar>
      </w:tblPr>
      <w:tblGrid>
        <w:gridCol w:w="2128"/>
        <w:gridCol w:w="2129"/>
        <w:gridCol w:w="2131"/>
        <w:gridCol w:w="2134"/>
      </w:tblGrid>
      <w:tr w14:paraId="7E8C128A">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A508FF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EF76DA5">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29AE18D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14:paraId="439E8BA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2FBA4F7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3977545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96D2ACE">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44ADB5B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14:paraId="173EC00B">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B14BD8A">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33A50DF">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5853CF04">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3AEC415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44AD8CF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noWrap w:val="0"/>
            <w:vAlign w:val="center"/>
          </w:tcPr>
          <w:p w14:paraId="6EC5152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5</w:t>
            </w:r>
          </w:p>
        </w:tc>
        <w:tc>
          <w:tcPr>
            <w:tcW w:w="1250" w:type="pct"/>
            <w:tcBorders>
              <w:top w:val="nil"/>
              <w:left w:val="nil"/>
              <w:bottom w:val="single" w:color="auto" w:sz="8" w:space="0"/>
              <w:right w:val="single" w:color="auto" w:sz="8" w:space="0"/>
            </w:tcBorders>
            <w:noWrap w:val="0"/>
            <w:vAlign w:val="center"/>
          </w:tcPr>
          <w:p w14:paraId="2A0F7F41">
            <w:pPr>
              <w:widowControl/>
              <w:jc w:val="center"/>
              <w:rPr>
                <w:rFonts w:hint="eastAsia" w:ascii="仿宋_GB2312"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6</w:t>
            </w:r>
          </w:p>
          <w:p w14:paraId="5FE0F8AE">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(2024年制发、2025年生效1件）</w:t>
            </w:r>
          </w:p>
        </w:tc>
      </w:tr>
      <w:tr w14:paraId="612BFD04">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90DCF0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7190164C">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3FEC132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B189C0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8CE3E71">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7944F77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61435B06">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35757</w:t>
            </w:r>
          </w:p>
        </w:tc>
      </w:tr>
      <w:tr w14:paraId="038225F4">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854C7C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717FD9F4">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0E05410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DBEC8E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83ED90A">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3205FDB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25CFAF0B">
            <w:pPr>
              <w:widowControl/>
              <w:jc w:val="center"/>
              <w:rPr>
                <w:rFonts w:hint="default" w:ascii="仿宋_GB2312" w:hAnsi="宋体" w:eastAsia="仿宋_GB2312" w:cs="宋体"/>
                <w:color w:val="000000"/>
                <w:kern w:val="0"/>
                <w:szCs w:val="21"/>
                <w:lang w:val="en-US" w:eastAsia="zh-CN"/>
              </w:rPr>
            </w:pPr>
            <w:r>
              <w:rPr>
                <w:rFonts w:hint="eastAsia" w:ascii="仿宋_GB2312" w:eastAsia="仿宋_GB2312" w:cs="Calibri"/>
                <w:color w:val="000000"/>
                <w:kern w:val="0"/>
                <w:szCs w:val="21"/>
                <w:lang w:val="en-US" w:eastAsia="zh-CN"/>
              </w:rPr>
              <w:t>2191</w:t>
            </w:r>
          </w:p>
        </w:tc>
      </w:tr>
      <w:tr w14:paraId="20D259CD">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2BD9C95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D9CC2EE">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166</w:t>
            </w:r>
          </w:p>
        </w:tc>
      </w:tr>
      <w:tr w14:paraId="654C1462">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92BA37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BE6F8A3">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2AAAAEB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905CA6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5525C5C6">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14:paraId="5C3F12F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633E0D3">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4702.52612</w:t>
            </w:r>
          </w:p>
        </w:tc>
      </w:tr>
    </w:tbl>
    <w:p w14:paraId="38AC8FDA">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8"/>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1814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28AC4168">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333F26D9">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64E79352">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4409D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ED4DCC3">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369A8870">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2CB18B36">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2FB26669">
            <w:pPr>
              <w:widowControl/>
              <w:jc w:val="center"/>
              <w:rPr>
                <w:rFonts w:ascii="黑体" w:hAnsi="黑体" w:eastAsia="黑体"/>
                <w:szCs w:val="21"/>
              </w:rPr>
            </w:pPr>
            <w:r>
              <w:rPr>
                <w:rFonts w:hint="eastAsia" w:ascii="黑体" w:hAnsi="黑体" w:eastAsia="黑体"/>
                <w:kern w:val="0"/>
                <w:szCs w:val="21"/>
              </w:rPr>
              <w:t>总计</w:t>
            </w:r>
          </w:p>
        </w:tc>
      </w:tr>
      <w:tr w14:paraId="0E7ED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0" w:hRule="atLeast"/>
          <w:jc w:val="center"/>
        </w:trPr>
        <w:tc>
          <w:tcPr>
            <w:tcW w:w="5093" w:type="dxa"/>
            <w:gridSpan w:val="3"/>
            <w:vMerge w:val="continue"/>
            <w:noWrap w:val="0"/>
            <w:tcMar>
              <w:left w:w="108" w:type="dxa"/>
              <w:right w:w="108" w:type="dxa"/>
            </w:tcMar>
            <w:vAlign w:val="center"/>
          </w:tcPr>
          <w:p w14:paraId="3DDF5740">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0DB311B1">
            <w:pPr>
              <w:jc w:val="center"/>
              <w:rPr>
                <w:rFonts w:ascii="黑体" w:hAnsi="黑体" w:eastAsia="黑体"/>
                <w:szCs w:val="21"/>
              </w:rPr>
            </w:pPr>
          </w:p>
        </w:tc>
        <w:tc>
          <w:tcPr>
            <w:tcW w:w="567" w:type="dxa"/>
            <w:noWrap w:val="0"/>
            <w:tcMar>
              <w:left w:w="108" w:type="dxa"/>
              <w:right w:w="108" w:type="dxa"/>
            </w:tcMar>
            <w:vAlign w:val="center"/>
          </w:tcPr>
          <w:p w14:paraId="44CEE987">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13B33245">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2D396603">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4F6B608E">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32653482">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63108DF5">
            <w:pPr>
              <w:jc w:val="center"/>
              <w:rPr>
                <w:rFonts w:ascii="仿宋_GB2312" w:hAnsi="Times New Roman" w:eastAsia="仿宋_GB2312"/>
                <w:szCs w:val="21"/>
              </w:rPr>
            </w:pPr>
          </w:p>
        </w:tc>
      </w:tr>
      <w:tr w14:paraId="572F1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5093" w:type="dxa"/>
            <w:gridSpan w:val="3"/>
            <w:noWrap w:val="0"/>
            <w:tcMar>
              <w:left w:w="108" w:type="dxa"/>
              <w:right w:w="108" w:type="dxa"/>
            </w:tcMar>
            <w:vAlign w:val="center"/>
          </w:tcPr>
          <w:p w14:paraId="1D2B3CA2">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03CE206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134</w:t>
            </w:r>
          </w:p>
        </w:tc>
        <w:tc>
          <w:tcPr>
            <w:tcW w:w="567" w:type="dxa"/>
            <w:noWrap w:val="0"/>
            <w:tcMar>
              <w:left w:w="108" w:type="dxa"/>
              <w:right w:w="108" w:type="dxa"/>
            </w:tcMar>
            <w:vAlign w:val="center"/>
          </w:tcPr>
          <w:p w14:paraId="23F40DA2">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6</w:t>
            </w:r>
          </w:p>
        </w:tc>
        <w:tc>
          <w:tcPr>
            <w:tcW w:w="567" w:type="dxa"/>
            <w:noWrap w:val="0"/>
            <w:tcMar>
              <w:left w:w="108" w:type="dxa"/>
              <w:right w:w="108" w:type="dxa"/>
            </w:tcMar>
            <w:vAlign w:val="center"/>
          </w:tcPr>
          <w:p w14:paraId="1690FAB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832596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E2A799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ADCFB1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851" w:type="dxa"/>
            <w:noWrap w:val="0"/>
            <w:tcMar>
              <w:left w:w="108" w:type="dxa"/>
              <w:right w:w="108" w:type="dxa"/>
            </w:tcMar>
            <w:vAlign w:val="center"/>
          </w:tcPr>
          <w:p w14:paraId="08DA1AB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142</w:t>
            </w:r>
          </w:p>
        </w:tc>
      </w:tr>
      <w:tr w14:paraId="173F1D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DC382C1">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24D7CD8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14:paraId="68A3F531">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93A1A7A">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598C8FC">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E9B052F">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B72507">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056BFCA">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4E5CE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74F1CE55">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7A61ECCA">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4F6F4CBA">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33</w:t>
            </w:r>
          </w:p>
        </w:tc>
        <w:tc>
          <w:tcPr>
            <w:tcW w:w="567" w:type="dxa"/>
            <w:noWrap w:val="0"/>
            <w:tcMar>
              <w:left w:w="108" w:type="dxa"/>
              <w:right w:w="108" w:type="dxa"/>
            </w:tcMar>
            <w:vAlign w:val="center"/>
          </w:tcPr>
          <w:p w14:paraId="21874F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14:paraId="30991E2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6C5E79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2D689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E5EC40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851" w:type="dxa"/>
            <w:noWrap w:val="0"/>
            <w:tcMar>
              <w:left w:w="108" w:type="dxa"/>
              <w:right w:w="108" w:type="dxa"/>
            </w:tcMar>
            <w:vAlign w:val="center"/>
          </w:tcPr>
          <w:p w14:paraId="223EBDDA">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36</w:t>
            </w:r>
          </w:p>
        </w:tc>
      </w:tr>
      <w:tr w14:paraId="43B8C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E8E18E1">
            <w:pPr>
              <w:rPr>
                <w:rFonts w:ascii="黑体" w:hAnsi="黑体" w:eastAsia="黑体"/>
                <w:szCs w:val="21"/>
              </w:rPr>
            </w:pPr>
          </w:p>
        </w:tc>
        <w:tc>
          <w:tcPr>
            <w:tcW w:w="4677" w:type="dxa"/>
            <w:gridSpan w:val="2"/>
            <w:noWrap w:val="0"/>
            <w:tcMar>
              <w:left w:w="108" w:type="dxa"/>
              <w:right w:w="108" w:type="dxa"/>
            </w:tcMar>
            <w:vAlign w:val="center"/>
          </w:tcPr>
          <w:p w14:paraId="6A559AD1">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4D25F1E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46</w:t>
            </w:r>
          </w:p>
        </w:tc>
        <w:tc>
          <w:tcPr>
            <w:tcW w:w="567" w:type="dxa"/>
            <w:noWrap w:val="0"/>
            <w:tcMar>
              <w:left w:w="108" w:type="dxa"/>
              <w:right w:w="108" w:type="dxa"/>
            </w:tcMar>
            <w:vAlign w:val="center"/>
          </w:tcPr>
          <w:p w14:paraId="1E0EC37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43051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A205F9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FB936E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BA3C7A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38A571A">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46</w:t>
            </w:r>
          </w:p>
        </w:tc>
      </w:tr>
      <w:tr w14:paraId="062EA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82F232E">
            <w:pPr>
              <w:rPr>
                <w:rFonts w:ascii="黑体" w:hAnsi="黑体" w:eastAsia="黑体"/>
                <w:szCs w:val="21"/>
              </w:rPr>
            </w:pPr>
          </w:p>
        </w:tc>
        <w:tc>
          <w:tcPr>
            <w:tcW w:w="1701" w:type="dxa"/>
            <w:vMerge w:val="restart"/>
            <w:noWrap w:val="0"/>
            <w:tcMar>
              <w:left w:w="108" w:type="dxa"/>
              <w:right w:w="108" w:type="dxa"/>
            </w:tcMar>
            <w:vAlign w:val="center"/>
          </w:tcPr>
          <w:p w14:paraId="12429FA1">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2A0B1FFB">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513841E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2299AEA8">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361073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410DE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9E07AB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8600F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5F2BF9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0BD7B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9087A72">
            <w:pPr>
              <w:rPr>
                <w:rFonts w:ascii="黑体" w:hAnsi="黑体" w:eastAsia="黑体"/>
                <w:szCs w:val="21"/>
              </w:rPr>
            </w:pPr>
          </w:p>
        </w:tc>
        <w:tc>
          <w:tcPr>
            <w:tcW w:w="1701" w:type="dxa"/>
            <w:vMerge w:val="continue"/>
            <w:noWrap w:val="0"/>
            <w:tcMar>
              <w:left w:w="108" w:type="dxa"/>
              <w:right w:w="108" w:type="dxa"/>
            </w:tcMar>
            <w:vAlign w:val="center"/>
          </w:tcPr>
          <w:p w14:paraId="5D726020">
            <w:pPr>
              <w:spacing w:line="200" w:lineRule="exact"/>
              <w:rPr>
                <w:rFonts w:ascii="黑体" w:hAnsi="黑体" w:eastAsia="黑体"/>
                <w:szCs w:val="21"/>
              </w:rPr>
            </w:pPr>
          </w:p>
        </w:tc>
        <w:tc>
          <w:tcPr>
            <w:tcW w:w="2976" w:type="dxa"/>
            <w:noWrap w:val="0"/>
            <w:tcMar>
              <w:left w:w="108" w:type="dxa"/>
              <w:right w:w="108" w:type="dxa"/>
            </w:tcMar>
            <w:vAlign w:val="center"/>
          </w:tcPr>
          <w:p w14:paraId="4D99DAE2">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6007F79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C0F999C">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4456C1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A09B8E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1B7000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D1F5B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14035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64D5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3A32611">
            <w:pPr>
              <w:rPr>
                <w:rFonts w:ascii="黑体" w:hAnsi="黑体" w:eastAsia="黑体"/>
                <w:szCs w:val="21"/>
              </w:rPr>
            </w:pPr>
          </w:p>
        </w:tc>
        <w:tc>
          <w:tcPr>
            <w:tcW w:w="1701" w:type="dxa"/>
            <w:vMerge w:val="continue"/>
            <w:noWrap w:val="0"/>
            <w:tcMar>
              <w:left w:w="108" w:type="dxa"/>
              <w:right w:w="108" w:type="dxa"/>
            </w:tcMar>
            <w:vAlign w:val="center"/>
          </w:tcPr>
          <w:p w14:paraId="0C7A96BB">
            <w:pPr>
              <w:spacing w:line="200" w:lineRule="exact"/>
              <w:rPr>
                <w:rFonts w:ascii="黑体" w:hAnsi="黑体" w:eastAsia="黑体"/>
                <w:szCs w:val="21"/>
              </w:rPr>
            </w:pPr>
          </w:p>
        </w:tc>
        <w:tc>
          <w:tcPr>
            <w:tcW w:w="2976" w:type="dxa"/>
            <w:noWrap w:val="0"/>
            <w:tcMar>
              <w:left w:w="108" w:type="dxa"/>
              <w:right w:w="108" w:type="dxa"/>
            </w:tcMar>
            <w:vAlign w:val="center"/>
          </w:tcPr>
          <w:p w14:paraId="34F03022">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5C662AEF">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5BA601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23D46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4A14FD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DCA1B9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E80E68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854170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9690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ED2C2FA">
            <w:pPr>
              <w:rPr>
                <w:rFonts w:ascii="黑体" w:hAnsi="黑体" w:eastAsia="黑体"/>
                <w:szCs w:val="21"/>
              </w:rPr>
            </w:pPr>
          </w:p>
        </w:tc>
        <w:tc>
          <w:tcPr>
            <w:tcW w:w="1701" w:type="dxa"/>
            <w:vMerge w:val="continue"/>
            <w:noWrap w:val="0"/>
            <w:tcMar>
              <w:left w:w="108" w:type="dxa"/>
              <w:right w:w="108" w:type="dxa"/>
            </w:tcMar>
            <w:vAlign w:val="center"/>
          </w:tcPr>
          <w:p w14:paraId="3746E69B">
            <w:pPr>
              <w:spacing w:line="200" w:lineRule="exact"/>
              <w:rPr>
                <w:rFonts w:ascii="黑体" w:hAnsi="黑体" w:eastAsia="黑体"/>
                <w:szCs w:val="21"/>
              </w:rPr>
            </w:pPr>
          </w:p>
        </w:tc>
        <w:tc>
          <w:tcPr>
            <w:tcW w:w="2976" w:type="dxa"/>
            <w:noWrap w:val="0"/>
            <w:tcMar>
              <w:left w:w="108" w:type="dxa"/>
              <w:right w:w="108" w:type="dxa"/>
            </w:tcMar>
            <w:vAlign w:val="center"/>
          </w:tcPr>
          <w:p w14:paraId="4A05AA2A">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3506B08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14:paraId="2E7FAC0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5A76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9EDB58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74A364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FCE88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D99E2D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14:paraId="099CF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E1B060E">
            <w:pPr>
              <w:rPr>
                <w:rFonts w:ascii="黑体" w:hAnsi="黑体" w:eastAsia="黑体"/>
                <w:szCs w:val="21"/>
              </w:rPr>
            </w:pPr>
          </w:p>
        </w:tc>
        <w:tc>
          <w:tcPr>
            <w:tcW w:w="1701" w:type="dxa"/>
            <w:vMerge w:val="continue"/>
            <w:noWrap w:val="0"/>
            <w:tcMar>
              <w:left w:w="108" w:type="dxa"/>
              <w:right w:w="108" w:type="dxa"/>
            </w:tcMar>
            <w:vAlign w:val="center"/>
          </w:tcPr>
          <w:p w14:paraId="577A4035">
            <w:pPr>
              <w:spacing w:line="200" w:lineRule="exact"/>
              <w:rPr>
                <w:rFonts w:ascii="黑体" w:hAnsi="黑体" w:eastAsia="黑体"/>
                <w:szCs w:val="21"/>
              </w:rPr>
            </w:pPr>
          </w:p>
        </w:tc>
        <w:tc>
          <w:tcPr>
            <w:tcW w:w="2976" w:type="dxa"/>
            <w:noWrap w:val="0"/>
            <w:tcMar>
              <w:left w:w="108" w:type="dxa"/>
              <w:right w:w="108" w:type="dxa"/>
            </w:tcMar>
            <w:vAlign w:val="center"/>
          </w:tcPr>
          <w:p w14:paraId="1AEF23C4">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38BEA4A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BA738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F54B1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74255A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DFA4BB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8C588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AAE1F6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1FCE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FEB8834">
            <w:pPr>
              <w:rPr>
                <w:rFonts w:ascii="黑体" w:hAnsi="黑体" w:eastAsia="黑体"/>
                <w:szCs w:val="21"/>
              </w:rPr>
            </w:pPr>
          </w:p>
        </w:tc>
        <w:tc>
          <w:tcPr>
            <w:tcW w:w="1701" w:type="dxa"/>
            <w:vMerge w:val="continue"/>
            <w:noWrap w:val="0"/>
            <w:tcMar>
              <w:left w:w="108" w:type="dxa"/>
              <w:right w:w="108" w:type="dxa"/>
            </w:tcMar>
            <w:vAlign w:val="center"/>
          </w:tcPr>
          <w:p w14:paraId="79A7BE60">
            <w:pPr>
              <w:spacing w:line="200" w:lineRule="exact"/>
              <w:rPr>
                <w:rFonts w:ascii="黑体" w:hAnsi="黑体" w:eastAsia="黑体"/>
                <w:szCs w:val="21"/>
              </w:rPr>
            </w:pPr>
          </w:p>
        </w:tc>
        <w:tc>
          <w:tcPr>
            <w:tcW w:w="2976" w:type="dxa"/>
            <w:noWrap w:val="0"/>
            <w:tcMar>
              <w:left w:w="108" w:type="dxa"/>
              <w:right w:w="108" w:type="dxa"/>
            </w:tcMar>
            <w:vAlign w:val="center"/>
          </w:tcPr>
          <w:p w14:paraId="3B9B9ADE">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2EA7647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EABBB3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5ADEA9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8A7070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512E77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CA340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EF852E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C647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DE4068">
            <w:pPr>
              <w:rPr>
                <w:rFonts w:ascii="黑体" w:hAnsi="黑体" w:eastAsia="黑体"/>
                <w:szCs w:val="21"/>
              </w:rPr>
            </w:pPr>
          </w:p>
        </w:tc>
        <w:tc>
          <w:tcPr>
            <w:tcW w:w="1701" w:type="dxa"/>
            <w:vMerge w:val="continue"/>
            <w:noWrap w:val="0"/>
            <w:tcMar>
              <w:left w:w="108" w:type="dxa"/>
              <w:right w:w="108" w:type="dxa"/>
            </w:tcMar>
            <w:vAlign w:val="center"/>
          </w:tcPr>
          <w:p w14:paraId="2E50C024">
            <w:pPr>
              <w:spacing w:line="200" w:lineRule="exact"/>
              <w:rPr>
                <w:rFonts w:ascii="黑体" w:hAnsi="黑体" w:eastAsia="黑体"/>
                <w:szCs w:val="21"/>
              </w:rPr>
            </w:pPr>
          </w:p>
        </w:tc>
        <w:tc>
          <w:tcPr>
            <w:tcW w:w="2976" w:type="dxa"/>
            <w:noWrap w:val="0"/>
            <w:tcMar>
              <w:left w:w="108" w:type="dxa"/>
              <w:right w:w="108" w:type="dxa"/>
            </w:tcMar>
            <w:vAlign w:val="center"/>
          </w:tcPr>
          <w:p w14:paraId="5B814924">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301E63E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5B2BFF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FFD4E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FFEA5B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196059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230E5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F8BE8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51DF6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4ED71D4">
            <w:pPr>
              <w:rPr>
                <w:rFonts w:ascii="黑体" w:hAnsi="黑体" w:eastAsia="黑体"/>
                <w:szCs w:val="21"/>
              </w:rPr>
            </w:pPr>
          </w:p>
        </w:tc>
        <w:tc>
          <w:tcPr>
            <w:tcW w:w="1701" w:type="dxa"/>
            <w:vMerge w:val="continue"/>
            <w:noWrap w:val="0"/>
            <w:tcMar>
              <w:left w:w="108" w:type="dxa"/>
              <w:right w:w="108" w:type="dxa"/>
            </w:tcMar>
            <w:vAlign w:val="center"/>
          </w:tcPr>
          <w:p w14:paraId="4E64006D">
            <w:pPr>
              <w:spacing w:line="200" w:lineRule="exact"/>
              <w:rPr>
                <w:rFonts w:ascii="黑体" w:hAnsi="黑体" w:eastAsia="黑体"/>
                <w:szCs w:val="21"/>
              </w:rPr>
            </w:pPr>
          </w:p>
        </w:tc>
        <w:tc>
          <w:tcPr>
            <w:tcW w:w="2976" w:type="dxa"/>
            <w:noWrap w:val="0"/>
            <w:tcMar>
              <w:left w:w="108" w:type="dxa"/>
              <w:right w:w="108" w:type="dxa"/>
            </w:tcMar>
            <w:vAlign w:val="center"/>
          </w:tcPr>
          <w:p w14:paraId="0C13C627">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7738108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c>
          <w:tcPr>
            <w:tcW w:w="567" w:type="dxa"/>
            <w:noWrap w:val="0"/>
            <w:tcMar>
              <w:left w:w="108" w:type="dxa"/>
              <w:right w:w="108" w:type="dxa"/>
            </w:tcMar>
            <w:vAlign w:val="center"/>
          </w:tcPr>
          <w:p w14:paraId="2F7605D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2B17744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4F5242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ABC74B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1D26F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37E358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14:paraId="6CEB5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2F91F7F">
            <w:pPr>
              <w:rPr>
                <w:rFonts w:ascii="黑体" w:hAnsi="黑体" w:eastAsia="黑体"/>
                <w:szCs w:val="21"/>
              </w:rPr>
            </w:pPr>
          </w:p>
        </w:tc>
        <w:tc>
          <w:tcPr>
            <w:tcW w:w="1701" w:type="dxa"/>
            <w:vMerge w:val="restart"/>
            <w:noWrap w:val="0"/>
            <w:tcMar>
              <w:left w:w="108" w:type="dxa"/>
              <w:right w:w="108" w:type="dxa"/>
            </w:tcMar>
            <w:vAlign w:val="center"/>
          </w:tcPr>
          <w:p w14:paraId="1BC23ABA">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5B8487D6">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3A6BFB9E">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25</w:t>
            </w:r>
          </w:p>
        </w:tc>
        <w:tc>
          <w:tcPr>
            <w:tcW w:w="567" w:type="dxa"/>
            <w:noWrap w:val="0"/>
            <w:tcMar>
              <w:left w:w="108" w:type="dxa"/>
              <w:right w:w="108" w:type="dxa"/>
            </w:tcMar>
            <w:vAlign w:val="center"/>
          </w:tcPr>
          <w:p w14:paraId="360AE5D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14:paraId="098D38D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998832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578B34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D8D04C9">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DFBB62C">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28</w:t>
            </w:r>
          </w:p>
        </w:tc>
      </w:tr>
      <w:tr w14:paraId="59E38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6C09222">
            <w:pPr>
              <w:rPr>
                <w:rFonts w:ascii="黑体" w:hAnsi="黑体" w:eastAsia="黑体"/>
                <w:szCs w:val="21"/>
              </w:rPr>
            </w:pPr>
          </w:p>
        </w:tc>
        <w:tc>
          <w:tcPr>
            <w:tcW w:w="1701" w:type="dxa"/>
            <w:vMerge w:val="continue"/>
            <w:noWrap w:val="0"/>
            <w:tcMar>
              <w:left w:w="108" w:type="dxa"/>
              <w:right w:w="108" w:type="dxa"/>
            </w:tcMar>
            <w:vAlign w:val="center"/>
          </w:tcPr>
          <w:p w14:paraId="7CC72E53">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4D6C9216">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5D67497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775DEC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117CFB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B617AC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7D8289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BF7AC6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27CDCA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F5A4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2A048A4">
            <w:pPr>
              <w:rPr>
                <w:rFonts w:ascii="黑体" w:hAnsi="黑体" w:eastAsia="黑体"/>
                <w:szCs w:val="21"/>
              </w:rPr>
            </w:pPr>
          </w:p>
        </w:tc>
        <w:tc>
          <w:tcPr>
            <w:tcW w:w="1701" w:type="dxa"/>
            <w:vMerge w:val="continue"/>
            <w:noWrap w:val="0"/>
            <w:tcMar>
              <w:left w:w="108" w:type="dxa"/>
              <w:right w:w="108" w:type="dxa"/>
            </w:tcMar>
            <w:vAlign w:val="center"/>
          </w:tcPr>
          <w:p w14:paraId="453B0833">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390C9CCF">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7F2CD7C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6A992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C85F41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836017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88DCF5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6D352C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F47624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0367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4BD3C98">
            <w:pPr>
              <w:rPr>
                <w:rFonts w:ascii="黑体" w:hAnsi="黑体" w:eastAsia="黑体"/>
                <w:szCs w:val="21"/>
              </w:rPr>
            </w:pPr>
          </w:p>
        </w:tc>
        <w:tc>
          <w:tcPr>
            <w:tcW w:w="1701" w:type="dxa"/>
            <w:vMerge w:val="restart"/>
            <w:noWrap w:val="0"/>
            <w:tcMar>
              <w:left w:w="108" w:type="dxa"/>
              <w:right w:w="108" w:type="dxa"/>
            </w:tcMar>
            <w:vAlign w:val="center"/>
          </w:tcPr>
          <w:p w14:paraId="28E46637">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79046EF1">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7C85A35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2EDEE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E4E62D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01EB51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598DDD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8A85A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E5960C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82D9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1CD962A">
            <w:pPr>
              <w:rPr>
                <w:rFonts w:ascii="黑体" w:hAnsi="黑体" w:eastAsia="黑体"/>
                <w:szCs w:val="21"/>
              </w:rPr>
            </w:pPr>
          </w:p>
        </w:tc>
        <w:tc>
          <w:tcPr>
            <w:tcW w:w="1701" w:type="dxa"/>
            <w:vMerge w:val="continue"/>
            <w:noWrap w:val="0"/>
            <w:tcMar>
              <w:left w:w="108" w:type="dxa"/>
              <w:right w:w="108" w:type="dxa"/>
            </w:tcMar>
            <w:vAlign w:val="center"/>
          </w:tcPr>
          <w:p w14:paraId="135490C3">
            <w:pPr>
              <w:spacing w:line="200" w:lineRule="exact"/>
              <w:rPr>
                <w:rFonts w:ascii="黑体" w:hAnsi="黑体" w:eastAsia="黑体"/>
                <w:szCs w:val="21"/>
              </w:rPr>
            </w:pPr>
          </w:p>
        </w:tc>
        <w:tc>
          <w:tcPr>
            <w:tcW w:w="2976" w:type="dxa"/>
            <w:noWrap w:val="0"/>
            <w:tcMar>
              <w:left w:w="108" w:type="dxa"/>
              <w:right w:w="108" w:type="dxa"/>
            </w:tcMar>
            <w:vAlign w:val="center"/>
          </w:tcPr>
          <w:p w14:paraId="0704B5DF">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0514D4BF">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7093D3E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90F1E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39FD68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730BBE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9038F7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14764E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19C33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B902480">
            <w:pPr>
              <w:rPr>
                <w:rFonts w:ascii="黑体" w:hAnsi="黑体" w:eastAsia="黑体"/>
                <w:szCs w:val="21"/>
              </w:rPr>
            </w:pPr>
          </w:p>
        </w:tc>
        <w:tc>
          <w:tcPr>
            <w:tcW w:w="1701" w:type="dxa"/>
            <w:vMerge w:val="continue"/>
            <w:noWrap w:val="0"/>
            <w:tcMar>
              <w:left w:w="108" w:type="dxa"/>
              <w:right w:w="108" w:type="dxa"/>
            </w:tcMar>
            <w:vAlign w:val="center"/>
          </w:tcPr>
          <w:p w14:paraId="3A88A229">
            <w:pPr>
              <w:spacing w:line="200" w:lineRule="exact"/>
              <w:rPr>
                <w:rFonts w:ascii="黑体" w:hAnsi="黑体" w:eastAsia="黑体"/>
                <w:szCs w:val="21"/>
              </w:rPr>
            </w:pPr>
          </w:p>
        </w:tc>
        <w:tc>
          <w:tcPr>
            <w:tcW w:w="2976" w:type="dxa"/>
            <w:noWrap w:val="0"/>
            <w:tcMar>
              <w:left w:w="108" w:type="dxa"/>
              <w:right w:w="108" w:type="dxa"/>
            </w:tcMar>
            <w:vAlign w:val="center"/>
          </w:tcPr>
          <w:p w14:paraId="55220AA3">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64AAC09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48D66C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C12789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DD982C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F7F79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D4F01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6062C9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F1B78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DAB17DE">
            <w:pPr>
              <w:rPr>
                <w:rFonts w:ascii="黑体" w:hAnsi="黑体" w:eastAsia="黑体"/>
                <w:szCs w:val="21"/>
              </w:rPr>
            </w:pPr>
          </w:p>
        </w:tc>
        <w:tc>
          <w:tcPr>
            <w:tcW w:w="1701" w:type="dxa"/>
            <w:vMerge w:val="continue"/>
            <w:noWrap w:val="0"/>
            <w:tcMar>
              <w:left w:w="108" w:type="dxa"/>
              <w:right w:w="108" w:type="dxa"/>
            </w:tcMar>
            <w:vAlign w:val="center"/>
          </w:tcPr>
          <w:p w14:paraId="1F2B72D3">
            <w:pPr>
              <w:spacing w:line="200" w:lineRule="exact"/>
              <w:rPr>
                <w:rFonts w:ascii="黑体" w:hAnsi="黑体" w:eastAsia="黑体"/>
                <w:szCs w:val="21"/>
              </w:rPr>
            </w:pPr>
          </w:p>
        </w:tc>
        <w:tc>
          <w:tcPr>
            <w:tcW w:w="2976" w:type="dxa"/>
            <w:noWrap w:val="0"/>
            <w:tcMar>
              <w:left w:w="108" w:type="dxa"/>
              <w:right w:w="108" w:type="dxa"/>
            </w:tcMar>
            <w:vAlign w:val="center"/>
          </w:tcPr>
          <w:p w14:paraId="4617DBDF">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49C856C8">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025902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C1190A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B696E5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72CF41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DFF136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31B0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1778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4887DC0">
            <w:pPr>
              <w:rPr>
                <w:rFonts w:ascii="黑体" w:hAnsi="黑体" w:eastAsia="黑体"/>
                <w:szCs w:val="21"/>
              </w:rPr>
            </w:pPr>
          </w:p>
        </w:tc>
        <w:tc>
          <w:tcPr>
            <w:tcW w:w="1701" w:type="dxa"/>
            <w:vMerge w:val="continue"/>
            <w:noWrap w:val="0"/>
            <w:tcMar>
              <w:left w:w="108" w:type="dxa"/>
              <w:right w:w="108" w:type="dxa"/>
            </w:tcMar>
            <w:vAlign w:val="center"/>
          </w:tcPr>
          <w:p w14:paraId="028734E3">
            <w:pPr>
              <w:spacing w:line="200" w:lineRule="exact"/>
              <w:rPr>
                <w:rFonts w:ascii="黑体" w:hAnsi="黑体" w:eastAsia="黑体"/>
                <w:szCs w:val="21"/>
              </w:rPr>
            </w:pPr>
          </w:p>
        </w:tc>
        <w:tc>
          <w:tcPr>
            <w:tcW w:w="2976" w:type="dxa"/>
            <w:noWrap w:val="0"/>
            <w:tcMar>
              <w:left w:w="108" w:type="dxa"/>
              <w:right w:w="108" w:type="dxa"/>
            </w:tcMar>
            <w:vAlign w:val="center"/>
          </w:tcPr>
          <w:p w14:paraId="7F062954">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254076BF">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A2B1B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AED798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BE9B5F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6951E5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BA68A0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59E586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ABBF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2C65626">
            <w:pPr>
              <w:rPr>
                <w:rFonts w:ascii="黑体" w:hAnsi="黑体" w:eastAsia="黑体"/>
                <w:szCs w:val="21"/>
              </w:rPr>
            </w:pPr>
          </w:p>
        </w:tc>
        <w:tc>
          <w:tcPr>
            <w:tcW w:w="1701" w:type="dxa"/>
            <w:vMerge w:val="restart"/>
            <w:noWrap w:val="0"/>
            <w:tcMar>
              <w:left w:w="108" w:type="dxa"/>
              <w:right w:w="108" w:type="dxa"/>
            </w:tcMar>
            <w:vAlign w:val="center"/>
          </w:tcPr>
          <w:p w14:paraId="14829DBB">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029DE403">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6C84B44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7B5FDAA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80593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4082C4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7BF4EA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A242DD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51D8F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453382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5DC70A7">
            <w:pPr>
              <w:rPr>
                <w:rFonts w:ascii="黑体" w:hAnsi="黑体" w:eastAsia="黑体"/>
                <w:szCs w:val="21"/>
              </w:rPr>
            </w:pPr>
          </w:p>
        </w:tc>
        <w:tc>
          <w:tcPr>
            <w:tcW w:w="1701" w:type="dxa"/>
            <w:vMerge w:val="continue"/>
            <w:noWrap w:val="0"/>
            <w:tcMar>
              <w:left w:w="108" w:type="dxa"/>
              <w:right w:w="108" w:type="dxa"/>
            </w:tcMar>
            <w:vAlign w:val="center"/>
          </w:tcPr>
          <w:p w14:paraId="19B73140">
            <w:pPr>
              <w:widowControl/>
              <w:spacing w:line="300" w:lineRule="exact"/>
              <w:rPr>
                <w:rFonts w:ascii="黑体" w:hAnsi="黑体" w:eastAsia="黑体"/>
                <w:kern w:val="0"/>
                <w:szCs w:val="21"/>
              </w:rPr>
            </w:pPr>
          </w:p>
        </w:tc>
        <w:tc>
          <w:tcPr>
            <w:tcW w:w="2976" w:type="dxa"/>
            <w:noWrap w:val="0"/>
            <w:vAlign w:val="center"/>
          </w:tcPr>
          <w:p w14:paraId="48333139">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68CFDA2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1AEAE5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01BA8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A0E121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FA08EC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226DD0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60572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D840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739BB8F">
            <w:pPr>
              <w:rPr>
                <w:rFonts w:ascii="黑体" w:hAnsi="黑体" w:eastAsia="黑体"/>
                <w:szCs w:val="21"/>
              </w:rPr>
            </w:pPr>
          </w:p>
        </w:tc>
        <w:tc>
          <w:tcPr>
            <w:tcW w:w="1701" w:type="dxa"/>
            <w:vMerge w:val="continue"/>
            <w:noWrap w:val="0"/>
            <w:tcMar>
              <w:left w:w="108" w:type="dxa"/>
              <w:right w:w="108" w:type="dxa"/>
            </w:tcMar>
            <w:vAlign w:val="center"/>
          </w:tcPr>
          <w:p w14:paraId="19D6C7C0">
            <w:pPr>
              <w:widowControl/>
              <w:spacing w:line="300" w:lineRule="exact"/>
              <w:rPr>
                <w:rFonts w:ascii="黑体" w:hAnsi="黑体" w:eastAsia="黑体"/>
                <w:kern w:val="0"/>
                <w:szCs w:val="21"/>
              </w:rPr>
            </w:pPr>
          </w:p>
        </w:tc>
        <w:tc>
          <w:tcPr>
            <w:tcW w:w="2976" w:type="dxa"/>
            <w:noWrap w:val="0"/>
            <w:vAlign w:val="center"/>
          </w:tcPr>
          <w:p w14:paraId="5CE52772">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1F650F67">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20</w:t>
            </w:r>
          </w:p>
        </w:tc>
        <w:tc>
          <w:tcPr>
            <w:tcW w:w="567" w:type="dxa"/>
            <w:noWrap w:val="0"/>
            <w:tcMar>
              <w:left w:w="108" w:type="dxa"/>
              <w:right w:w="108" w:type="dxa"/>
            </w:tcMar>
            <w:vAlign w:val="center"/>
          </w:tcPr>
          <w:p w14:paraId="6A5428D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45A7C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DDB8BB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C6BFF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FB634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851" w:type="dxa"/>
            <w:noWrap w:val="0"/>
            <w:tcMar>
              <w:left w:w="108" w:type="dxa"/>
              <w:right w:w="108" w:type="dxa"/>
            </w:tcMar>
            <w:vAlign w:val="center"/>
          </w:tcPr>
          <w:p w14:paraId="33A2AA7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21</w:t>
            </w:r>
          </w:p>
        </w:tc>
      </w:tr>
      <w:tr w14:paraId="2515E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D09A4E0">
            <w:pPr>
              <w:rPr>
                <w:rFonts w:ascii="黑体" w:hAnsi="黑体" w:eastAsia="黑体"/>
                <w:szCs w:val="21"/>
              </w:rPr>
            </w:pPr>
          </w:p>
        </w:tc>
        <w:tc>
          <w:tcPr>
            <w:tcW w:w="4677" w:type="dxa"/>
            <w:gridSpan w:val="2"/>
            <w:noWrap w:val="0"/>
            <w:tcMar>
              <w:left w:w="108" w:type="dxa"/>
              <w:right w:w="108" w:type="dxa"/>
            </w:tcMar>
            <w:vAlign w:val="center"/>
          </w:tcPr>
          <w:p w14:paraId="5F2584B4">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5AE799EF">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133</w:t>
            </w:r>
          </w:p>
        </w:tc>
        <w:tc>
          <w:tcPr>
            <w:tcW w:w="567" w:type="dxa"/>
            <w:noWrap w:val="0"/>
            <w:tcMar>
              <w:left w:w="108" w:type="dxa"/>
              <w:right w:w="108" w:type="dxa"/>
            </w:tcMar>
            <w:vAlign w:val="center"/>
          </w:tcPr>
          <w:p w14:paraId="6EA7D8D4">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6</w:t>
            </w:r>
          </w:p>
        </w:tc>
        <w:tc>
          <w:tcPr>
            <w:tcW w:w="567" w:type="dxa"/>
            <w:noWrap w:val="0"/>
            <w:tcMar>
              <w:left w:w="108" w:type="dxa"/>
              <w:right w:w="108" w:type="dxa"/>
            </w:tcMar>
            <w:vAlign w:val="center"/>
          </w:tcPr>
          <w:p w14:paraId="1289B3A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143A66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89D0A4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83300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851" w:type="dxa"/>
            <w:noWrap w:val="0"/>
            <w:tcMar>
              <w:left w:w="108" w:type="dxa"/>
              <w:right w:w="108" w:type="dxa"/>
            </w:tcMar>
            <w:vAlign w:val="center"/>
          </w:tcPr>
          <w:p w14:paraId="4D4684FF">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141</w:t>
            </w:r>
          </w:p>
        </w:tc>
      </w:tr>
      <w:tr w14:paraId="527CF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2637AB5F">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625AF74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c>
          <w:tcPr>
            <w:tcW w:w="567" w:type="dxa"/>
            <w:noWrap w:val="0"/>
            <w:tcMar>
              <w:left w:w="108" w:type="dxa"/>
              <w:right w:w="108" w:type="dxa"/>
            </w:tcMar>
            <w:vAlign w:val="center"/>
          </w:tcPr>
          <w:p w14:paraId="232E3EA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EBC85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30C578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4208BC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54A44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D3F7E7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r>
    </w:tbl>
    <w:p w14:paraId="18876377">
      <w:pPr>
        <w:ind w:firstLine="640" w:firstLineChars="200"/>
        <w:jc w:val="left"/>
        <w:rPr>
          <w:rFonts w:hint="eastAsia" w:ascii="CESI黑体-GB2312" w:hAnsi="CESI黑体-GB2312" w:eastAsia="CESI黑体-GB2312" w:cs="CESI黑体-GB2312"/>
          <w:sz w:val="32"/>
          <w:szCs w:val="32"/>
          <w:lang w:eastAsia="zh-CN"/>
        </w:rPr>
      </w:pPr>
    </w:p>
    <w:p w14:paraId="15BBD8F3">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409DE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FF08C2">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B6531FE">
            <w:pPr>
              <w:widowControl/>
              <w:jc w:val="center"/>
              <w:rPr>
                <w:rFonts w:ascii="黑体" w:hAnsi="黑体" w:eastAsia="黑体"/>
              </w:rPr>
            </w:pPr>
            <w:r>
              <w:rPr>
                <w:rFonts w:ascii="黑体" w:hAnsi="黑体" w:eastAsia="黑体"/>
                <w:kern w:val="0"/>
                <w:sz w:val="20"/>
                <w:szCs w:val="20"/>
              </w:rPr>
              <w:t>行政诉讼</w:t>
            </w:r>
          </w:p>
        </w:tc>
      </w:tr>
      <w:tr w14:paraId="396C34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EBC1015">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6B2087BA">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88A0EFF">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9593EAD">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6EE46DF">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32D9C922">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4AC541E">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A8A70A7">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972A258">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0C42EE5">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054EED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0E92BBA">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641D535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A44FA2B">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9FA3FD3">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3482171">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885F427">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A5A6FBB">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D544174">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1F6CF2D7">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3CD4003">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018136FB">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2259DFC">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89DCD6F">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E03049">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48ED1DC">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8572164">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5D9D08B4">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ECA958F">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39D98A">
            <w:pPr>
              <w:widowControl/>
              <w:jc w:val="center"/>
              <w:rPr>
                <w:rFonts w:ascii="黑体" w:hAnsi="黑体" w:eastAsia="黑体"/>
              </w:rPr>
            </w:pPr>
            <w:r>
              <w:rPr>
                <w:rFonts w:ascii="黑体" w:hAnsi="黑体" w:eastAsia="黑体"/>
                <w:kern w:val="0"/>
                <w:sz w:val="20"/>
                <w:szCs w:val="20"/>
              </w:rPr>
              <w:t>总计</w:t>
            </w:r>
          </w:p>
        </w:tc>
      </w:tr>
      <w:tr w14:paraId="3AD7AF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3F5DE53">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5</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3A01E9B">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6E123E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E22658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38DD7E4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6</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A2AA65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47B645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919738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C4C6B5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754321B">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B9CAADD">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F60DA9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5F948AF">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85B617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8E98D4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0D99DB1A">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61D76A80">
      <w:pPr>
        <w:pStyle w:val="5"/>
        <w:ind w:firstLine="643" w:firstLineChars="200"/>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14:paraId="253C6323">
      <w:pPr>
        <w:ind w:firstLine="640" w:firstLineChars="200"/>
        <w:rPr>
          <w:rFonts w:hint="eastAsia" w:ascii="仿宋_GB2312" w:hAnsi="文星仿宋" w:eastAsia="仿宋_GB2312"/>
          <w:sz w:val="32"/>
          <w:szCs w:val="32"/>
          <w:lang w:val="en-US" w:eastAsia="zh-CN"/>
        </w:rPr>
      </w:pPr>
      <w:r>
        <w:rPr>
          <w:rFonts w:hint="eastAsia" w:ascii="仿宋_GB2312" w:hAnsi="文星仿宋" w:eastAsia="仿宋_GB2312"/>
          <w:sz w:val="32"/>
          <w:szCs w:val="32"/>
          <w:lang w:val="en-US" w:eastAsia="zh-CN"/>
        </w:rPr>
        <w:t>2025年，冠县政府信息公开工作中还存在一些问题，主要表现在：</w:t>
      </w:r>
      <w:r>
        <w:rPr>
          <w:rFonts w:hint="eastAsia" w:ascii="仿宋_GB2312" w:hAnsi="文星仿宋" w:eastAsia="仿宋_GB2312"/>
          <w:b/>
          <w:bCs/>
          <w:sz w:val="32"/>
          <w:szCs w:val="32"/>
          <w:lang w:val="en-US" w:eastAsia="zh-CN"/>
        </w:rPr>
        <w:t>一是</w:t>
      </w:r>
      <w:r>
        <w:rPr>
          <w:rFonts w:hint="eastAsia" w:ascii="仿宋_GB2312" w:hAnsi="文星仿宋" w:eastAsia="仿宋_GB2312"/>
          <w:sz w:val="32"/>
          <w:szCs w:val="32"/>
          <w:lang w:val="en-US" w:eastAsia="zh-CN"/>
        </w:rPr>
        <w:t>年度重大决策事项全过程公开、住房保障等个别栏目存在内容更新不及时，信息发布滞后的问题；</w:t>
      </w:r>
      <w:r>
        <w:rPr>
          <w:rFonts w:hint="eastAsia" w:ascii="仿宋_GB2312" w:hAnsi="文星仿宋" w:eastAsia="仿宋_GB2312"/>
          <w:b/>
          <w:bCs/>
          <w:sz w:val="32"/>
          <w:szCs w:val="32"/>
          <w:lang w:val="en-US" w:eastAsia="zh-CN"/>
        </w:rPr>
        <w:t>二是</w:t>
      </w:r>
      <w:r>
        <w:rPr>
          <w:rFonts w:hint="eastAsia" w:ascii="仿宋_GB2312" w:hAnsi="文星仿宋" w:eastAsia="仿宋_GB2312"/>
          <w:sz w:val="32"/>
          <w:szCs w:val="32"/>
          <w:lang w:val="en-US" w:eastAsia="zh-CN"/>
        </w:rPr>
        <w:t>部分单位政府信息公开申请办理流程有待规范。</w:t>
      </w:r>
    </w:p>
    <w:p w14:paraId="1E63B3A4">
      <w:pPr>
        <w:pStyle w:val="5"/>
        <w:ind w:firstLine="643" w:firstLineChars="200"/>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14:paraId="7E01D74D">
      <w:pPr>
        <w:pStyle w:val="2"/>
        <w:numPr>
          <w:ilvl w:val="0"/>
          <w:numId w:val="0"/>
        </w:numPr>
        <w:spacing w:before="0" w:after="0" w:line="240" w:lineRule="auto"/>
        <w:ind w:firstLine="640" w:firstLineChars="200"/>
        <w:rPr>
          <w:rFonts w:hint="eastAsia" w:ascii="仿宋_GB2312" w:hAnsi="文星仿宋" w:eastAsia="仿宋_GB2312" w:cs="Times New Roman"/>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针对以上存在的问题，主要从以下几个方面进行整改：</w:t>
      </w:r>
      <w:r>
        <w:rPr>
          <w:rFonts w:hint="eastAsia" w:ascii="仿宋_GB2312" w:hAnsi="文星仿宋" w:eastAsia="仿宋_GB2312" w:cs="Times New Roman"/>
          <w:b/>
          <w:bCs/>
          <w:kern w:val="2"/>
          <w:sz w:val="32"/>
          <w:szCs w:val="32"/>
          <w:lang w:val="en-US" w:eastAsia="zh-CN" w:bidi="ar-SA"/>
        </w:rPr>
        <w:t>一是</w:t>
      </w:r>
      <w:r>
        <w:rPr>
          <w:rFonts w:hint="eastAsia" w:ascii="仿宋_GB2312" w:hAnsi="文星仿宋" w:eastAsia="仿宋_GB2312" w:cs="Times New Roman"/>
          <w:b w:val="0"/>
          <w:bCs w:val="0"/>
          <w:kern w:val="2"/>
          <w:sz w:val="32"/>
          <w:szCs w:val="32"/>
          <w:lang w:val="en-US" w:eastAsia="zh-CN" w:bidi="ar-SA"/>
        </w:rPr>
        <w:t>根据政府网站更新监测系统的监测结果，及时督促相关单位及时更新政府网站栏目信息，确保信息发布时效性；</w:t>
      </w:r>
      <w:r>
        <w:rPr>
          <w:rFonts w:hint="eastAsia" w:ascii="仿宋_GB2312" w:hAnsi="文星仿宋" w:eastAsia="仿宋_GB2312" w:cs="Times New Roman"/>
          <w:b/>
          <w:bCs/>
          <w:kern w:val="2"/>
          <w:sz w:val="32"/>
          <w:szCs w:val="32"/>
          <w:lang w:val="en-US" w:eastAsia="zh-CN" w:bidi="ar-SA"/>
        </w:rPr>
        <w:t>二是</w:t>
      </w:r>
      <w:r>
        <w:rPr>
          <w:rFonts w:hint="eastAsia" w:ascii="仿宋_GB2312" w:hAnsi="文星仿宋" w:eastAsia="仿宋_GB2312" w:cs="Times New Roman"/>
          <w:b w:val="0"/>
          <w:bCs w:val="0"/>
          <w:kern w:val="2"/>
          <w:sz w:val="32"/>
          <w:szCs w:val="32"/>
          <w:lang w:val="en-US" w:eastAsia="zh-CN" w:bidi="ar-SA"/>
        </w:rPr>
        <w:t>加强依申请公开培训力度，规范办理流程，提高部门工作人员依申请公开办理能力和水平。</w:t>
      </w:r>
    </w:p>
    <w:p w14:paraId="2383C506">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07C2967E">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62024E2C">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61423D57">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4A7236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FF"/>
          <w:spacing w:val="0"/>
          <w:sz w:val="32"/>
          <w:szCs w:val="32"/>
          <w:lang w:val="en-US" w:eastAsia="zh-CN"/>
        </w:rPr>
      </w:pPr>
      <w:r>
        <w:rPr>
          <w:rFonts w:hint="eastAsia" w:ascii="仿宋_GB2312" w:hAnsi="仿宋_GB2312" w:eastAsia="仿宋_GB2312" w:cs="仿宋_GB2312"/>
          <w:sz w:val="32"/>
          <w:szCs w:val="32"/>
          <w:lang w:eastAsia="zh-CN"/>
        </w:rPr>
        <w:t>根据《山东省人民政府办公厅关于印发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2025年山东省政务公开工作要点</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鲁政办发〔2025〕5号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《聊城市人民政府办公室关于印发</w:t>
      </w:r>
      <w:r>
        <w:rPr>
          <w:rFonts w:hint="eastAsia" w:ascii="仿宋_GB2312" w:hAnsi="仿宋_GB2312" w:eastAsia="仿宋_GB2312" w:cs="仿宋_GB2312"/>
          <w:sz w:val="32"/>
          <w:szCs w:val="32"/>
          <w:lang w:val="en-US" w:eastAsia="zh-CN"/>
        </w:rPr>
        <w:t>2025年聊城市政务公开工作要点的通知</w:t>
      </w:r>
      <w:r>
        <w:rPr>
          <w:rFonts w:hint="eastAsia" w:ascii="仿宋_GB2312" w:hAnsi="仿宋_GB2312" w:eastAsia="仿宋_GB2312" w:cs="仿宋_GB2312"/>
          <w:sz w:val="32"/>
          <w:szCs w:val="32"/>
          <w:lang w:eastAsia="zh-CN"/>
        </w:rPr>
        <w:t>》（聊政办发〔2025〕</w:t>
      </w:r>
      <w:r>
        <w:rPr>
          <w:rFonts w:hint="eastAsia" w:ascii="仿宋_GB2312" w:hAnsi="仿宋_GB2312" w:eastAsia="仿宋_GB2312" w:cs="仿宋_GB2312"/>
          <w:sz w:val="32"/>
          <w:szCs w:val="32"/>
          <w:lang w:val="en-US" w:eastAsia="zh-CN"/>
        </w:rPr>
        <w:t>4号</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我县</w:t>
      </w:r>
      <w:r>
        <w:rPr>
          <w:rFonts w:hint="eastAsia" w:ascii="仿宋_GB2312" w:hAnsi="仿宋_GB2312" w:eastAsia="仿宋_GB2312" w:cs="仿宋_GB2312"/>
          <w:sz w:val="32"/>
          <w:szCs w:val="32"/>
        </w:rPr>
        <w:t>工作实际，</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kern w:val="2"/>
          <w:sz w:val="32"/>
          <w:szCs w:val="32"/>
          <w:lang w:val="en-US" w:eastAsia="zh-CN" w:bidi="ar-SA"/>
        </w:rPr>
        <w:t>县政府办公室制定了《2025年冠县政务公开重点工作任务分工》</w:t>
      </w:r>
      <w:r>
        <w:rPr>
          <w:rFonts w:hint="eastAsia" w:ascii="仿宋_GB2312" w:hAnsi="仿宋_GB2312" w:eastAsia="仿宋_GB2312" w:cs="仿宋_GB2312"/>
          <w:b w:val="0"/>
          <w:bCs w:val="0"/>
          <w:i w:val="0"/>
          <w:iCs w:val="0"/>
          <w:caps w:val="0"/>
          <w:color w:val="000000"/>
          <w:spacing w:val="0"/>
          <w:sz w:val="32"/>
          <w:szCs w:val="32"/>
          <w:lang w:val="en-US" w:eastAsia="zh-CN"/>
        </w:rPr>
        <w:t>。</w:t>
      </w:r>
    </w:p>
    <w:p w14:paraId="487A0D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健全主动公开体系，提升信息发布质效。持续完善主动公开事项目录,实现主动公开事项的动态更新和清单化、信息化、规范化管理。完善公共企事业单位信息公开,全面提升教育、卫生健康、供水、供气、城市集中供热、公共交通等领域公共企事业单位信息公开质量。</w:t>
      </w:r>
    </w:p>
    <w:p w14:paraId="751AB4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规范依申请公开流程，保障群众合法权益。在政府网站设立“依申请公开”专栏，提供申请表下载、在线提交、进度查询等功能，实现“一网通办”。收到申请后，第一时间确认申请内容，明确申请人真实诉求，办理中加强与部门之间的沟通协调，确保答复内容规范准确。</w:t>
      </w:r>
    </w:p>
    <w:p w14:paraId="252EA8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三是完善公众参与机制，增强政民互动效能。</w:t>
      </w:r>
      <w:r>
        <w:rPr>
          <w:rFonts w:hint="eastAsia" w:ascii="仿宋_GB2312" w:hAnsi="仿宋_GB2312" w:eastAsia="仿宋_GB2312" w:cs="仿宋_GB2312"/>
          <w:sz w:val="32"/>
          <w:szCs w:val="32"/>
          <w:lang w:val="en-US" w:eastAsia="zh-CN"/>
        </w:rPr>
        <w:t>加强领导信箱、在线访谈、意见征集、网上调查等互动平台建设，严格落实各渠道办理时限，及时公开公众意见建议采纳情况。组织各级各部门</w:t>
      </w:r>
      <w:r>
        <w:rPr>
          <w:rFonts w:hint="eastAsia" w:ascii="仿宋_GB2312" w:hAnsi="仿宋_GB2312" w:eastAsia="仿宋_GB2312" w:cs="仿宋_GB2312"/>
          <w:sz w:val="32"/>
          <w:szCs w:val="32"/>
          <w:lang w:eastAsia="zh-CN"/>
        </w:rPr>
        <w:t>参与</w:t>
      </w:r>
      <w:r>
        <w:rPr>
          <w:rFonts w:hint="eastAsia" w:ascii="仿宋_GB2312" w:hAnsi="仿宋_GB2312" w:eastAsia="仿宋_GB2312" w:cs="仿宋_GB2312"/>
          <w:sz w:val="32"/>
          <w:szCs w:val="32"/>
        </w:rPr>
        <w:t>新修订的《中华人民共和国政府信息公开条例》正式施行</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周年</w:t>
      </w:r>
      <w:r>
        <w:rPr>
          <w:rFonts w:hint="eastAsia" w:ascii="仿宋_GB2312" w:hAnsi="仿宋_GB2312" w:eastAsia="仿宋_GB2312" w:cs="仿宋_GB2312"/>
          <w:sz w:val="32"/>
          <w:szCs w:val="32"/>
          <w:lang w:eastAsia="zh-CN"/>
        </w:rPr>
        <w:t>主题宣传月活动</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积极开展政府开放日活动，加强政民互动交流，促进政民互动互信。</w:t>
      </w:r>
    </w:p>
    <w:p w14:paraId="015617E4">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4B714113">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137件、政协提案225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14:paraId="4F44F6B5">
      <w:pPr>
        <w:numPr>
          <w:ilvl w:val="0"/>
          <w:numId w:val="3"/>
        </w:num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政务公开工作创新情况</w:t>
      </w:r>
    </w:p>
    <w:p w14:paraId="04DBAA78">
      <w:pPr>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sz w:val="32"/>
          <w:szCs w:val="32"/>
          <w:shd w:val="clear" w:color="auto" w:fill="FFFFFF"/>
          <w:lang w:val="en-US" w:eastAsia="zh-CN"/>
        </w:rPr>
        <w:t>坚持“三原则”，助力政策解读提质增效。</w:t>
      </w:r>
      <w:r>
        <w:rPr>
          <w:rFonts w:hint="eastAsia" w:ascii="仿宋_GB2312" w:hAnsi="仿宋_GB2312" w:eastAsia="仿宋_GB2312" w:cs="仿宋_GB2312"/>
          <w:sz w:val="32"/>
          <w:szCs w:val="32"/>
          <w:shd w:val="clear" w:color="auto" w:fill="FFFFFF"/>
          <w:lang w:val="en-US" w:eastAsia="zh-CN"/>
        </w:rPr>
        <w:t>坚持“谁起草、谁解读”，“同步解读、 精准传达”，“多元协同、全媒立体”的基本原则。</w:t>
      </w:r>
      <w:r>
        <w:rPr>
          <w:rFonts w:hint="eastAsia" w:ascii="仿宋_GB2312" w:hAnsi="仿宋_GB2312" w:eastAsia="仿宋_GB2312" w:cs="仿宋_GB2312"/>
          <w:b/>
          <w:bCs/>
          <w:sz w:val="32"/>
          <w:szCs w:val="32"/>
          <w:shd w:val="clear" w:color="auto" w:fill="FFFFFF"/>
          <w:lang w:val="en-US" w:eastAsia="zh-CN"/>
        </w:rPr>
        <w:t>一是</w:t>
      </w:r>
      <w:r>
        <w:rPr>
          <w:rFonts w:hint="eastAsia" w:ascii="仿宋_GB2312" w:hAnsi="仿宋_GB2312" w:eastAsia="仿宋_GB2312" w:cs="仿宋_GB2312"/>
          <w:color w:val="000000"/>
          <w:kern w:val="0"/>
          <w:sz w:val="32"/>
          <w:szCs w:val="32"/>
          <w:lang w:val="en-US" w:eastAsia="zh-CN" w:bidi="ar"/>
        </w:rPr>
        <w:t>按照“谁起草、 谁解读”的原则，以政府名义印发的政策性文件，由起草部门做好解读工作；以部门名义印发的政策性文件，制发部门负责做好解读工作；部门联合发文的，牵头部门负责做好解读工作，其他联合发文部门配合。</w:t>
      </w:r>
      <w:r>
        <w:rPr>
          <w:rFonts w:hint="eastAsia" w:ascii="仿宋_GB2312" w:hAnsi="仿宋_GB2312" w:eastAsia="仿宋_GB2312" w:cs="仿宋_GB2312"/>
          <w:b/>
          <w:bCs/>
          <w:color w:val="000000"/>
          <w:kern w:val="0"/>
          <w:sz w:val="32"/>
          <w:szCs w:val="32"/>
          <w:lang w:val="en-US" w:eastAsia="zh-CN" w:bidi="ar"/>
        </w:rPr>
        <w:t>二是</w:t>
      </w:r>
      <w:r>
        <w:rPr>
          <w:rFonts w:hint="eastAsia" w:ascii="仿宋_GB2312" w:hAnsi="仿宋_GB2312" w:eastAsia="仿宋_GB2312" w:cs="仿宋_GB2312"/>
          <w:color w:val="000000"/>
          <w:kern w:val="0"/>
          <w:sz w:val="32"/>
          <w:szCs w:val="32"/>
          <w:lang w:val="en-US" w:eastAsia="zh-CN" w:bidi="ar"/>
        </w:rPr>
        <w:t>将政策解读放到与政策制定同等重要位置，同步谋划、同步安排。政策解读以群众实际需求为出发点，坚持问题导向，聚焦企业、群众生产生活中的痛点难点，用通俗易懂的语言，切实将政策内容转化为解决具体问题的行动指南，提升政策落地的实效性与群众的获得感。</w:t>
      </w:r>
      <w:r>
        <w:rPr>
          <w:rFonts w:hint="eastAsia" w:ascii="仿宋_GB2312" w:hAnsi="仿宋_GB2312" w:eastAsia="仿宋_GB2312" w:cs="仿宋_GB2312"/>
          <w:b/>
          <w:bCs/>
          <w:color w:val="000000"/>
          <w:kern w:val="0"/>
          <w:sz w:val="32"/>
          <w:szCs w:val="32"/>
          <w:lang w:val="en-US" w:eastAsia="zh-CN" w:bidi="ar"/>
        </w:rPr>
        <w:t>三是</w:t>
      </w:r>
      <w:r>
        <w:rPr>
          <w:rFonts w:hint="eastAsia" w:ascii="仿宋_GB2312" w:hAnsi="仿宋_GB2312" w:eastAsia="仿宋_GB2312" w:cs="仿宋_GB2312"/>
          <w:color w:val="000000"/>
          <w:kern w:val="0"/>
          <w:sz w:val="32"/>
          <w:szCs w:val="32"/>
          <w:lang w:val="en-US" w:eastAsia="zh-CN" w:bidi="ar"/>
        </w:rPr>
        <w:t>充分整合行政机关、媒体、专家</w:t>
      </w:r>
      <w:r>
        <w:drawing>
          <wp:anchor distT="0" distB="0" distL="114300" distR="114300" simplePos="0" relativeHeight="251661312" behindDoc="0" locked="0" layoutInCell="1" allowOverlap="1">
            <wp:simplePos x="0" y="0"/>
            <wp:positionH relativeFrom="column">
              <wp:posOffset>66675</wp:posOffset>
            </wp:positionH>
            <wp:positionV relativeFrom="page">
              <wp:posOffset>5753735</wp:posOffset>
            </wp:positionV>
            <wp:extent cx="5163185" cy="3587115"/>
            <wp:effectExtent l="0" t="0" r="18415" b="13335"/>
            <wp:wrapTopAndBottom/>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stretch>
                      <a:fillRect/>
                    </a:stretch>
                  </pic:blipFill>
                  <pic:spPr>
                    <a:xfrm>
                      <a:off x="0" y="0"/>
                      <a:ext cx="5163185" cy="358711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133350</wp:posOffset>
            </wp:positionH>
            <wp:positionV relativeFrom="page">
              <wp:posOffset>2233930</wp:posOffset>
            </wp:positionV>
            <wp:extent cx="5266690" cy="3644900"/>
            <wp:effectExtent l="0" t="0" r="10160" b="12700"/>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266690" cy="3644900"/>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lang w:val="en-US" w:eastAsia="zh-CN" w:bidi="ar"/>
        </w:rPr>
        <w:t>等多元主体共同参与，政府网站、政务新媒体等协同发力，构建全方位、多层次的政策解读传播矩阵，提高政策知晓度。</w:t>
      </w:r>
    </w:p>
    <w:p w14:paraId="5B15505F">
      <w:pPr>
        <w:rPr>
          <w:rFonts w:hint="eastAsia" w:ascii="CESI楷体-GB2312" w:hAnsi="CESI楷体-GB2312" w:eastAsia="CESI楷体-GB2312" w:cs="CESI楷体-GB2312"/>
          <w:b/>
          <w:bCs/>
          <w:sz w:val="32"/>
          <w:szCs w:val="32"/>
          <w:lang w:eastAsia="zh-CN"/>
        </w:rPr>
      </w:pPr>
      <w:r>
        <w:drawing>
          <wp:inline distT="0" distB="0" distL="114300" distR="114300">
            <wp:extent cx="5266690" cy="3383280"/>
            <wp:effectExtent l="0" t="0" r="10160" b="762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1"/>
                    <a:stretch>
                      <a:fillRect/>
                    </a:stretch>
                  </pic:blipFill>
                  <pic:spPr>
                    <a:xfrm>
                      <a:off x="0" y="0"/>
                      <a:ext cx="5266690" cy="3383280"/>
                    </a:xfrm>
                    <a:prstGeom prst="rect">
                      <a:avLst/>
                    </a:prstGeom>
                    <a:noFill/>
                    <a:ln>
                      <a:noFill/>
                    </a:ln>
                  </pic:spPr>
                </pic:pic>
              </a:graphicData>
            </a:graphic>
          </wp:inline>
        </w:drawing>
      </w:r>
      <w:r>
        <w:rPr>
          <w:rFonts w:hint="eastAsia" w:ascii="CESI楷体-GB2312" w:hAnsi="CESI楷体-GB2312" w:eastAsia="CESI楷体-GB2312" w:cs="CESI楷体-GB2312"/>
          <w:b/>
          <w:bCs/>
          <w:sz w:val="32"/>
          <w:szCs w:val="32"/>
          <w:lang w:eastAsia="zh-CN"/>
        </w:rPr>
        <w:t>（五）政府信息公开年度报告数据统计需要说明的事项</w:t>
      </w:r>
    </w:p>
    <w:p w14:paraId="34D71FBA">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14:paraId="6EF0856F">
      <w:pPr>
        <w:pStyle w:val="7"/>
        <w:shd w:val="clear" w:color="auto" w:fill="FFFFFF"/>
        <w:spacing w:beforeAutospacing="0" w:afterAutospacing="0" w:line="600" w:lineRule="exact"/>
        <w:ind w:firstLine="640" w:firstLineChars="200"/>
        <w:jc w:val="both"/>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14:paraId="1B73733C">
      <w:pPr>
        <w:pStyle w:val="7"/>
        <w:shd w:val="clear" w:color="auto" w:fill="FFFFFF"/>
        <w:spacing w:beforeAutospacing="0" w:afterAutospacing="0" w:line="600" w:lineRule="exact"/>
        <w:ind w:firstLine="640" w:firstLineChars="200"/>
        <w:jc w:val="both"/>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14:paraId="1A9A66E8"/>
    <w:p w14:paraId="539BBFC4">
      <w:pPr>
        <w:pStyle w:val="7"/>
        <w:shd w:val="clear" w:color="auto" w:fill="FFFFFF"/>
        <w:spacing w:beforeAutospacing="0" w:afterAutospacing="0" w:line="600" w:lineRule="exact"/>
        <w:jc w:val="both"/>
        <w:rPr>
          <w:rFonts w:hint="eastAsia" w:ascii="仿宋_GB2312" w:hAnsi="Times New Roman" w:eastAsia="仿宋_GB2312" w:cs="仿宋_GB2312"/>
          <w:sz w:val="32"/>
          <w:szCs w:val="32"/>
          <w:shd w:val="clear" w:color="auto" w:fill="FFFFFF"/>
          <w:lang w:val="en-US" w:eastAsia="zh-CN"/>
        </w:rPr>
      </w:pP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decorative"/>
    <w:pitch w:val="default"/>
    <w:sig w:usb0="00000001" w:usb1="080E0000" w:usb2="00000000" w:usb3="00000000" w:csb0="00040000" w:csb1="00000000"/>
  </w:font>
  <w:font w:name="CESI小标宋-GB2312">
    <w:altName w:val="宋体"/>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0387C"/>
    <w:multiLevelType w:val="singleLevel"/>
    <w:tmpl w:val="0070387C"/>
    <w:lvl w:ilvl="0" w:tentative="0">
      <w:start w:val="4"/>
      <w:numFmt w:val="chineseCounting"/>
      <w:suff w:val="nothing"/>
      <w:lvlText w:val="（%1）"/>
      <w:lvlJc w:val="left"/>
      <w:rPr>
        <w:rFonts w:hint="eastAsia"/>
      </w:rPr>
    </w:lvl>
  </w:abstractNum>
  <w:abstractNum w:abstractNumId="1">
    <w:nsid w:val="54300017"/>
    <w:multiLevelType w:val="singleLevel"/>
    <w:tmpl w:val="54300017"/>
    <w:lvl w:ilvl="0" w:tentative="0">
      <w:start w:val="4"/>
      <w:numFmt w:val="chineseCounting"/>
      <w:suff w:val="nothing"/>
      <w:lvlText w:val="（%1）"/>
      <w:lvlJc w:val="left"/>
      <w:rPr>
        <w:rFonts w:hint="eastAsia"/>
      </w:rPr>
    </w:lvl>
  </w:abstractNum>
  <w:abstractNum w:abstractNumId="2">
    <w:nsid w:val="71479142"/>
    <w:multiLevelType w:val="singleLevel"/>
    <w:tmpl w:val="71479142"/>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3E1279"/>
    <w:rsid w:val="043E1279"/>
    <w:rsid w:val="054D684A"/>
    <w:rsid w:val="09F860A7"/>
    <w:rsid w:val="10C16BFE"/>
    <w:rsid w:val="1C5B5CC3"/>
    <w:rsid w:val="22883944"/>
    <w:rsid w:val="2472344E"/>
    <w:rsid w:val="29CA07C9"/>
    <w:rsid w:val="2B4A0A69"/>
    <w:rsid w:val="2C34758C"/>
    <w:rsid w:val="40A20184"/>
    <w:rsid w:val="47494B75"/>
    <w:rsid w:val="48753314"/>
    <w:rsid w:val="4E220F1C"/>
    <w:rsid w:val="51B7251D"/>
    <w:rsid w:val="5DCE51E7"/>
    <w:rsid w:val="5DD94E66"/>
    <w:rsid w:val="6CB73A71"/>
    <w:rsid w:val="6F723701"/>
    <w:rsid w:val="72133F5F"/>
    <w:rsid w:val="73D812D3"/>
    <w:rsid w:val="757D5442"/>
    <w:rsid w:val="7B227C55"/>
    <w:rsid w:val="7B3B5CC7"/>
    <w:rsid w:val="7C446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qFormat/>
    <w:uiPriority w:val="9"/>
    <w:pPr>
      <w:keepNext/>
      <w:keepLines/>
      <w:spacing w:before="260" w:after="260" w:line="416" w:lineRule="auto"/>
      <w:outlineLvl w:val="2"/>
    </w:pPr>
    <w:rPr>
      <w:rFonts w:ascii="Calibri" w:hAnsi="Calibri" w:eastAsia="仿宋_GB2312"/>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rPr>
  </w:style>
  <w:style w:type="paragraph" w:styleId="5">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style>
  <w:style w:type="paragraph" w:styleId="7">
    <w:name w:val="Normal (Web)"/>
    <w:basedOn w:val="1"/>
    <w:qFormat/>
    <w:uiPriority w:val="99"/>
    <w:pPr>
      <w:spacing w:beforeAutospacing="1" w:afterAutospacing="1"/>
      <w:jc w:val="left"/>
    </w:pPr>
    <w:rPr>
      <w:rFonts w:cs="Times New Roman"/>
      <w:kern w:val="0"/>
      <w:sz w:val="24"/>
      <w:szCs w:val="24"/>
    </w:rPr>
  </w:style>
  <w:style w:type="character" w:styleId="10">
    <w:name w:val="Strong"/>
    <w:basedOn w:val="9"/>
    <w:qFormat/>
    <w:uiPriority w:val="0"/>
    <w:rPr>
      <w:b/>
    </w:rPr>
  </w:style>
  <w:style w:type="character" w:styleId="11">
    <w:name w:val="Emphasis"/>
    <w:basedOn w:val="9"/>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2025年冠县人民政府网站信息发布情况</a:t>
            </a:r>
            <a:endParaRPr sz="1400" b="1" i="0" u="none" strike="noStrike" baseline="0">
              <a:solidFill>
                <a:srgbClr val="404040">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347412224543433"/>
          <c:y val="0.373297630506461"/>
          <c:w val="0.942105263157895"/>
          <c:h val="0.621761658031088"/>
        </c:manualLayout>
      </c:layout>
      <c:pie3DChart>
        <c:varyColors val="1"/>
        <c:ser>
          <c:idx val="0"/>
          <c:order val="0"/>
          <c:spPr>
            <a:scene3d>
              <a:camera prst="orthographicFront"/>
              <a:lightRig rig="threePt" dir="t"/>
            </a:scene3d>
            <a:sp3d contourW="9525"/>
          </c:spPr>
          <c:explosion val="0"/>
          <c:dPt>
            <c:idx val="0"/>
            <c:bubble3D val="0"/>
            <c:explosion val="0"/>
            <c:spPr>
              <a:solidFill>
                <a:schemeClr val="accent1"/>
              </a:solidFill>
              <a:ln>
                <a:solidFill>
                  <a:schemeClr val="bg1"/>
                </a:solidFill>
              </a:ln>
              <a:effectLst/>
              <a:scene3d>
                <a:camera prst="orthographicFront"/>
                <a:lightRig rig="threePt" dir="t"/>
              </a:scene3d>
              <a:sp3d contourW="9525"/>
            </c:spPr>
          </c:dPt>
          <c:dPt>
            <c:idx val="1"/>
            <c:bubble3D val="0"/>
            <c:explosion val="0"/>
            <c:spPr>
              <a:solidFill>
                <a:schemeClr val="accent2"/>
              </a:solidFill>
              <a:ln>
                <a:solidFill>
                  <a:schemeClr val="bg1"/>
                </a:solidFill>
              </a:ln>
              <a:effectLst/>
              <a:scene3d>
                <a:camera prst="orthographicFront"/>
                <a:lightRig rig="threePt" dir="t"/>
              </a:scene3d>
              <a:sp3d contourW="9525"/>
            </c:spPr>
          </c:dPt>
          <c:dPt>
            <c:idx val="2"/>
            <c:bubble3D val="0"/>
            <c:explosion val="0"/>
            <c:spPr>
              <a:solidFill>
                <a:schemeClr val="accent3"/>
              </a:solidFill>
              <a:ln>
                <a:solidFill>
                  <a:schemeClr val="bg1"/>
                </a:solidFill>
              </a:ln>
              <a:effectLst/>
              <a:scene3d>
                <a:camera prst="orthographicFront"/>
                <a:lightRig rig="threePt" dir="t"/>
              </a:scene3d>
              <a:sp3d contourW="9525"/>
            </c:spPr>
          </c:dPt>
          <c:dPt>
            <c:idx val="3"/>
            <c:bubble3D val="0"/>
            <c:explosion val="0"/>
            <c:spPr>
              <a:solidFill>
                <a:schemeClr val="accent4"/>
              </a:solidFill>
              <a:ln>
                <a:solidFill>
                  <a:schemeClr val="bg1"/>
                </a:solidFill>
              </a:ln>
              <a:effectLst/>
              <a:scene3d>
                <a:camera prst="orthographicFront"/>
                <a:lightRig rig="threePt" dir="t"/>
              </a:scene3d>
              <a:sp3d contourW="9525"/>
            </c:spPr>
          </c:dPt>
          <c:dPt>
            <c:idx val="4"/>
            <c:bubble3D val="0"/>
            <c:explosion val="0"/>
            <c:spPr>
              <a:solidFill>
                <a:schemeClr val="accent5"/>
              </a:solidFill>
              <a:ln>
                <a:solidFill>
                  <a:schemeClr val="bg1"/>
                </a:solidFill>
              </a:ln>
              <a:effectLst/>
              <a:scene3d>
                <a:camera prst="orthographicFront"/>
                <a:lightRig rig="threePt" dir="t"/>
              </a:scene3d>
              <a:sp3d contourW="9525"/>
            </c:spPr>
          </c:dPt>
          <c:dPt>
            <c:idx val="5"/>
            <c:bubble3D val="0"/>
            <c:explosion val="0"/>
            <c:spPr>
              <a:solidFill>
                <a:schemeClr val="accent6"/>
              </a:solidFill>
              <a:ln>
                <a:solidFill>
                  <a:schemeClr val="bg1"/>
                </a:solidFill>
              </a:ln>
              <a:effectLst/>
              <a:scene3d>
                <a:camera prst="orthographicFront"/>
                <a:lightRig rig="threePt" dir="t"/>
              </a:scene3d>
              <a:sp3d contourW="9525"/>
            </c:spPr>
          </c:dPt>
          <c:dPt>
            <c:idx val="6"/>
            <c:bubble3D val="0"/>
            <c:explosion val="0"/>
            <c:spPr>
              <a:solidFill>
                <a:schemeClr val="accent1">
                  <a:lumMod val="60000"/>
                </a:schemeClr>
              </a:solidFill>
              <a:ln>
                <a:solidFill>
                  <a:schemeClr val="bg1"/>
                </a:solidFill>
              </a:ln>
              <a:effectLst/>
              <a:scene3d>
                <a:camera prst="orthographicFront"/>
                <a:lightRig rig="threePt" dir="t"/>
              </a:scene3d>
              <a:sp3d contourW="9525"/>
            </c:spPr>
          </c:dPt>
          <c:dPt>
            <c:idx val="7"/>
            <c:bubble3D val="0"/>
            <c:explosion val="0"/>
            <c:spPr>
              <a:solidFill>
                <a:schemeClr val="accent2">
                  <a:lumMod val="60000"/>
                </a:schemeClr>
              </a:solidFill>
              <a:ln>
                <a:solidFill>
                  <a:schemeClr val="bg1"/>
                </a:solidFill>
              </a:ln>
              <a:effectLst/>
              <a:scene3d>
                <a:camera prst="orthographicFront"/>
                <a:lightRig rig="threePt" dir="t"/>
              </a:scene3d>
              <a:sp3d contourW="9525"/>
            </c:spPr>
          </c:dPt>
          <c:dPt>
            <c:idx val="8"/>
            <c:bubble3D val="0"/>
            <c:explosion val="0"/>
            <c:spPr>
              <a:solidFill>
                <a:schemeClr val="accent3">
                  <a:lumMod val="60000"/>
                </a:schemeClr>
              </a:solidFill>
              <a:ln>
                <a:solidFill>
                  <a:schemeClr val="bg1"/>
                </a:solidFill>
              </a:ln>
              <a:effectLst/>
              <a:scene3d>
                <a:camera prst="orthographicFront"/>
                <a:lightRig rig="threePt" dir="t"/>
              </a:scene3d>
              <a:sp3d contourW="9525"/>
            </c:spPr>
          </c:dPt>
          <c:dPt>
            <c:idx val="9"/>
            <c:bubble3D val="0"/>
            <c:explosion val="0"/>
            <c:spPr>
              <a:solidFill>
                <a:schemeClr val="accent4">
                  <a:lumMod val="60000"/>
                </a:schemeClr>
              </a:solidFill>
              <a:ln>
                <a:solidFill>
                  <a:schemeClr val="bg1"/>
                </a:solidFill>
              </a:ln>
              <a:effectLst/>
              <a:scene3d>
                <a:camera prst="orthographicFront"/>
                <a:lightRig rig="threePt" dir="t"/>
              </a:scene3d>
              <a:sp3d contourW="9525"/>
            </c:spPr>
          </c:dPt>
          <c:dPt>
            <c:idx val="10"/>
            <c:bubble3D val="0"/>
            <c:explosion val="0"/>
            <c:spPr>
              <a:solidFill>
                <a:schemeClr val="accent5">
                  <a:lumMod val="60000"/>
                </a:schemeClr>
              </a:solidFill>
              <a:ln>
                <a:solidFill>
                  <a:schemeClr val="bg1"/>
                </a:solidFill>
              </a:ln>
              <a:effectLst/>
              <a:scene3d>
                <a:camera prst="orthographicFront"/>
                <a:lightRig rig="threePt" dir="t"/>
              </a:scene3d>
              <a:sp3d contourW="9525"/>
            </c:spPr>
          </c:dPt>
          <c:dPt>
            <c:idx val="11"/>
            <c:bubble3D val="0"/>
            <c:explosion val="0"/>
            <c:spPr>
              <a:solidFill>
                <a:schemeClr val="accent6">
                  <a:lumMod val="60000"/>
                </a:schemeClr>
              </a:solidFill>
              <a:ln>
                <a:solidFill>
                  <a:schemeClr val="bg1"/>
                </a:solidFill>
              </a:ln>
              <a:effectLst/>
              <a:scene3d>
                <a:camera prst="orthographicFront"/>
                <a:lightRig rig="threePt" dir="t"/>
              </a:scene3d>
              <a:sp3d contourW="9525"/>
            </c:spPr>
          </c:dPt>
          <c:dPt>
            <c:idx val="12"/>
            <c:bubble3D val="0"/>
            <c:explosion val="0"/>
            <c:spPr>
              <a:solidFill>
                <a:schemeClr val="accent1">
                  <a:lumMod val="80000"/>
                  <a:lumOff val="20000"/>
                </a:schemeClr>
              </a:solidFill>
              <a:ln>
                <a:solidFill>
                  <a:schemeClr val="bg1"/>
                </a:solidFill>
              </a:ln>
              <a:effectLst/>
              <a:scene3d>
                <a:camera prst="orthographicFront"/>
                <a:lightRig rig="threePt" dir="t"/>
              </a:scene3d>
              <a:sp3d contourW="9525"/>
            </c:spPr>
          </c:dPt>
          <c:dPt>
            <c:idx val="13"/>
            <c:bubble3D val="0"/>
            <c:explosion val="0"/>
            <c:spPr>
              <a:solidFill>
                <a:schemeClr val="accent2">
                  <a:lumMod val="80000"/>
                  <a:lumOff val="20000"/>
                </a:schemeClr>
              </a:solidFill>
              <a:ln>
                <a:solidFill>
                  <a:schemeClr val="bg1"/>
                </a:solidFill>
              </a:ln>
              <a:effectLst/>
              <a:scene3d>
                <a:camera prst="orthographicFront"/>
                <a:lightRig rig="threePt" dir="t"/>
              </a:scene3d>
              <a:sp3d contourW="9525"/>
            </c:spPr>
          </c:dPt>
          <c:dPt>
            <c:idx val="14"/>
            <c:bubble3D val="0"/>
            <c:explosion val="0"/>
            <c:spPr>
              <a:solidFill>
                <a:schemeClr val="accent3">
                  <a:lumMod val="80000"/>
                  <a:lumOff val="20000"/>
                </a:schemeClr>
              </a:solidFill>
              <a:ln>
                <a:solidFill>
                  <a:schemeClr val="bg1"/>
                </a:solidFill>
              </a:ln>
              <a:effectLst/>
              <a:scene3d>
                <a:camera prst="orthographicFront"/>
                <a:lightRig rig="threePt" dir="t"/>
              </a:scene3d>
              <a:sp3d contourW="9525"/>
            </c:spPr>
          </c:dPt>
          <c:dLbls>
            <c:delete val="1"/>
          </c:dLbls>
          <c:cat>
            <c:strRef>
              <c:f>'[新建 XLS 工作表.xls]Sheet1'!$D$3:$R$3</c:f>
              <c:strCache>
                <c:ptCount val="15"/>
                <c:pt idx="0">
                  <c:v>要闻动态</c:v>
                </c:pt>
                <c:pt idx="1">
                  <c:v>重大决策预公开</c:v>
                </c:pt>
                <c:pt idx="2">
                  <c:v>会议公开</c:v>
                </c:pt>
                <c:pt idx="3">
                  <c:v>政策文件</c:v>
                </c:pt>
                <c:pt idx="4">
                  <c:v>政策解读</c:v>
                </c:pt>
                <c:pt idx="5">
                  <c:v>管理和服务公开</c:v>
                </c:pt>
                <c:pt idx="6">
                  <c:v>建议提案</c:v>
                </c:pt>
                <c:pt idx="7">
                  <c:v>财政信息</c:v>
                </c:pt>
                <c:pt idx="8">
                  <c:v>行政执法公示</c:v>
                </c:pt>
                <c:pt idx="9">
                  <c:v>环境保护</c:v>
                </c:pt>
                <c:pt idx="10">
                  <c:v>公共企事业单位</c:v>
                </c:pt>
                <c:pt idx="11">
                  <c:v>社会公益事业</c:v>
                </c:pt>
                <c:pt idx="12">
                  <c:v>公共资源配置</c:v>
                </c:pt>
                <c:pt idx="13">
                  <c:v>试点领域信息</c:v>
                </c:pt>
                <c:pt idx="14">
                  <c:v>其它</c:v>
                </c:pt>
              </c:strCache>
            </c:strRef>
          </c:cat>
          <c:val>
            <c:numRef>
              <c:f>'[新建 XLS 工作表.xls]Sheet1'!$D$4:$R$4</c:f>
              <c:numCache>
                <c:formatCode>General</c:formatCode>
                <c:ptCount val="15"/>
                <c:pt idx="0">
                  <c:v>1688</c:v>
                </c:pt>
                <c:pt idx="1">
                  <c:v>12</c:v>
                </c:pt>
                <c:pt idx="2">
                  <c:v>73</c:v>
                </c:pt>
                <c:pt idx="3">
                  <c:v>145</c:v>
                </c:pt>
                <c:pt idx="4">
                  <c:v>44</c:v>
                </c:pt>
                <c:pt idx="5">
                  <c:v>203</c:v>
                </c:pt>
                <c:pt idx="6">
                  <c:v>325</c:v>
                </c:pt>
                <c:pt idx="7">
                  <c:v>487</c:v>
                </c:pt>
                <c:pt idx="8">
                  <c:v>1018</c:v>
                </c:pt>
                <c:pt idx="9">
                  <c:v>421</c:v>
                </c:pt>
                <c:pt idx="10">
                  <c:v>1579</c:v>
                </c:pt>
                <c:pt idx="11">
                  <c:v>422</c:v>
                </c:pt>
                <c:pt idx="12">
                  <c:v>149</c:v>
                </c:pt>
                <c:pt idx="13">
                  <c:v>971</c:v>
                </c:pt>
                <c:pt idx="14">
                  <c:v>3255</c:v>
                </c:pt>
              </c:numCache>
            </c:numRef>
          </c:val>
        </c:ser>
        <c:dLbls>
          <c:showLegendKey val="0"/>
          <c:showVal val="0"/>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8c2378-82f4-4cb7-a260-b4ce966bd53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3874</Words>
  <Characters>4137</Characters>
  <Lines>0</Lines>
  <Paragraphs>0</Paragraphs>
  <TotalTime>11</TotalTime>
  <ScaleCrop>false</ScaleCrop>
  <LinksUpToDate>false</LinksUpToDate>
  <CharactersWithSpaces>4139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2026-01-27T02:28:00Z</dcterms:created>
  <dc:creator>cookie</dc:creator>
  <cp:lastModifiedBy>cookie</cp:lastModifiedBy>
  <dcterms:modified xsi:type="dcterms:W3CDTF">2026-02-11T07:52:10Z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0C987EA089D5492ABA26694F4E878C96_13</vt:lpwstr>
  </property>
  <property fmtid="{D5CDD505-2E9C-101B-9397-08002B2CF9AE}" pid="4" name="KSOTemplateDocerSaveRecord">
    <vt:lpwstr>eyJoZGlkIjoiYmFiYzI2MWM0NWFiMWQ2ODljYjk4YzY5MTQxZGNlN2IiLCJ1c2VySWQiOiI0MjIyMzUzNjYifQ==</vt:lpwstr>
  </property>
</Properties>
</file>