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jc w:val="center"/>
        <w:rPr>
          <w:rFonts w:ascii="黑体" w:hAnsi="黑体" w:eastAsia="黑体" w:cs="黑体"/>
          <w:color w:val="000000"/>
          <w:szCs w:val="32"/>
        </w:rPr>
      </w:pPr>
    </w:p>
    <w:p>
      <w:pPr>
        <w:ind w:firstLine="961"/>
        <w:jc w:val="center"/>
        <w:rPr>
          <w:rFonts w:eastAsia="华文中宋"/>
          <w:b/>
          <w:bCs/>
          <w:color w:val="000000"/>
          <w:sz w:val="48"/>
          <w:szCs w:val="48"/>
        </w:rPr>
      </w:pPr>
    </w:p>
    <w:p>
      <w:pPr>
        <w:ind w:firstLine="961"/>
        <w:jc w:val="center"/>
        <w:rPr>
          <w:rFonts w:eastAsia="华文中宋"/>
          <w:b/>
          <w:bCs/>
          <w:color w:val="000000"/>
          <w:sz w:val="48"/>
          <w:szCs w:val="48"/>
        </w:rPr>
      </w:pPr>
    </w:p>
    <w:p>
      <w:pPr>
        <w:ind w:firstLine="961"/>
        <w:jc w:val="center"/>
        <w:rPr>
          <w:rFonts w:eastAsia="华文中宋"/>
          <w:b/>
          <w:bCs/>
          <w:color w:val="000000"/>
          <w:sz w:val="48"/>
          <w:szCs w:val="48"/>
        </w:rPr>
      </w:pPr>
    </w:p>
    <w:p>
      <w:pPr>
        <w:pStyle w:val="52"/>
        <w:spacing w:line="760" w:lineRule="exact"/>
        <w:rPr>
          <w:rFonts w:ascii="方正小标宋简体" w:hAnsi="宋体" w:eastAsia="方正小标宋简体" w:cs="宋体"/>
          <w:b w:val="0"/>
          <w:bCs w:val="0"/>
          <w:color w:val="auto"/>
          <w:sz w:val="52"/>
          <w:szCs w:val="52"/>
        </w:rPr>
      </w:pPr>
      <w:r>
        <w:rPr>
          <w:rFonts w:hint="eastAsia" w:ascii="方正小标宋简体" w:hAnsi="宋体" w:eastAsia="方正小标宋简体" w:cs="宋体"/>
          <w:b w:val="0"/>
          <w:bCs w:val="0"/>
          <w:color w:val="auto"/>
          <w:sz w:val="52"/>
          <w:szCs w:val="52"/>
        </w:rPr>
        <w:t>冠县国民经济和社会发展第十四个</w:t>
      </w:r>
    </w:p>
    <w:p>
      <w:pPr>
        <w:pStyle w:val="52"/>
        <w:spacing w:line="760" w:lineRule="exact"/>
        <w:rPr>
          <w:rFonts w:ascii="方正小标宋简体" w:hAnsi="宋体" w:eastAsia="方正小标宋简体" w:cs="宋体"/>
          <w:b w:val="0"/>
          <w:bCs w:val="0"/>
          <w:color w:val="auto"/>
          <w:sz w:val="52"/>
          <w:szCs w:val="52"/>
        </w:rPr>
      </w:pPr>
      <w:r>
        <w:rPr>
          <w:rFonts w:hint="eastAsia" w:ascii="方正小标宋简体" w:hAnsi="宋体" w:eastAsia="方正小标宋简体" w:cs="宋体"/>
          <w:b w:val="0"/>
          <w:bCs w:val="0"/>
          <w:color w:val="auto"/>
          <w:sz w:val="52"/>
          <w:szCs w:val="52"/>
        </w:rPr>
        <w:t>五年规划和二</w:t>
      </w:r>
      <w:r>
        <w:rPr>
          <w:rFonts w:hint="eastAsia" w:ascii="方正小标宋简体" w:hAnsi="宋体" w:cs="宋体"/>
          <w:b w:val="0"/>
          <w:bCs w:val="0"/>
          <w:color w:val="auto"/>
          <w:sz w:val="52"/>
          <w:szCs w:val="52"/>
        </w:rPr>
        <w:t>〇</w:t>
      </w:r>
      <w:r>
        <w:rPr>
          <w:rFonts w:hint="eastAsia" w:ascii="方正小标宋简体" w:hAnsi="宋体" w:eastAsia="方正小标宋简体" w:cs="宋体"/>
          <w:b w:val="0"/>
          <w:bCs w:val="0"/>
          <w:color w:val="auto"/>
          <w:sz w:val="52"/>
          <w:szCs w:val="52"/>
        </w:rPr>
        <w:t>三五年远景目标纲要</w:t>
      </w: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601"/>
        <w:jc w:val="center"/>
        <w:rPr>
          <w:rFonts w:eastAsia="华文中宋"/>
          <w:b/>
          <w:bCs/>
          <w:color w:val="000000"/>
          <w:sz w:val="30"/>
          <w:szCs w:val="30"/>
        </w:rPr>
      </w:pPr>
    </w:p>
    <w:p>
      <w:pPr>
        <w:ind w:firstLine="0" w:firstLineChars="0"/>
        <w:jc w:val="center"/>
        <w:rPr>
          <w:rFonts w:ascii="楷体_GB2312" w:hAnsi="宋体" w:eastAsia="楷体_GB2312" w:cs="宋体"/>
          <w:b/>
          <w:bCs/>
          <w:color w:val="000000"/>
          <w:sz w:val="36"/>
          <w:szCs w:val="36"/>
        </w:rPr>
      </w:pPr>
    </w:p>
    <w:p>
      <w:pPr>
        <w:ind w:firstLine="0" w:firstLineChars="0"/>
        <w:jc w:val="center"/>
        <w:rPr>
          <w:rFonts w:ascii="楷体_GB2312" w:hAnsi="宋体" w:eastAsia="楷体_GB2312" w:cs="宋体"/>
          <w:b/>
          <w:bCs/>
          <w:color w:val="000000"/>
          <w:sz w:val="36"/>
          <w:szCs w:val="36"/>
        </w:rPr>
      </w:pPr>
    </w:p>
    <w:p>
      <w:pPr>
        <w:ind w:firstLine="0" w:firstLineChars="0"/>
        <w:jc w:val="center"/>
        <w:rPr>
          <w:rFonts w:ascii="楷体_GB2312" w:hAnsi="宋体" w:eastAsia="楷体_GB2312" w:cs="宋体"/>
          <w:b/>
          <w:bCs/>
          <w:color w:val="000000"/>
          <w:sz w:val="36"/>
          <w:szCs w:val="36"/>
        </w:rPr>
      </w:pPr>
    </w:p>
    <w:p>
      <w:pPr>
        <w:ind w:firstLine="0" w:firstLineChars="0"/>
        <w:jc w:val="center"/>
        <w:rPr>
          <w:rFonts w:ascii="楷体_GB2312" w:hAnsi="宋体" w:eastAsia="楷体_GB2312" w:cs="宋体"/>
          <w:b/>
          <w:bCs/>
          <w:color w:val="000000"/>
          <w:sz w:val="36"/>
          <w:szCs w:val="36"/>
        </w:rPr>
      </w:pPr>
    </w:p>
    <w:p>
      <w:pPr>
        <w:ind w:firstLine="0" w:firstLineChars="0"/>
        <w:jc w:val="center"/>
        <w:rPr>
          <w:rFonts w:ascii="楷体_GB2312" w:hAnsi="宋体" w:eastAsia="楷体_GB2312" w:cs="宋体"/>
          <w:b/>
          <w:bCs/>
          <w:color w:val="000000"/>
          <w:sz w:val="36"/>
          <w:szCs w:val="36"/>
        </w:rPr>
      </w:pPr>
    </w:p>
    <w:p>
      <w:pPr>
        <w:pStyle w:val="53"/>
        <w:rPr>
          <w:rFonts w:ascii="楷体_GB2312"/>
          <w:b w:val="0"/>
          <w:bCs/>
          <w:sz w:val="36"/>
          <w:szCs w:val="36"/>
        </w:rPr>
      </w:pPr>
      <w:r>
        <w:rPr>
          <w:rFonts w:ascii="楷体_GB2312"/>
          <w:b w:val="0"/>
          <w:bCs/>
          <w:sz w:val="36"/>
          <w:szCs w:val="36"/>
        </w:rPr>
        <w:t>2021</w:t>
      </w:r>
      <w:r>
        <w:rPr>
          <w:rFonts w:hint="eastAsia" w:ascii="楷体_GB2312"/>
          <w:b w:val="0"/>
          <w:bCs/>
          <w:sz w:val="36"/>
          <w:szCs w:val="36"/>
        </w:rPr>
        <w:t>年</w:t>
      </w:r>
      <w:r>
        <w:rPr>
          <w:rFonts w:ascii="楷体_GB2312"/>
          <w:b w:val="0"/>
          <w:bCs/>
          <w:sz w:val="36"/>
          <w:szCs w:val="36"/>
        </w:rPr>
        <w:t>5</w:t>
      </w:r>
      <w:r>
        <w:rPr>
          <w:rFonts w:hint="eastAsia" w:ascii="楷体_GB2312"/>
          <w:b w:val="0"/>
          <w:bCs/>
          <w:sz w:val="36"/>
          <w:szCs w:val="36"/>
        </w:rPr>
        <w:t>月</w:t>
      </w:r>
    </w:p>
    <w:p>
      <w:pPr>
        <w:tabs>
          <w:tab w:val="center" w:pos="4153"/>
          <w:tab w:val="left" w:pos="5722"/>
        </w:tabs>
        <w:ind w:firstLine="721"/>
        <w:jc w:val="center"/>
        <w:rPr>
          <w:rFonts w:eastAsia="华文中宋"/>
          <w:b/>
          <w:bCs/>
          <w:color w:val="000000"/>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1134" w:footer="1134" w:gutter="0"/>
          <w:cols w:space="0" w:num="1"/>
          <w:docGrid w:type="lines" w:linePitch="437" w:charSpace="0"/>
        </w:sectPr>
      </w:pPr>
    </w:p>
    <w:p>
      <w:pPr>
        <w:adjustRightInd w:val="0"/>
        <w:snapToGrid w:val="0"/>
        <w:spacing w:line="600" w:lineRule="exact"/>
        <w:ind w:firstLine="640"/>
        <w:rPr>
          <w:rFonts w:ascii="仿宋_GB2312"/>
          <w:color w:val="000000"/>
        </w:rPr>
      </w:pPr>
      <w:bookmarkStart w:id="0" w:name="_Toc47894778"/>
      <w:bookmarkStart w:id="1" w:name="_Toc46474385"/>
      <w:r>
        <mc:AlternateContent>
          <mc:Choice Requires="wps">
            <w:drawing>
              <wp:anchor distT="0" distB="0" distL="114300" distR="114300" simplePos="0" relativeHeight="251659264" behindDoc="0" locked="0" layoutInCell="1" allowOverlap="1">
                <wp:simplePos x="0" y="0"/>
                <wp:positionH relativeFrom="column">
                  <wp:posOffset>-967740</wp:posOffset>
                </wp:positionH>
                <wp:positionV relativeFrom="paragraph">
                  <wp:posOffset>296545</wp:posOffset>
                </wp:positionV>
                <wp:extent cx="7552690" cy="1276350"/>
                <wp:effectExtent l="0" t="0" r="0" b="0"/>
                <wp:wrapNone/>
                <wp:docPr id="4" name="文本框 4"/>
                <wp:cNvGraphicFramePr/>
                <a:graphic xmlns:a="http://schemas.openxmlformats.org/drawingml/2006/main">
                  <a:graphicData uri="http://schemas.microsoft.com/office/word/2010/wordprocessingShape">
                    <wps:wsp>
                      <wps:cNvSpPr txBox="true"/>
                      <wps:spPr>
                        <a:xfrm>
                          <a:off x="1737360" y="2148205"/>
                          <a:ext cx="7552690" cy="1276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1800" w:lineRule="exact"/>
                              <w:ind w:firstLine="0" w:firstLineChars="0"/>
                              <w:jc w:val="both"/>
                              <w:rPr>
                                <w:rFonts w:ascii="方正大标宋简体" w:hAnsi="方正大标宋简体" w:eastAsia="方正大标宋简体" w:cs="方正大标宋简体"/>
                                <w:color w:val="FF0000"/>
                                <w:w w:val="66"/>
                                <w:sz w:val="160"/>
                                <w:szCs w:val="160"/>
                              </w:rPr>
                            </w:pP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76.2pt;margin-top:23.35pt;height:100.5pt;width:594.7pt;z-index:251659264;mso-width-relative:page;mso-height-relative:page;" filled="f" stroked="f" coordsize="21600,21600" o:gfxdata="UEsFBgAAAAAAAAAAAAAAAAAAAAAAAFBLAwQKAAAAAACHTuJAAAAAAAAAAAAAAAAABAAAAGRycy9Q&#10;SwMEFAAAAAgAh07iQLyQyi3dAAAADAEAAA8AAABkcnMvZG93bnJldi54bWxNj8tOwzAQRfdI/IM1&#10;SOxaOyFtqpBJhSJVSAgWLd2wm8RuEuFHiN0HfD3uCpajObr33HJ9MZqd1OQHZxGSuQCmbOvkYDuE&#10;/ftmtgLmA1lJ2lmF8K08rKvbm5IK6c52q0670LEYYn1BCH0IY8G5b3tlyM/dqGz8HdxkKMRz6ric&#10;6BzDjeapEEtuaLCxoadR1b1qP3dHg/BSb95o26Rm9aPr59fD0/i1/1gg3t8l4hFYUJfwB8NVP6pD&#10;FZ0ad7TSM40wSxZpFlmEbJkDuxLiIY/zGoQ0y3PgVcn/j6h+AVBLAwQUAAAACACHTuJA7zeZ4TEC&#10;AAA3BAAADgAAAGRycy9lMm9Eb2MueG1srVPNjtMwEL4j8Q6W7zRNmra7VdNV2VUR0opdqSDOrmM3&#10;kfyH7TYpDwBvsCcu3HmuPgdjJ+2WnxPiMpnxfJmfb2bmN60UaM+sq7UqcDoYYsQU1WWttgX+8H71&#10;6goj54kqidCKFfjAHL5ZvHwxb8yMZbrSomQWQRDlZo0pcOW9mSWJoxWTxA20YQqcXFtJPJh2m5SW&#10;NBBdiiQbDidJo21prKbMOXi965x4EeNzzqh/4Nwxj0SBoTYfpY1yE2SymJPZ1hJT1bQvg/xDFZLU&#10;CpKeQ90RT9DO1n+EkjW12mnuB1TLRHNeUxZ7gG7S4W/drCtiWOwFyHHmTJP7f2Hpu/2jRXVZ4Bwj&#10;RSSM6Pj09fjtx/H7F5QHehrjZoBaG8D59rVuC+ztjp1cDt5D4y23MnyhJQSQdDqajibA+KHAWZpf&#10;ZcNxxzVrPaIAmI7H2eQaABQQaTadjMZxGslzKGOdf8O0REEpsIVhRo7J/t55qAygJ0jIrPSqFiIO&#10;VCjUFDiG/MUDfwgFP4aeusKD5ttN2ze60eUB+rS6WxRn6KqG5PfE+UdiYTOgYNh2/wCCCw1JdK9h&#10;VGn7+W/vAQ8DAy9GDWxagd2nHbEMI/FWwSiv0zwPqxmNfDzNwLCXns2lR+3krYZlTuGuDI1qwHtx&#10;UrnV8iMcxTJk5UQ4SEQUhfwwuJN668HqnXBclC2XZxsW0xB/r9aG9qPuOFzuvOZ1JD6w1lHVkwnb&#10;GefRX1JY/0s7op7vf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vJDKLd0AAAAMAQAADwAAAAAA&#10;AAABACAAAAA4AAAAZHJzL2Rvd25yZXYueG1sUEsBAhQAFAAAAAgAh07iQO83meExAgAANwQAAA4A&#10;AAAAAAAAAQAgAAAAQgEAAGRycy9lMm9Eb2MueG1sUEsFBgAAAAAGAAYAWQEAAOUFAAAAAA==&#10;">
                <v:fill on="f" focussize="0,0"/>
                <v:stroke on="f" weight="0.5pt"/>
                <v:imagedata o:title=""/>
                <o:lock v:ext="edit" aspectratio="f"/>
                <v:textbox>
                  <w:txbxContent>
                    <w:p>
                      <w:pPr>
                        <w:spacing w:line="1800" w:lineRule="exact"/>
                        <w:ind w:firstLine="0" w:firstLineChars="0"/>
                        <w:jc w:val="both"/>
                        <w:rPr>
                          <w:rFonts w:ascii="方正大标宋简体" w:hAnsi="方正大标宋简体" w:eastAsia="方正大标宋简体" w:cs="方正大标宋简体"/>
                          <w:color w:val="FF0000"/>
                          <w:w w:val="66"/>
                          <w:sz w:val="160"/>
                          <w:szCs w:val="160"/>
                        </w:rPr>
                      </w:pPr>
                    </w:p>
                  </w:txbxContent>
                </v:textbox>
              </v:shape>
            </w:pict>
          </mc:Fallback>
        </mc:AlternateContent>
      </w: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0" w:firstLineChars="0"/>
        <w:jc w:val="center"/>
        <w:rPr>
          <w:rFonts w:ascii="仿宋_GB2312"/>
          <w:color w:val="000000"/>
          <w:szCs w:val="32"/>
        </w:rPr>
      </w:pPr>
      <w:r>
        <w:rPr>
          <w:rFonts w:hint="eastAsia" w:ascii="仿宋_GB2312"/>
          <w:color w:val="000000"/>
          <w:szCs w:val="32"/>
        </w:rPr>
        <w:t>冠政发</w:t>
      </w:r>
      <w:r>
        <w:rPr>
          <w:rFonts w:hint="eastAsia" w:ascii="仿宋_GB2312" w:hAnsi="仿宋_GB2312" w:cs="仿宋_GB2312"/>
          <w:color w:val="000000"/>
          <w:szCs w:val="32"/>
        </w:rPr>
        <w:t>〔2021〕7号</w:t>
      </w: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before="240"/>
        <w:ind w:left="140" w:right="204" w:firstLine="0" w:firstLineChars="0"/>
        <w:jc w:val="center"/>
        <w:rPr>
          <w:rFonts w:ascii="方正大标宋简体" w:hAnsi="方正大标宋简体" w:eastAsia="方正大标宋简体" w:cs="方正大标宋简体"/>
          <w:color w:val="000000"/>
          <w:sz w:val="44"/>
          <w:szCs w:val="44"/>
        </w:rPr>
      </w:pPr>
      <w:r>
        <w:rPr>
          <w:rFonts w:hint="eastAsia" w:ascii="方正大标宋简体" w:hAnsi="方正大标宋简体" w:eastAsia="方正大标宋简体" w:cs="方正大标宋简体"/>
          <w:color w:val="000000"/>
          <w:sz w:val="44"/>
          <w:szCs w:val="44"/>
        </w:rPr>
        <w:t>冠县人民政府</w:t>
      </w:r>
    </w:p>
    <w:p>
      <w:pPr>
        <w:adjustRightInd w:val="0"/>
        <w:snapToGrid w:val="0"/>
        <w:ind w:left="140" w:right="204" w:firstLine="0" w:firstLineChars="0"/>
        <w:jc w:val="center"/>
        <w:rPr>
          <w:rFonts w:ascii="方正大标宋简体" w:hAnsi="方正大标宋简体" w:eastAsia="方正大标宋简体" w:cs="方正大标宋简体"/>
          <w:color w:val="000000"/>
          <w:sz w:val="44"/>
          <w:szCs w:val="44"/>
        </w:rPr>
      </w:pPr>
      <w:r>
        <w:rPr>
          <w:rFonts w:hint="eastAsia" w:ascii="方正大标宋简体" w:hAnsi="方正大标宋简体" w:eastAsia="方正大标宋简体" w:cs="方正大标宋简体"/>
          <w:color w:val="000000"/>
          <w:sz w:val="44"/>
          <w:szCs w:val="44"/>
        </w:rPr>
        <w:t>关于印发冠县国民经济和社会发展第十四个</w:t>
      </w:r>
    </w:p>
    <w:p>
      <w:pPr>
        <w:adjustRightInd w:val="0"/>
        <w:snapToGrid w:val="0"/>
        <w:ind w:left="140" w:right="204" w:firstLine="0" w:firstLineChars="0"/>
        <w:jc w:val="center"/>
        <w:rPr>
          <w:rFonts w:ascii="方正大标宋简体" w:hAnsi="方正大标宋简体" w:eastAsia="方正大标宋简体" w:cs="方正大标宋简体"/>
          <w:color w:val="000000"/>
          <w:sz w:val="44"/>
          <w:szCs w:val="44"/>
        </w:rPr>
      </w:pPr>
      <w:r>
        <w:rPr>
          <w:rFonts w:hint="eastAsia" w:ascii="方正大标宋简体" w:hAnsi="方正大标宋简体" w:eastAsia="方正大标宋简体" w:cs="方正大标宋简体"/>
          <w:color w:val="000000"/>
          <w:sz w:val="44"/>
          <w:szCs w:val="44"/>
        </w:rPr>
        <w:t>五年规划和</w:t>
      </w:r>
      <w:r>
        <w:rPr>
          <w:rFonts w:hint="default" w:ascii="方正大标宋简体" w:hAnsi="方正大标宋简体" w:eastAsia="方正大标宋简体" w:cs="方正大标宋简体"/>
          <w:color w:val="000000"/>
          <w:sz w:val="44"/>
          <w:szCs w:val="44"/>
          <w:lang w:val="en"/>
        </w:rPr>
        <w:t>二〇三五年远景目标</w:t>
      </w:r>
      <w:r>
        <w:rPr>
          <w:rFonts w:hint="eastAsia" w:ascii="方正大标宋简体" w:hAnsi="方正大标宋简体" w:eastAsia="方正大标宋简体" w:cs="方正大标宋简体"/>
          <w:color w:val="000000"/>
          <w:sz w:val="44"/>
          <w:szCs w:val="44"/>
        </w:rPr>
        <w:t>纲要的</w:t>
      </w:r>
    </w:p>
    <w:p>
      <w:pPr>
        <w:adjustRightInd w:val="0"/>
        <w:snapToGrid w:val="0"/>
        <w:ind w:left="140" w:right="204" w:firstLine="0" w:firstLineChars="0"/>
        <w:jc w:val="center"/>
        <w:rPr>
          <w:rFonts w:ascii="方正大标宋简体" w:hAnsi="方正大标宋简体" w:eastAsia="方正大标宋简体" w:cs="方正大标宋简体"/>
          <w:color w:val="000000"/>
          <w:sz w:val="44"/>
          <w:szCs w:val="44"/>
        </w:rPr>
      </w:pPr>
      <w:r>
        <w:rPr>
          <w:rFonts w:hint="eastAsia" w:ascii="方正大标宋简体" w:hAnsi="方正大标宋简体" w:eastAsia="方正大标宋简体" w:cs="方正大标宋简体"/>
          <w:color w:val="000000"/>
          <w:sz w:val="44"/>
          <w:szCs w:val="44"/>
        </w:rPr>
        <w:t>通  知</w:t>
      </w:r>
    </w:p>
    <w:p>
      <w:pPr>
        <w:adjustRightInd w:val="0"/>
        <w:snapToGrid w:val="0"/>
        <w:ind w:left="140" w:right="204" w:firstLine="0" w:firstLineChars="0"/>
        <w:rPr>
          <w:rFonts w:ascii="仿宋_GB2312"/>
          <w:color w:val="000000"/>
        </w:rPr>
      </w:pPr>
    </w:p>
    <w:p>
      <w:pPr>
        <w:adjustRightInd w:val="0"/>
        <w:snapToGrid w:val="0"/>
        <w:ind w:left="140" w:right="204" w:firstLine="0" w:firstLineChars="0"/>
        <w:rPr>
          <w:rFonts w:ascii="仿宋_GB2312"/>
          <w:color w:val="000000"/>
        </w:rPr>
      </w:pPr>
      <w:r>
        <w:rPr>
          <w:rFonts w:hint="eastAsia" w:ascii="仿宋_GB2312"/>
          <w:color w:val="000000"/>
        </w:rPr>
        <w:t>各乡镇人民政府、街道办事处，县经济开发区管委会，县政府</w:t>
      </w:r>
    </w:p>
    <w:p>
      <w:pPr>
        <w:adjustRightInd w:val="0"/>
        <w:snapToGrid w:val="0"/>
        <w:ind w:left="140" w:right="204" w:firstLine="0" w:firstLineChars="0"/>
        <w:rPr>
          <w:rFonts w:ascii="仿宋_GB2312"/>
          <w:color w:val="000000"/>
        </w:rPr>
      </w:pPr>
      <w:r>
        <w:rPr>
          <w:rFonts w:hint="eastAsia" w:ascii="仿宋_GB2312"/>
          <w:color w:val="000000"/>
        </w:rPr>
        <w:t>各部门、直属机构：</w:t>
      </w:r>
    </w:p>
    <w:p>
      <w:pPr>
        <w:adjustRightInd w:val="0"/>
        <w:snapToGrid w:val="0"/>
        <w:ind w:left="140" w:right="204" w:firstLine="640"/>
        <w:rPr>
          <w:rFonts w:ascii="仿宋_GB2312"/>
          <w:color w:val="000000"/>
        </w:rPr>
      </w:pPr>
      <w:r>
        <w:rPr>
          <w:rFonts w:hint="eastAsia" w:ascii="仿宋_GB2312"/>
          <w:color w:val="000000"/>
        </w:rPr>
        <w:t>《冠县国民经济和社会发展第十四个五年规划和</w:t>
      </w:r>
      <w:r>
        <w:rPr>
          <w:rFonts w:hint="default" w:ascii="仿宋_GB2312"/>
          <w:color w:val="000000"/>
          <w:lang w:val="en"/>
        </w:rPr>
        <w:t>二〇三五年远景目标</w:t>
      </w:r>
      <w:r>
        <w:rPr>
          <w:rFonts w:hint="eastAsia" w:ascii="仿宋_GB2312"/>
          <w:color w:val="000000"/>
        </w:rPr>
        <w:t>纲要》已经县十七届人大五次会议审议通过，现印发给你们，请认真贯彻执行。</w:t>
      </w:r>
    </w:p>
    <w:p>
      <w:pPr>
        <w:adjustRightInd w:val="0"/>
        <w:snapToGrid w:val="0"/>
        <w:ind w:left="140" w:right="204" w:firstLine="0" w:firstLineChars="0"/>
        <w:rPr>
          <w:rFonts w:ascii="仿宋_GB2312"/>
          <w:color w:val="000000"/>
        </w:rPr>
      </w:pPr>
      <w:bookmarkStart w:id="115" w:name="_GoBack"/>
      <w:bookmarkEnd w:id="115"/>
    </w:p>
    <w:p>
      <w:pPr>
        <w:adjustRightInd w:val="0"/>
        <w:snapToGrid w:val="0"/>
        <w:ind w:left="140" w:right="204" w:firstLine="0" w:firstLineChars="0"/>
        <w:rPr>
          <w:rFonts w:ascii="仿宋_GB2312"/>
          <w:color w:val="000000"/>
        </w:rPr>
      </w:pPr>
      <w:r>
        <w:rPr>
          <w:rFonts w:hint="eastAsia" w:ascii="仿宋_GB2312"/>
          <w:color w:val="000000"/>
        </w:rPr>
        <w:t xml:space="preserve">                                冠县人民政府</w:t>
      </w:r>
    </w:p>
    <w:p>
      <w:pPr>
        <w:adjustRightInd w:val="0"/>
        <w:snapToGrid w:val="0"/>
        <w:ind w:left="140" w:right="204" w:firstLine="0" w:firstLineChars="0"/>
        <w:rPr>
          <w:rFonts w:ascii="仿宋_GB2312"/>
          <w:color w:val="000000"/>
        </w:rPr>
      </w:pPr>
      <w:r>
        <w:rPr>
          <w:rFonts w:hint="eastAsia" w:ascii="仿宋_GB2312"/>
          <w:color w:val="000000"/>
        </w:rPr>
        <w:t xml:space="preserve">                               2021年5月8日</w:t>
      </w:r>
    </w:p>
    <w:p>
      <w:pPr>
        <w:adjustRightInd w:val="0"/>
        <w:snapToGrid w:val="0"/>
        <w:ind w:left="140" w:right="204" w:firstLine="0" w:firstLineChars="0"/>
        <w:rPr>
          <w:rFonts w:ascii="仿宋_GB2312"/>
          <w:color w:val="000000"/>
        </w:rPr>
      </w:pPr>
      <w:r>
        <w:rPr>
          <w:rFonts w:hint="eastAsia" w:ascii="仿宋_GB2312"/>
          <w:color w:val="000000"/>
        </w:rPr>
        <w:t>（此件公开发布）</w:t>
      </w: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60" w:type="dxa"/>
            <w:tcBorders>
              <w:left w:val="nil"/>
              <w:right w:val="nil"/>
            </w:tcBorders>
            <w:vAlign w:val="center"/>
          </w:tcPr>
          <w:p>
            <w:pPr>
              <w:adjustRightInd w:val="0"/>
              <w:snapToGrid w:val="0"/>
              <w:spacing w:line="400" w:lineRule="exact"/>
              <w:ind w:firstLine="0" w:firstLineChars="0"/>
              <w:jc w:val="center"/>
              <w:rPr>
                <w:rFonts w:ascii="仿宋_GB2312"/>
                <w:color w:val="000000"/>
                <w:szCs w:val="32"/>
              </w:rPr>
            </w:pPr>
            <w:r>
              <w:rPr>
                <w:rFonts w:hint="eastAsia" w:ascii="仿宋_GB2312"/>
                <w:color w:val="000000"/>
                <w:szCs w:val="32"/>
              </w:rPr>
              <w:t>冠县人民政府办公室                  2021年5月8日印发</w:t>
            </w:r>
          </w:p>
        </w:tc>
      </w:tr>
    </w:tbl>
    <w:p>
      <w:pPr>
        <w:adjustRightInd w:val="0"/>
        <w:snapToGrid w:val="0"/>
        <w:spacing w:line="600" w:lineRule="exact"/>
        <w:ind w:firstLine="640"/>
        <w:jc w:val="right"/>
        <w:rPr>
          <w:rFonts w:ascii="仿宋_GB2312"/>
          <w:color w:val="000000"/>
        </w:rPr>
      </w:pPr>
      <w:r>
        <w:rPr>
          <w:rFonts w:hint="eastAsia" w:ascii="仿宋_GB2312"/>
          <w:color w:val="000000"/>
        </w:rPr>
        <w:t>（共印20 份）</w:t>
      </w:r>
    </w:p>
    <w:p>
      <w:pPr>
        <w:adjustRightInd w:val="0"/>
        <w:snapToGrid w:val="0"/>
        <w:spacing w:line="600" w:lineRule="exact"/>
        <w:ind w:firstLine="640"/>
        <w:rPr>
          <w:rFonts w:ascii="仿宋_GB2312"/>
          <w:color w:val="000000"/>
        </w:rPr>
      </w:pPr>
    </w:p>
    <w:p>
      <w:pPr>
        <w:adjustRightInd w:val="0"/>
        <w:snapToGrid w:val="0"/>
        <w:spacing w:line="600" w:lineRule="exact"/>
        <w:ind w:firstLine="640"/>
        <w:rPr>
          <w:rFonts w:ascii="仿宋_GB2312"/>
          <w:color w:val="000000"/>
        </w:rPr>
      </w:pPr>
      <w:r>
        <w:rPr>
          <w:rFonts w:hint="eastAsia" w:ascii="仿宋_GB2312"/>
          <w:color w:val="000000"/>
        </w:rPr>
        <w:t>“十四五”时期是我国全面建成小康社会、实现第一个百年奋斗目标之后，乘势而上开启全面建设社会主义现代化国家新征程、向第二个百年奋斗目标进军的第一个五年，是我县融入多重国家战略、新旧动能转换取得实质成效、乡村振兴稳步推进、实现跨越式发展的关键五年。依据党的十九届五中全会、山东省委十一届十二次全会、聊城市委十三届十一次全会精神和冠县县委《关于制定冠县</w:t>
      </w:r>
      <w:r>
        <w:rPr>
          <w:rFonts w:hint="eastAsia" w:ascii="仿宋_GB2312"/>
        </w:rPr>
        <w:t>国民经济和社会发展第十四个五年规划和二〇三五年远景目标的建议</w:t>
      </w:r>
      <w:r>
        <w:rPr>
          <w:rFonts w:hint="eastAsia" w:ascii="仿宋_GB2312"/>
          <w:color w:val="000000"/>
        </w:rPr>
        <w:t>》，制定冠县</w:t>
      </w:r>
      <w:r>
        <w:rPr>
          <w:rFonts w:hint="eastAsia" w:ascii="仿宋_GB2312"/>
        </w:rPr>
        <w:t>国民经济和社会发展第十四个五年规划纲要（</w:t>
      </w:r>
      <w:r>
        <w:rPr>
          <w:rFonts w:ascii="仿宋_GB2312"/>
        </w:rPr>
        <w:t>2021-2025</w:t>
      </w:r>
      <w:r>
        <w:rPr>
          <w:rFonts w:hint="eastAsia" w:ascii="仿宋_GB2312"/>
        </w:rPr>
        <w:t>年）（以下简称“十四五”规划），从我县实际出发，全面阐述了未来五年的发展战略、奋斗目标、重点任务和重要举措，描绘了奋力开启社会主义现代化建设新征程的宏伟蓝图，是全县人民共同的行动纲领。</w:t>
      </w:r>
    </w:p>
    <w:p>
      <w:pPr>
        <w:ind w:firstLine="640"/>
        <w:sectPr>
          <w:footerReference r:id="rId11" w:type="default"/>
          <w:pgSz w:w="11906" w:h="16838"/>
          <w:pgMar w:top="1701" w:right="1531" w:bottom="1701" w:left="1531" w:header="1134" w:footer="1134" w:gutter="0"/>
          <w:pgNumType w:start="1"/>
          <w:cols w:space="0" w:num="1"/>
          <w:docGrid w:type="lines" w:linePitch="437" w:charSpace="0"/>
        </w:sectPr>
      </w:pPr>
    </w:p>
    <w:p>
      <w:pPr>
        <w:widowControl w:val="0"/>
        <w:spacing w:line="600" w:lineRule="exact"/>
        <w:ind w:firstLine="0" w:firstLineChars="0"/>
        <w:rPr>
          <w:rFonts w:ascii="仿宋_GB2312" w:cs="仿宋_GB2312"/>
          <w:szCs w:val="32"/>
        </w:rPr>
      </w:pPr>
      <w:bookmarkStart w:id="2" w:name="_Toc60646155"/>
    </w:p>
    <w:p>
      <w:pPr>
        <w:widowControl w:val="0"/>
        <w:spacing w:line="600"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目 </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录</w:t>
      </w:r>
    </w:p>
    <w:p>
      <w:pPr>
        <w:widowControl w:val="0"/>
        <w:spacing w:line="600" w:lineRule="exact"/>
        <w:ind w:firstLine="640"/>
        <w:rPr>
          <w:rFonts w:ascii="仿宋_GB2312" w:cs="仿宋_GB2312"/>
          <w:szCs w:val="32"/>
        </w:rPr>
      </w:pP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第一篇 </w:t>
      </w:r>
      <w:r>
        <w:rPr>
          <w:rFonts w:ascii="黑体" w:hAnsi="黑体" w:eastAsia="黑体" w:cs="黑体"/>
          <w:szCs w:val="32"/>
        </w:rPr>
        <w:t xml:space="preserve"> </w:t>
      </w:r>
      <w:r>
        <w:rPr>
          <w:rFonts w:hint="eastAsia" w:ascii="黑体" w:hAnsi="黑体" w:eastAsia="黑体" w:cs="黑体"/>
          <w:szCs w:val="32"/>
        </w:rPr>
        <w:t>开启社会主义现代化建设新征程…………………</w:t>
      </w:r>
      <w:r>
        <w:rPr>
          <w:rFonts w:ascii="黑体" w:hAnsi="黑体" w:eastAsia="黑体" w:cs="黑体"/>
          <w:szCs w:val="32"/>
        </w:rPr>
        <w:t>1</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第一章 </w:t>
      </w:r>
      <w:r>
        <w:rPr>
          <w:rFonts w:ascii="仿宋_GB2312" w:hAnsi="仿宋_GB2312" w:cs="仿宋_GB2312"/>
          <w:szCs w:val="32"/>
        </w:rPr>
        <w:t xml:space="preserve"> </w:t>
      </w:r>
      <w:r>
        <w:rPr>
          <w:rFonts w:hint="eastAsia" w:ascii="仿宋_GB2312" w:hAnsi="仿宋_GB2312" w:cs="仿宋_GB2312"/>
          <w:szCs w:val="32"/>
        </w:rPr>
        <w:t>发展基础……………………………………………</w:t>
      </w:r>
      <w:r>
        <w:rPr>
          <w:rFonts w:ascii="仿宋_GB2312" w:hAnsi="仿宋_GB2312" w:cs="仿宋_GB2312"/>
          <w:szCs w:val="32"/>
        </w:rPr>
        <w:t>1</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第二章 </w:t>
      </w:r>
      <w:r>
        <w:rPr>
          <w:rFonts w:ascii="仿宋_GB2312" w:hAnsi="仿宋_GB2312" w:cs="仿宋_GB2312"/>
          <w:szCs w:val="32"/>
        </w:rPr>
        <w:t xml:space="preserve"> </w:t>
      </w:r>
      <w:r>
        <w:rPr>
          <w:rFonts w:hint="eastAsia" w:ascii="仿宋_GB2312" w:hAnsi="仿宋_GB2312" w:cs="仿宋_GB2312"/>
          <w:szCs w:val="32"/>
        </w:rPr>
        <w:t>发展环境……………………………………………</w:t>
      </w:r>
      <w:r>
        <w:rPr>
          <w:rFonts w:ascii="仿宋_GB2312" w:hAnsi="仿宋_GB2312" w:cs="仿宋_GB2312"/>
          <w:szCs w:val="32"/>
        </w:rPr>
        <w:t>7</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第三章 </w:t>
      </w:r>
      <w:r>
        <w:rPr>
          <w:rFonts w:ascii="仿宋_GB2312" w:hAnsi="仿宋_GB2312" w:cs="仿宋_GB2312"/>
          <w:szCs w:val="32"/>
        </w:rPr>
        <w:t xml:space="preserve"> </w:t>
      </w:r>
      <w:r>
        <w:rPr>
          <w:rFonts w:hint="eastAsia" w:ascii="仿宋_GB2312" w:hAnsi="仿宋_GB2312" w:cs="仿宋_GB2312"/>
          <w:szCs w:val="32"/>
        </w:rPr>
        <w:t>指导思想和基本原则……………………………</w:t>
      </w:r>
      <w:r>
        <w:rPr>
          <w:rFonts w:ascii="仿宋_GB2312" w:hAnsi="仿宋_GB2312" w:cs="仿宋_GB2312"/>
          <w:szCs w:val="32"/>
        </w:rPr>
        <w:t>10</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第四章 </w:t>
      </w:r>
      <w:r>
        <w:rPr>
          <w:rFonts w:ascii="仿宋_GB2312" w:hAnsi="仿宋_GB2312" w:cs="仿宋_GB2312"/>
          <w:szCs w:val="32"/>
        </w:rPr>
        <w:t xml:space="preserve"> </w:t>
      </w:r>
      <w:r>
        <w:rPr>
          <w:rFonts w:hint="eastAsia" w:ascii="仿宋_GB2312" w:hAnsi="仿宋_GB2312" w:cs="仿宋_GB2312"/>
          <w:szCs w:val="32"/>
        </w:rPr>
        <w:t>发展目标…………………………………………</w:t>
      </w:r>
      <w:r>
        <w:rPr>
          <w:rFonts w:ascii="仿宋_GB2312" w:hAnsi="仿宋_GB2312" w:cs="仿宋_GB2312"/>
          <w:szCs w:val="32"/>
        </w:rPr>
        <w:t>12</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第五章 </w:t>
      </w:r>
      <w:r>
        <w:rPr>
          <w:rFonts w:ascii="仿宋_GB2312" w:hAnsi="仿宋_GB2312" w:cs="仿宋_GB2312"/>
          <w:szCs w:val="32"/>
        </w:rPr>
        <w:t xml:space="preserve"> </w:t>
      </w:r>
      <w:r>
        <w:rPr>
          <w:rFonts w:hint="eastAsia" w:ascii="仿宋_GB2312" w:hAnsi="仿宋_GB2312" w:cs="仿宋_GB2312"/>
          <w:szCs w:val="32"/>
        </w:rPr>
        <w:t>发展定位…………………………………………</w:t>
      </w:r>
      <w:r>
        <w:rPr>
          <w:rFonts w:ascii="仿宋_GB2312" w:hAnsi="仿宋_GB2312" w:cs="仿宋_GB2312"/>
          <w:szCs w:val="32"/>
        </w:rPr>
        <w:t>14</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第二篇 </w:t>
      </w:r>
      <w:r>
        <w:rPr>
          <w:rFonts w:ascii="黑体" w:hAnsi="黑体" w:eastAsia="黑体" w:cs="黑体"/>
          <w:szCs w:val="32"/>
        </w:rPr>
        <w:t xml:space="preserve"> </w:t>
      </w:r>
      <w:r>
        <w:rPr>
          <w:rFonts w:hint="eastAsia" w:ascii="黑体" w:hAnsi="黑体" w:eastAsia="黑体" w:cs="黑体"/>
          <w:szCs w:val="32"/>
        </w:rPr>
        <w:t>激发创新驱动新活力……………………………</w:t>
      </w:r>
      <w:r>
        <w:rPr>
          <w:rFonts w:ascii="黑体" w:hAnsi="黑体" w:eastAsia="黑体" w:cs="黑体"/>
          <w:szCs w:val="32"/>
        </w:rPr>
        <w:t>1</w:t>
      </w:r>
      <w:r>
        <w:rPr>
          <w:rFonts w:hint="eastAsia" w:ascii="黑体" w:hAnsi="黑体" w:eastAsia="黑体" w:cs="黑体"/>
          <w:szCs w:val="32"/>
        </w:rPr>
        <w:t>7</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第六章 </w:t>
      </w:r>
      <w:r>
        <w:rPr>
          <w:rFonts w:ascii="仿宋_GB2312" w:hAnsi="仿宋_GB2312" w:cs="仿宋_GB2312"/>
          <w:szCs w:val="32"/>
        </w:rPr>
        <w:t xml:space="preserve"> </w:t>
      </w:r>
      <w:r>
        <w:rPr>
          <w:rFonts w:hint="eastAsia" w:ascii="仿宋_GB2312" w:hAnsi="仿宋_GB2312" w:cs="仿宋_GB2312"/>
          <w:szCs w:val="32"/>
        </w:rPr>
        <w:t>提升企业技术创新能力…………………………</w:t>
      </w:r>
      <w:r>
        <w:rPr>
          <w:rFonts w:ascii="仿宋_GB2312" w:hAnsi="仿宋_GB2312" w:cs="仿宋_GB2312"/>
          <w:szCs w:val="32"/>
        </w:rPr>
        <w:t>1</w:t>
      </w:r>
      <w:r>
        <w:rPr>
          <w:rFonts w:hint="eastAsia" w:ascii="仿宋_GB2312" w:hAnsi="仿宋_GB2312" w:cs="仿宋_GB2312"/>
          <w:szCs w:val="32"/>
        </w:rPr>
        <w:t>7</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第七章 </w:t>
      </w:r>
      <w:r>
        <w:rPr>
          <w:rFonts w:ascii="仿宋_GB2312" w:hAnsi="仿宋_GB2312" w:cs="仿宋_GB2312"/>
          <w:szCs w:val="32"/>
        </w:rPr>
        <w:t xml:space="preserve"> </w:t>
      </w:r>
      <w:r>
        <w:rPr>
          <w:rFonts w:hint="eastAsia" w:ascii="仿宋_GB2312" w:hAnsi="仿宋_GB2312" w:cs="仿宋_GB2312"/>
          <w:szCs w:val="32"/>
        </w:rPr>
        <w:t>加快创新平台载体建设…………………………19</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第八章 </w:t>
      </w:r>
      <w:r>
        <w:rPr>
          <w:rFonts w:ascii="仿宋_GB2312" w:hAnsi="仿宋_GB2312" w:cs="仿宋_GB2312"/>
          <w:szCs w:val="32"/>
        </w:rPr>
        <w:t xml:space="preserve"> </w:t>
      </w:r>
      <w:r>
        <w:rPr>
          <w:rFonts w:hint="eastAsia" w:ascii="仿宋_GB2312" w:hAnsi="仿宋_GB2312" w:cs="仿宋_GB2312"/>
          <w:szCs w:val="32"/>
        </w:rPr>
        <w:t>激发人才创新创造活力…………………………</w:t>
      </w:r>
      <w:r>
        <w:rPr>
          <w:rFonts w:ascii="仿宋_GB2312" w:hAnsi="仿宋_GB2312" w:cs="仿宋_GB2312"/>
          <w:szCs w:val="32"/>
        </w:rPr>
        <w:t>2</w:t>
      </w:r>
      <w:r>
        <w:rPr>
          <w:rFonts w:hint="eastAsia" w:ascii="仿宋_GB2312" w:hAnsi="仿宋_GB2312" w:cs="仿宋_GB2312"/>
          <w:szCs w:val="32"/>
        </w:rPr>
        <w:t>1</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第九章 </w:t>
      </w:r>
      <w:r>
        <w:rPr>
          <w:rFonts w:ascii="仿宋_GB2312" w:hAnsi="仿宋_GB2312" w:cs="仿宋_GB2312"/>
          <w:szCs w:val="32"/>
        </w:rPr>
        <w:t xml:space="preserve"> </w:t>
      </w:r>
      <w:r>
        <w:rPr>
          <w:rFonts w:hint="eastAsia" w:ascii="仿宋_GB2312" w:hAnsi="仿宋_GB2312" w:cs="仿宋_GB2312"/>
          <w:szCs w:val="32"/>
        </w:rPr>
        <w:t>完善科技创新体制机制…………………………</w:t>
      </w:r>
      <w:r>
        <w:rPr>
          <w:rFonts w:ascii="仿宋_GB2312" w:hAnsi="仿宋_GB2312" w:cs="仿宋_GB2312"/>
          <w:szCs w:val="32"/>
        </w:rPr>
        <w:t>2</w:t>
      </w:r>
      <w:r>
        <w:rPr>
          <w:rFonts w:hint="eastAsia" w:ascii="仿宋_GB2312" w:hAnsi="仿宋_GB2312" w:cs="仿宋_GB2312"/>
          <w:szCs w:val="32"/>
        </w:rPr>
        <w:t>2</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第三篇 </w:t>
      </w:r>
      <w:r>
        <w:rPr>
          <w:rFonts w:ascii="黑体" w:hAnsi="黑体" w:eastAsia="黑体" w:cs="黑体"/>
          <w:szCs w:val="32"/>
        </w:rPr>
        <w:t xml:space="preserve"> </w:t>
      </w:r>
      <w:r>
        <w:rPr>
          <w:rFonts w:hint="eastAsia" w:ascii="黑体" w:hAnsi="黑体" w:eastAsia="黑体" w:cs="黑体"/>
          <w:szCs w:val="32"/>
        </w:rPr>
        <w:t>构建现代产业新体系…………………………</w:t>
      </w:r>
      <w:r>
        <w:rPr>
          <w:rFonts w:ascii="黑体" w:hAnsi="黑体" w:eastAsia="黑体" w:cs="黑体"/>
          <w:szCs w:val="32"/>
        </w:rPr>
        <w:t>2</w:t>
      </w:r>
      <w:r>
        <w:rPr>
          <w:rFonts w:hint="eastAsia" w:ascii="黑体" w:hAnsi="黑体" w:eastAsia="黑体" w:cs="黑体"/>
          <w:szCs w:val="32"/>
        </w:rPr>
        <w:t>4</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第十章 </w:t>
      </w:r>
      <w:r>
        <w:rPr>
          <w:rFonts w:ascii="仿宋_GB2312" w:hAnsi="仿宋_GB2312" w:cs="仿宋_GB2312"/>
          <w:szCs w:val="32"/>
        </w:rPr>
        <w:t xml:space="preserve"> </w:t>
      </w:r>
      <w:r>
        <w:rPr>
          <w:rFonts w:hint="eastAsia" w:ascii="仿宋_GB2312" w:hAnsi="仿宋_GB2312" w:cs="仿宋_GB2312"/>
          <w:szCs w:val="32"/>
        </w:rPr>
        <w:t>发展先进制造业…………………………………</w:t>
      </w:r>
      <w:r>
        <w:rPr>
          <w:rFonts w:ascii="仿宋_GB2312" w:hAnsi="仿宋_GB2312" w:cs="仿宋_GB2312"/>
          <w:szCs w:val="32"/>
        </w:rPr>
        <w:t>2</w:t>
      </w:r>
      <w:r>
        <w:rPr>
          <w:rFonts w:hint="eastAsia" w:ascii="仿宋_GB2312" w:hAnsi="仿宋_GB2312" w:cs="仿宋_GB2312"/>
          <w:szCs w:val="32"/>
        </w:rPr>
        <w:t>4</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第十一章 </w:t>
      </w:r>
      <w:r>
        <w:rPr>
          <w:rFonts w:ascii="仿宋_GB2312" w:hAnsi="仿宋_GB2312" w:cs="仿宋_GB2312"/>
          <w:szCs w:val="32"/>
        </w:rPr>
        <w:t xml:space="preserve"> </w:t>
      </w:r>
      <w:r>
        <w:rPr>
          <w:rFonts w:hint="eastAsia" w:ascii="仿宋_GB2312" w:hAnsi="仿宋_GB2312" w:cs="仿宋_GB2312"/>
          <w:szCs w:val="32"/>
        </w:rPr>
        <w:t>发展现代服务业………………………………</w:t>
      </w:r>
      <w:r>
        <w:rPr>
          <w:rFonts w:ascii="仿宋_GB2312" w:hAnsi="仿宋_GB2312" w:cs="仿宋_GB2312"/>
          <w:szCs w:val="32"/>
        </w:rPr>
        <w:t>2</w:t>
      </w:r>
      <w:r>
        <w:rPr>
          <w:rFonts w:hint="eastAsia" w:ascii="仿宋_GB2312" w:hAnsi="仿宋_GB2312" w:cs="仿宋_GB2312"/>
          <w:szCs w:val="32"/>
        </w:rPr>
        <w:t>8</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第十二章 </w:t>
      </w:r>
      <w:r>
        <w:rPr>
          <w:rFonts w:ascii="仿宋_GB2312" w:hAnsi="仿宋_GB2312" w:cs="仿宋_GB2312"/>
          <w:szCs w:val="32"/>
        </w:rPr>
        <w:t xml:space="preserve"> </w:t>
      </w:r>
      <w:r>
        <w:rPr>
          <w:rFonts w:hint="eastAsia" w:ascii="仿宋_GB2312" w:hAnsi="仿宋_GB2312" w:cs="仿宋_GB2312"/>
          <w:szCs w:val="32"/>
        </w:rPr>
        <w:t>提升产业链现代化水平………………………</w:t>
      </w:r>
      <w:r>
        <w:rPr>
          <w:rFonts w:ascii="仿宋_GB2312" w:hAnsi="仿宋_GB2312" w:cs="仿宋_GB2312"/>
          <w:szCs w:val="32"/>
        </w:rPr>
        <w:t>3</w:t>
      </w:r>
      <w:r>
        <w:rPr>
          <w:rFonts w:hint="eastAsia" w:ascii="仿宋_GB2312" w:hAnsi="仿宋_GB2312" w:cs="仿宋_GB2312"/>
          <w:szCs w:val="32"/>
        </w:rPr>
        <w:t>3</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第十三章 </w:t>
      </w:r>
      <w:r>
        <w:rPr>
          <w:rFonts w:ascii="仿宋_GB2312" w:hAnsi="仿宋_GB2312" w:cs="仿宋_GB2312"/>
          <w:szCs w:val="32"/>
        </w:rPr>
        <w:t xml:space="preserve"> </w:t>
      </w:r>
      <w:r>
        <w:rPr>
          <w:rFonts w:hint="eastAsia" w:ascii="仿宋_GB2312" w:hAnsi="仿宋_GB2312" w:cs="仿宋_GB2312"/>
          <w:szCs w:val="32"/>
        </w:rPr>
        <w:t>强化园区发展支撑……………………………</w:t>
      </w:r>
      <w:r>
        <w:rPr>
          <w:rFonts w:ascii="仿宋_GB2312" w:hAnsi="仿宋_GB2312" w:cs="仿宋_GB2312"/>
          <w:szCs w:val="32"/>
        </w:rPr>
        <w:t>3</w:t>
      </w:r>
      <w:r>
        <w:rPr>
          <w:rFonts w:hint="eastAsia" w:ascii="仿宋_GB2312" w:hAnsi="仿宋_GB2312" w:cs="仿宋_GB2312"/>
          <w:szCs w:val="32"/>
        </w:rPr>
        <w:t>5</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第四篇 </w:t>
      </w:r>
      <w:r>
        <w:rPr>
          <w:rFonts w:ascii="黑体" w:hAnsi="黑体" w:eastAsia="黑体" w:cs="黑体"/>
          <w:szCs w:val="32"/>
        </w:rPr>
        <w:t xml:space="preserve"> </w:t>
      </w:r>
      <w:r>
        <w:rPr>
          <w:rFonts w:hint="eastAsia" w:ascii="黑体" w:hAnsi="黑体" w:eastAsia="黑体" w:cs="黑体"/>
          <w:szCs w:val="32"/>
        </w:rPr>
        <w:t>培育数字经济新引擎……………………………</w:t>
      </w:r>
      <w:r>
        <w:rPr>
          <w:rFonts w:ascii="黑体" w:hAnsi="黑体" w:eastAsia="黑体" w:cs="黑体"/>
          <w:szCs w:val="32"/>
        </w:rPr>
        <w:t>4</w:t>
      </w:r>
      <w:r>
        <w:rPr>
          <w:rFonts w:hint="eastAsia" w:ascii="黑体" w:hAnsi="黑体" w:eastAsia="黑体" w:cs="黑体"/>
          <w:szCs w:val="32"/>
        </w:rPr>
        <w:t>0</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第十四章 </w:t>
      </w:r>
      <w:r>
        <w:rPr>
          <w:rFonts w:ascii="仿宋_GB2312" w:hAnsi="仿宋_GB2312" w:cs="仿宋_GB2312"/>
          <w:szCs w:val="32"/>
        </w:rPr>
        <w:t xml:space="preserve"> </w:t>
      </w:r>
      <w:r>
        <w:rPr>
          <w:rFonts w:hint="eastAsia" w:ascii="仿宋_GB2312" w:hAnsi="仿宋_GB2312" w:cs="仿宋_GB2312"/>
          <w:szCs w:val="32"/>
        </w:rPr>
        <w:t>建设新型基础设施……………………………</w:t>
      </w:r>
      <w:r>
        <w:rPr>
          <w:rFonts w:ascii="仿宋_GB2312" w:hAnsi="仿宋_GB2312" w:cs="仿宋_GB2312"/>
          <w:szCs w:val="32"/>
        </w:rPr>
        <w:t>4</w:t>
      </w:r>
      <w:r>
        <w:rPr>
          <w:rFonts w:hint="eastAsia" w:ascii="仿宋_GB2312" w:hAnsi="仿宋_GB2312" w:cs="仿宋_GB2312"/>
          <w:szCs w:val="32"/>
        </w:rPr>
        <w:t>0</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第十五章 </w:t>
      </w:r>
      <w:r>
        <w:rPr>
          <w:rFonts w:ascii="仿宋_GB2312" w:hAnsi="仿宋_GB2312" w:cs="仿宋_GB2312"/>
          <w:szCs w:val="32"/>
        </w:rPr>
        <w:t xml:space="preserve"> </w:t>
      </w:r>
      <w:r>
        <w:rPr>
          <w:rFonts w:hint="eastAsia" w:ascii="仿宋_GB2312" w:hAnsi="仿宋_GB2312" w:cs="仿宋_GB2312"/>
          <w:szCs w:val="32"/>
        </w:rPr>
        <w:t>培育发展数字经济……………………………</w:t>
      </w:r>
      <w:r>
        <w:rPr>
          <w:rFonts w:ascii="仿宋_GB2312" w:hAnsi="仿宋_GB2312" w:cs="仿宋_GB2312"/>
          <w:szCs w:val="32"/>
        </w:rPr>
        <w:t>4</w:t>
      </w:r>
      <w:r>
        <w:rPr>
          <w:rFonts w:hint="eastAsia" w:ascii="仿宋_GB2312" w:hAnsi="仿宋_GB2312" w:cs="仿宋_GB2312"/>
          <w:szCs w:val="32"/>
        </w:rPr>
        <w:t>1</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第十六章 </w:t>
      </w:r>
      <w:r>
        <w:rPr>
          <w:rFonts w:ascii="仿宋_GB2312" w:hAnsi="仿宋_GB2312" w:cs="仿宋_GB2312"/>
          <w:szCs w:val="32"/>
        </w:rPr>
        <w:t xml:space="preserve"> </w:t>
      </w:r>
      <w:r>
        <w:rPr>
          <w:rFonts w:hint="eastAsia" w:ascii="仿宋_GB2312" w:hAnsi="仿宋_GB2312" w:cs="仿宋_GB2312"/>
          <w:szCs w:val="32"/>
        </w:rPr>
        <w:t>加快数字政府建设……………………………</w:t>
      </w:r>
      <w:r>
        <w:rPr>
          <w:rFonts w:ascii="仿宋_GB2312" w:hAnsi="仿宋_GB2312" w:cs="仿宋_GB2312"/>
          <w:szCs w:val="32"/>
        </w:rPr>
        <w:t>4</w:t>
      </w:r>
      <w:r>
        <w:rPr>
          <w:rFonts w:hint="eastAsia" w:ascii="仿宋_GB2312" w:hAnsi="仿宋_GB2312" w:cs="仿宋_GB2312"/>
          <w:szCs w:val="32"/>
        </w:rPr>
        <w:t>2</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第十七章 </w:t>
      </w:r>
      <w:r>
        <w:rPr>
          <w:rFonts w:ascii="仿宋_GB2312" w:hAnsi="仿宋_GB2312" w:cs="仿宋_GB2312"/>
          <w:szCs w:val="32"/>
        </w:rPr>
        <w:t xml:space="preserve"> </w:t>
      </w:r>
      <w:r>
        <w:rPr>
          <w:rFonts w:hint="eastAsia" w:ascii="仿宋_GB2312" w:hAnsi="仿宋_GB2312" w:cs="仿宋_GB2312"/>
          <w:szCs w:val="32"/>
        </w:rPr>
        <w:t>推进数字社会建设……………………………</w:t>
      </w:r>
      <w:r>
        <w:rPr>
          <w:rFonts w:ascii="仿宋_GB2312" w:hAnsi="仿宋_GB2312" w:cs="仿宋_GB2312"/>
          <w:szCs w:val="32"/>
        </w:rPr>
        <w:t>4</w:t>
      </w:r>
      <w:r>
        <w:rPr>
          <w:rFonts w:hint="eastAsia" w:ascii="仿宋_GB2312" w:hAnsi="仿宋_GB2312" w:cs="仿宋_GB2312"/>
          <w:szCs w:val="32"/>
        </w:rPr>
        <w:t>3</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第五篇 </w:t>
      </w:r>
      <w:r>
        <w:rPr>
          <w:rFonts w:ascii="黑体" w:hAnsi="黑体" w:eastAsia="黑体" w:cs="黑体"/>
          <w:szCs w:val="32"/>
        </w:rPr>
        <w:t xml:space="preserve"> </w:t>
      </w:r>
      <w:r>
        <w:rPr>
          <w:rFonts w:hint="eastAsia" w:ascii="黑体" w:hAnsi="黑体" w:eastAsia="黑体" w:cs="黑体"/>
          <w:szCs w:val="32"/>
        </w:rPr>
        <w:t>融入循环发展新格局……………………………</w:t>
      </w:r>
      <w:r>
        <w:rPr>
          <w:rFonts w:ascii="黑体" w:hAnsi="黑体" w:eastAsia="黑体" w:cs="黑体"/>
          <w:szCs w:val="32"/>
        </w:rPr>
        <w:t>4</w:t>
      </w:r>
      <w:r>
        <w:rPr>
          <w:rFonts w:hint="eastAsia" w:ascii="黑体" w:hAnsi="黑体" w:eastAsia="黑体" w:cs="黑体"/>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第十八章 </w:t>
      </w:r>
      <w:r>
        <w:rPr>
          <w:rFonts w:ascii="仿宋_GB2312" w:hAnsi="仿宋_GB2312" w:cs="仿宋_GB2312"/>
          <w:szCs w:val="32"/>
        </w:rPr>
        <w:t xml:space="preserve"> </w:t>
      </w:r>
      <w:r>
        <w:rPr>
          <w:rFonts w:hint="eastAsia" w:ascii="仿宋_GB2312" w:hAnsi="仿宋_GB2312" w:cs="仿宋_GB2312"/>
          <w:szCs w:val="32"/>
        </w:rPr>
        <w:t>主动融入新发展格局…………………………</w:t>
      </w:r>
      <w:r>
        <w:rPr>
          <w:rFonts w:ascii="仿宋_GB2312" w:hAnsi="仿宋_GB2312" w:cs="仿宋_GB2312"/>
          <w:szCs w:val="32"/>
        </w:rPr>
        <w:t>4</w:t>
      </w:r>
      <w:r>
        <w:rPr>
          <w:rFonts w:hint="eastAsia" w:ascii="仿宋_GB2312" w:hAnsi="仿宋_GB2312" w:cs="仿宋_GB2312"/>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第十九章 </w:t>
      </w:r>
      <w:r>
        <w:rPr>
          <w:rFonts w:ascii="仿宋_GB2312" w:hAnsi="仿宋_GB2312" w:cs="仿宋_GB2312"/>
          <w:szCs w:val="32"/>
        </w:rPr>
        <w:t xml:space="preserve"> </w:t>
      </w:r>
      <w:r>
        <w:rPr>
          <w:rFonts w:hint="eastAsia" w:ascii="仿宋_GB2312" w:hAnsi="仿宋_GB2312" w:cs="仿宋_GB2312"/>
          <w:szCs w:val="32"/>
        </w:rPr>
        <w:t>促进消费扩容提质……………………………</w:t>
      </w:r>
      <w:r>
        <w:rPr>
          <w:rFonts w:ascii="仿宋_GB2312" w:hAnsi="仿宋_GB2312" w:cs="仿宋_GB2312"/>
          <w:szCs w:val="32"/>
        </w:rPr>
        <w:t>4</w:t>
      </w:r>
      <w:r>
        <w:rPr>
          <w:rFonts w:hint="eastAsia" w:ascii="仿宋_GB2312" w:hAnsi="仿宋_GB2312" w:cs="仿宋_GB2312"/>
          <w:szCs w:val="32"/>
        </w:rPr>
        <w:t>6</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第二十章 </w:t>
      </w:r>
      <w:r>
        <w:rPr>
          <w:rFonts w:ascii="仿宋_GB2312" w:hAnsi="仿宋_GB2312" w:cs="仿宋_GB2312"/>
          <w:szCs w:val="32"/>
        </w:rPr>
        <w:t xml:space="preserve"> </w:t>
      </w:r>
      <w:r>
        <w:rPr>
          <w:rFonts w:hint="eastAsia" w:ascii="仿宋_GB2312" w:hAnsi="仿宋_GB2312" w:cs="仿宋_GB2312"/>
          <w:szCs w:val="32"/>
        </w:rPr>
        <w:t>扩大精准有效投资……………………………</w:t>
      </w:r>
      <w:r>
        <w:rPr>
          <w:rFonts w:ascii="仿宋_GB2312" w:hAnsi="仿宋_GB2312" w:cs="仿宋_GB2312"/>
          <w:szCs w:val="32"/>
        </w:rPr>
        <w:t>4</w:t>
      </w:r>
      <w:r>
        <w:rPr>
          <w:rFonts w:hint="eastAsia" w:ascii="仿宋_GB2312" w:hAnsi="仿宋_GB2312" w:cs="仿宋_GB2312"/>
          <w:szCs w:val="32"/>
        </w:rPr>
        <w:t>8</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第二十一章 </w:t>
      </w:r>
      <w:r>
        <w:rPr>
          <w:rFonts w:ascii="仿宋_GB2312" w:hAnsi="仿宋_GB2312" w:cs="仿宋_GB2312"/>
          <w:szCs w:val="32"/>
        </w:rPr>
        <w:t xml:space="preserve"> </w:t>
      </w:r>
      <w:r>
        <w:rPr>
          <w:rFonts w:hint="eastAsia" w:ascii="仿宋_GB2312" w:hAnsi="仿宋_GB2312" w:cs="仿宋_GB2312"/>
          <w:szCs w:val="32"/>
        </w:rPr>
        <w:t>加强基础设施建设…………………………</w:t>
      </w:r>
      <w:r>
        <w:rPr>
          <w:rFonts w:ascii="仿宋_GB2312" w:hAnsi="仿宋_GB2312" w:cs="仿宋_GB2312"/>
          <w:szCs w:val="32"/>
        </w:rPr>
        <w:t>5</w:t>
      </w:r>
      <w:r>
        <w:rPr>
          <w:rFonts w:hint="eastAsia" w:ascii="仿宋_GB2312" w:hAnsi="仿宋_GB2312" w:cs="仿宋_GB2312"/>
          <w:szCs w:val="32"/>
        </w:rPr>
        <w:t>0</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第六篇 </w:t>
      </w:r>
      <w:r>
        <w:rPr>
          <w:rFonts w:ascii="黑体" w:hAnsi="黑体" w:eastAsia="黑体" w:cs="黑体"/>
          <w:szCs w:val="32"/>
        </w:rPr>
        <w:t xml:space="preserve"> </w:t>
      </w:r>
      <w:r>
        <w:rPr>
          <w:rFonts w:hint="eastAsia" w:ascii="黑体" w:hAnsi="黑体" w:eastAsia="黑体" w:cs="黑体"/>
          <w:szCs w:val="32"/>
        </w:rPr>
        <w:t>打造乡村振兴新样板……………………………</w:t>
      </w:r>
      <w:r>
        <w:rPr>
          <w:rFonts w:ascii="黑体" w:hAnsi="黑体" w:eastAsia="黑体" w:cs="黑体"/>
          <w:szCs w:val="32"/>
        </w:rPr>
        <w:t>5</w:t>
      </w:r>
      <w:r>
        <w:rPr>
          <w:rFonts w:hint="eastAsia" w:ascii="黑体" w:hAnsi="黑体" w:eastAsia="黑体" w:cs="黑体"/>
          <w:szCs w:val="32"/>
        </w:rPr>
        <w:t>4</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第二十二章 </w:t>
      </w:r>
      <w:r>
        <w:rPr>
          <w:rFonts w:ascii="仿宋_GB2312" w:hAnsi="仿宋_GB2312" w:cs="仿宋_GB2312"/>
          <w:szCs w:val="32"/>
        </w:rPr>
        <w:t xml:space="preserve"> </w:t>
      </w:r>
      <w:r>
        <w:rPr>
          <w:rFonts w:hint="eastAsia" w:ascii="仿宋_GB2312" w:hAnsi="仿宋_GB2312" w:cs="仿宋_GB2312"/>
          <w:szCs w:val="32"/>
        </w:rPr>
        <w:t>推动农业高质量发展………………………</w:t>
      </w:r>
      <w:r>
        <w:rPr>
          <w:rFonts w:ascii="仿宋_GB2312" w:hAnsi="仿宋_GB2312" w:cs="仿宋_GB2312"/>
          <w:szCs w:val="32"/>
        </w:rPr>
        <w:t>5</w:t>
      </w:r>
      <w:r>
        <w:rPr>
          <w:rFonts w:hint="eastAsia" w:ascii="仿宋_GB2312" w:hAnsi="仿宋_GB2312" w:cs="仿宋_GB2312"/>
          <w:szCs w:val="32"/>
        </w:rPr>
        <w:t>4</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第二十三章 </w:t>
      </w:r>
      <w:r>
        <w:rPr>
          <w:rFonts w:ascii="仿宋_GB2312" w:hAnsi="仿宋_GB2312" w:cs="仿宋_GB2312"/>
          <w:szCs w:val="32"/>
        </w:rPr>
        <w:t xml:space="preserve"> </w:t>
      </w:r>
      <w:r>
        <w:rPr>
          <w:rFonts w:hint="eastAsia" w:ascii="仿宋_GB2312" w:hAnsi="仿宋_GB2312" w:cs="仿宋_GB2312"/>
          <w:szCs w:val="32"/>
        </w:rPr>
        <w:t>实施乡村建设行动…………………………58</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第二十四章 </w:t>
      </w:r>
      <w:r>
        <w:rPr>
          <w:rFonts w:ascii="仿宋_GB2312" w:hAnsi="仿宋_GB2312" w:cs="仿宋_GB2312"/>
          <w:szCs w:val="32"/>
        </w:rPr>
        <w:t xml:space="preserve"> </w:t>
      </w:r>
      <w:r>
        <w:rPr>
          <w:rFonts w:hint="eastAsia" w:ascii="仿宋_GB2312" w:hAnsi="仿宋_GB2312" w:cs="仿宋_GB2312"/>
          <w:szCs w:val="32"/>
        </w:rPr>
        <w:t>构建新型城乡关系…………………………</w:t>
      </w:r>
      <w:r>
        <w:rPr>
          <w:rFonts w:ascii="仿宋_GB2312" w:hAnsi="仿宋_GB2312" w:cs="仿宋_GB2312"/>
          <w:szCs w:val="32"/>
        </w:rPr>
        <w:t>6</w:t>
      </w:r>
      <w:r>
        <w:rPr>
          <w:rFonts w:hint="eastAsia" w:ascii="仿宋_GB2312" w:hAnsi="仿宋_GB2312" w:cs="仿宋_GB2312"/>
          <w:szCs w:val="32"/>
        </w:rPr>
        <w:t>0</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第二十五章 </w:t>
      </w:r>
      <w:r>
        <w:rPr>
          <w:rFonts w:ascii="仿宋_GB2312" w:hAnsi="仿宋_GB2312" w:cs="仿宋_GB2312"/>
          <w:szCs w:val="32"/>
        </w:rPr>
        <w:t xml:space="preserve"> </w:t>
      </w:r>
      <w:r>
        <w:rPr>
          <w:rFonts w:hint="eastAsia" w:ascii="仿宋_GB2312" w:hAnsi="仿宋_GB2312" w:cs="仿宋_GB2312"/>
          <w:szCs w:val="32"/>
        </w:rPr>
        <w:t>巩固脱贫攻坚成果…………………………</w:t>
      </w:r>
      <w:r>
        <w:rPr>
          <w:rFonts w:ascii="仿宋_GB2312" w:hAnsi="仿宋_GB2312" w:cs="仿宋_GB2312"/>
          <w:szCs w:val="32"/>
        </w:rPr>
        <w:t>6</w:t>
      </w:r>
      <w:r>
        <w:rPr>
          <w:rFonts w:hint="eastAsia" w:ascii="仿宋_GB2312" w:hAnsi="仿宋_GB2312" w:cs="仿宋_GB2312"/>
          <w:szCs w:val="32"/>
        </w:rPr>
        <w:t>3</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第七篇 </w:t>
      </w:r>
      <w:r>
        <w:rPr>
          <w:rFonts w:ascii="黑体" w:hAnsi="黑体" w:eastAsia="黑体" w:cs="黑体"/>
          <w:szCs w:val="32"/>
        </w:rPr>
        <w:t xml:space="preserve"> </w:t>
      </w:r>
      <w:r>
        <w:rPr>
          <w:rFonts w:hint="eastAsia" w:ascii="黑体" w:hAnsi="黑体" w:eastAsia="黑体" w:cs="黑体"/>
          <w:szCs w:val="32"/>
        </w:rPr>
        <w:t>实现城乡协调新发展………………………………</w:t>
      </w:r>
      <w:r>
        <w:rPr>
          <w:rFonts w:ascii="黑体" w:hAnsi="黑体" w:eastAsia="黑体" w:cs="黑体"/>
          <w:szCs w:val="32"/>
        </w:rPr>
        <w:t>6</w:t>
      </w:r>
      <w:r>
        <w:rPr>
          <w:rFonts w:hint="eastAsia" w:ascii="黑体" w:hAnsi="黑体" w:eastAsia="黑体" w:cs="黑体"/>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第二十六章 </w:t>
      </w:r>
      <w:r>
        <w:rPr>
          <w:rFonts w:ascii="仿宋_GB2312" w:hAnsi="仿宋_GB2312" w:cs="仿宋_GB2312"/>
          <w:szCs w:val="32"/>
        </w:rPr>
        <w:t xml:space="preserve"> </w:t>
      </w:r>
      <w:r>
        <w:rPr>
          <w:rFonts w:hint="eastAsia" w:ascii="仿宋_GB2312" w:hAnsi="仿宋_GB2312" w:cs="仿宋_GB2312"/>
          <w:szCs w:val="32"/>
        </w:rPr>
        <w:t>加快推进新型城镇化………………………</w:t>
      </w:r>
      <w:r>
        <w:rPr>
          <w:rFonts w:ascii="仿宋_GB2312" w:hAnsi="仿宋_GB2312" w:cs="仿宋_GB2312"/>
          <w:szCs w:val="32"/>
        </w:rPr>
        <w:t>6</w:t>
      </w:r>
      <w:r>
        <w:rPr>
          <w:rFonts w:hint="eastAsia" w:ascii="仿宋_GB2312" w:hAnsi="仿宋_GB2312" w:cs="仿宋_GB2312"/>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第二十七章 </w:t>
      </w:r>
      <w:r>
        <w:rPr>
          <w:rFonts w:ascii="仿宋_GB2312" w:hAnsi="仿宋_GB2312" w:cs="仿宋_GB2312"/>
          <w:szCs w:val="32"/>
        </w:rPr>
        <w:t xml:space="preserve"> </w:t>
      </w:r>
      <w:r>
        <w:rPr>
          <w:rFonts w:hint="eastAsia" w:ascii="仿宋_GB2312" w:hAnsi="仿宋_GB2312" w:cs="仿宋_GB2312"/>
          <w:szCs w:val="32"/>
        </w:rPr>
        <w:t>推动乡镇经济发展…………………………</w:t>
      </w:r>
      <w:r>
        <w:rPr>
          <w:rFonts w:ascii="仿宋_GB2312" w:hAnsi="仿宋_GB2312" w:cs="仿宋_GB2312"/>
          <w:szCs w:val="32"/>
        </w:rPr>
        <w:t>6</w:t>
      </w:r>
      <w:r>
        <w:rPr>
          <w:rFonts w:hint="eastAsia" w:ascii="仿宋_GB2312" w:hAnsi="仿宋_GB2312" w:cs="仿宋_GB2312"/>
          <w:szCs w:val="32"/>
        </w:rPr>
        <w:t>7</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第八篇 </w:t>
      </w:r>
      <w:r>
        <w:rPr>
          <w:rFonts w:ascii="黑体" w:hAnsi="黑体" w:eastAsia="黑体" w:cs="黑体"/>
          <w:szCs w:val="32"/>
        </w:rPr>
        <w:t xml:space="preserve"> </w:t>
      </w:r>
      <w:r>
        <w:rPr>
          <w:rFonts w:hint="eastAsia" w:ascii="黑体" w:hAnsi="黑体" w:eastAsia="黑体" w:cs="黑体"/>
          <w:szCs w:val="32"/>
        </w:rPr>
        <w:t>增强内生发展新动力……………………………69</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第二十八章 </w:t>
      </w:r>
      <w:r>
        <w:rPr>
          <w:rFonts w:ascii="仿宋_GB2312" w:hAnsi="仿宋_GB2312" w:cs="仿宋_GB2312"/>
          <w:szCs w:val="32"/>
        </w:rPr>
        <w:t xml:space="preserve"> </w:t>
      </w:r>
      <w:r>
        <w:rPr>
          <w:rFonts w:hint="eastAsia" w:ascii="仿宋_GB2312" w:hAnsi="仿宋_GB2312" w:cs="仿宋_GB2312"/>
          <w:szCs w:val="32"/>
        </w:rPr>
        <w:t>推进要素配置改革…………………………69</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第二十九章 </w:t>
      </w:r>
      <w:r>
        <w:rPr>
          <w:rFonts w:ascii="仿宋_GB2312" w:hAnsi="仿宋_GB2312" w:cs="仿宋_GB2312"/>
          <w:szCs w:val="32"/>
        </w:rPr>
        <w:t xml:space="preserve"> </w:t>
      </w:r>
      <w:r>
        <w:rPr>
          <w:rFonts w:hint="eastAsia" w:ascii="仿宋_GB2312" w:hAnsi="仿宋_GB2312" w:cs="仿宋_GB2312"/>
          <w:szCs w:val="32"/>
        </w:rPr>
        <w:t>激发市场主体活力…………………………</w:t>
      </w:r>
      <w:r>
        <w:rPr>
          <w:rFonts w:ascii="仿宋_GB2312" w:hAnsi="仿宋_GB2312" w:cs="仿宋_GB2312"/>
          <w:szCs w:val="32"/>
        </w:rPr>
        <w:t>7</w:t>
      </w:r>
      <w:r>
        <w:rPr>
          <w:rFonts w:hint="eastAsia" w:ascii="仿宋_GB2312" w:hAnsi="仿宋_GB2312" w:cs="仿宋_GB2312"/>
          <w:szCs w:val="32"/>
        </w:rPr>
        <w:t>0</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第三十章  </w:t>
      </w:r>
      <w:r>
        <w:rPr>
          <w:rFonts w:ascii="仿宋_GB2312" w:hAnsi="仿宋_GB2312" w:cs="仿宋_GB2312"/>
          <w:szCs w:val="32"/>
        </w:rPr>
        <w:t xml:space="preserve"> </w:t>
      </w:r>
      <w:r>
        <w:rPr>
          <w:rFonts w:hint="eastAsia" w:ascii="仿宋_GB2312" w:hAnsi="仿宋_GB2312" w:cs="仿宋_GB2312"/>
          <w:szCs w:val="32"/>
        </w:rPr>
        <w:t>深化财政金融改革………………………</w:t>
      </w:r>
      <w:r>
        <w:rPr>
          <w:rFonts w:ascii="仿宋_GB2312" w:hAnsi="仿宋_GB2312" w:cs="仿宋_GB2312"/>
          <w:szCs w:val="32"/>
        </w:rPr>
        <w:t>7</w:t>
      </w:r>
      <w:r>
        <w:rPr>
          <w:rFonts w:hint="eastAsia" w:ascii="仿宋_GB2312" w:hAnsi="仿宋_GB2312" w:cs="仿宋_GB2312"/>
          <w:szCs w:val="32"/>
        </w:rPr>
        <w:t>1</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第三十一章 </w:t>
      </w:r>
      <w:r>
        <w:rPr>
          <w:rFonts w:ascii="仿宋_GB2312" w:hAnsi="仿宋_GB2312" w:cs="仿宋_GB2312"/>
          <w:szCs w:val="32"/>
        </w:rPr>
        <w:t xml:space="preserve"> </w:t>
      </w:r>
      <w:r>
        <w:rPr>
          <w:rFonts w:hint="eastAsia" w:ascii="仿宋_GB2312" w:hAnsi="仿宋_GB2312" w:cs="仿宋_GB2312"/>
          <w:szCs w:val="32"/>
        </w:rPr>
        <w:t>打造一流营商环境…………………………</w:t>
      </w:r>
      <w:r>
        <w:rPr>
          <w:rFonts w:ascii="仿宋_GB2312" w:hAnsi="仿宋_GB2312" w:cs="仿宋_GB2312"/>
          <w:szCs w:val="32"/>
        </w:rPr>
        <w:t>7</w:t>
      </w:r>
      <w:r>
        <w:rPr>
          <w:rFonts w:hint="eastAsia" w:ascii="仿宋_GB2312" w:hAnsi="仿宋_GB2312" w:cs="仿宋_GB2312"/>
          <w:szCs w:val="32"/>
        </w:rPr>
        <w:t>2</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第三十二章 </w:t>
      </w:r>
      <w:r>
        <w:rPr>
          <w:rFonts w:ascii="仿宋_GB2312" w:hAnsi="仿宋_GB2312" w:cs="仿宋_GB2312"/>
          <w:szCs w:val="32"/>
        </w:rPr>
        <w:t xml:space="preserve"> </w:t>
      </w:r>
      <w:r>
        <w:rPr>
          <w:rFonts w:hint="eastAsia" w:ascii="仿宋_GB2312" w:hAnsi="仿宋_GB2312" w:cs="仿宋_GB2312"/>
          <w:szCs w:val="32"/>
        </w:rPr>
        <w:t>加快建设法治冠县…………………………</w:t>
      </w:r>
      <w:r>
        <w:rPr>
          <w:rFonts w:ascii="仿宋_GB2312" w:hAnsi="仿宋_GB2312" w:cs="仿宋_GB2312"/>
          <w:szCs w:val="32"/>
        </w:rPr>
        <w:t>7</w:t>
      </w:r>
      <w:r>
        <w:rPr>
          <w:rFonts w:hint="eastAsia" w:ascii="仿宋_GB2312" w:hAnsi="仿宋_GB2312" w:cs="仿宋_GB2312"/>
          <w:szCs w:val="32"/>
        </w:rPr>
        <w:t>3</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第九篇 </w:t>
      </w:r>
      <w:r>
        <w:rPr>
          <w:rFonts w:ascii="黑体" w:hAnsi="黑体" w:eastAsia="黑体" w:cs="黑体"/>
          <w:szCs w:val="32"/>
        </w:rPr>
        <w:t xml:space="preserve"> </w:t>
      </w:r>
      <w:r>
        <w:rPr>
          <w:rFonts w:hint="eastAsia" w:ascii="黑体" w:hAnsi="黑体" w:eastAsia="黑体" w:cs="黑体"/>
          <w:szCs w:val="32"/>
        </w:rPr>
        <w:t>开创文化建设新局面…………………………………</w:t>
      </w:r>
      <w:r>
        <w:rPr>
          <w:rFonts w:ascii="黑体" w:hAnsi="黑体" w:eastAsia="黑体" w:cs="黑体"/>
          <w:szCs w:val="32"/>
        </w:rPr>
        <w:t>7</w:t>
      </w:r>
      <w:r>
        <w:rPr>
          <w:rFonts w:hint="eastAsia" w:ascii="黑体" w:hAnsi="黑体" w:eastAsia="黑体" w:cs="黑体"/>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第三十三章 </w:t>
      </w:r>
      <w:r>
        <w:rPr>
          <w:rFonts w:ascii="仿宋_GB2312" w:hAnsi="仿宋_GB2312" w:cs="仿宋_GB2312"/>
          <w:szCs w:val="32"/>
        </w:rPr>
        <w:t xml:space="preserve"> </w:t>
      </w:r>
      <w:r>
        <w:rPr>
          <w:rFonts w:hint="eastAsia" w:ascii="仿宋_GB2312" w:hAnsi="仿宋_GB2312" w:cs="仿宋_GB2312"/>
          <w:szCs w:val="32"/>
        </w:rPr>
        <w:t>建设文明冠县………………………………</w:t>
      </w:r>
      <w:r>
        <w:rPr>
          <w:rFonts w:ascii="仿宋_GB2312" w:hAnsi="仿宋_GB2312" w:cs="仿宋_GB2312"/>
          <w:szCs w:val="32"/>
        </w:rPr>
        <w:t>7</w:t>
      </w:r>
      <w:r>
        <w:rPr>
          <w:rFonts w:hint="eastAsia" w:ascii="仿宋_GB2312" w:hAnsi="仿宋_GB2312" w:cs="仿宋_GB2312"/>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第三十四章 </w:t>
      </w:r>
      <w:r>
        <w:rPr>
          <w:rFonts w:ascii="仿宋_GB2312" w:hAnsi="仿宋_GB2312" w:cs="仿宋_GB2312"/>
          <w:szCs w:val="32"/>
        </w:rPr>
        <w:t xml:space="preserve"> </w:t>
      </w:r>
      <w:r>
        <w:rPr>
          <w:rFonts w:hint="eastAsia" w:ascii="仿宋_GB2312" w:hAnsi="仿宋_GB2312" w:cs="仿宋_GB2312"/>
          <w:szCs w:val="32"/>
        </w:rPr>
        <w:t>提高文化软实力……………………………</w:t>
      </w:r>
      <w:r>
        <w:rPr>
          <w:rFonts w:ascii="仿宋_GB2312" w:hAnsi="仿宋_GB2312" w:cs="仿宋_GB2312"/>
          <w:szCs w:val="32"/>
        </w:rPr>
        <w:t>7</w:t>
      </w:r>
      <w:r>
        <w:rPr>
          <w:rFonts w:hint="eastAsia" w:ascii="仿宋_GB2312" w:hAnsi="仿宋_GB2312" w:cs="仿宋_GB2312"/>
          <w:szCs w:val="32"/>
        </w:rPr>
        <w:t>6</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第十篇 </w:t>
      </w:r>
      <w:r>
        <w:rPr>
          <w:rFonts w:ascii="黑体" w:hAnsi="黑体" w:eastAsia="黑体" w:cs="黑体"/>
          <w:szCs w:val="32"/>
        </w:rPr>
        <w:t xml:space="preserve"> </w:t>
      </w:r>
      <w:r>
        <w:rPr>
          <w:rFonts w:hint="eastAsia" w:ascii="黑体" w:hAnsi="黑体" w:eastAsia="黑体" w:cs="黑体"/>
          <w:szCs w:val="32"/>
        </w:rPr>
        <w:t>谱写绿色发展新篇章…………………………78</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第三十五章 </w:t>
      </w:r>
      <w:r>
        <w:rPr>
          <w:rFonts w:ascii="仿宋_GB2312" w:hAnsi="仿宋_GB2312" w:cs="仿宋_GB2312"/>
          <w:szCs w:val="32"/>
        </w:rPr>
        <w:t xml:space="preserve"> </w:t>
      </w:r>
      <w:r>
        <w:rPr>
          <w:rFonts w:hint="eastAsia" w:ascii="仿宋_GB2312" w:hAnsi="仿宋_GB2312" w:cs="仿宋_GB2312"/>
          <w:szCs w:val="32"/>
        </w:rPr>
        <w:t>推动绿色低碳发展…………………………78</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第三十六章 </w:t>
      </w:r>
      <w:r>
        <w:rPr>
          <w:rFonts w:ascii="仿宋_GB2312" w:hAnsi="仿宋_GB2312" w:cs="仿宋_GB2312"/>
          <w:szCs w:val="32"/>
        </w:rPr>
        <w:t xml:space="preserve"> </w:t>
      </w:r>
      <w:r>
        <w:rPr>
          <w:rFonts w:hint="eastAsia" w:ascii="仿宋_GB2312" w:hAnsi="仿宋_GB2312" w:cs="仿宋_GB2312"/>
          <w:szCs w:val="32"/>
        </w:rPr>
        <w:t>开展污染防治攻坚…………………………</w:t>
      </w:r>
      <w:r>
        <w:rPr>
          <w:rFonts w:ascii="仿宋_GB2312" w:hAnsi="仿宋_GB2312" w:cs="仿宋_GB2312"/>
          <w:szCs w:val="32"/>
        </w:rPr>
        <w:t>8</w:t>
      </w:r>
      <w:r>
        <w:rPr>
          <w:rFonts w:hint="eastAsia" w:ascii="仿宋_GB2312" w:hAnsi="仿宋_GB2312" w:cs="仿宋_GB2312"/>
          <w:szCs w:val="32"/>
        </w:rPr>
        <w:t>0</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第三十七章 </w:t>
      </w:r>
      <w:r>
        <w:rPr>
          <w:rFonts w:ascii="仿宋_GB2312" w:hAnsi="仿宋_GB2312" w:cs="仿宋_GB2312"/>
          <w:szCs w:val="32"/>
        </w:rPr>
        <w:t xml:space="preserve"> </w:t>
      </w:r>
      <w:r>
        <w:rPr>
          <w:rFonts w:hint="eastAsia" w:ascii="仿宋_GB2312" w:hAnsi="仿宋_GB2312" w:cs="仿宋_GB2312"/>
          <w:szCs w:val="32"/>
        </w:rPr>
        <w:t>加强生态系统保护…………………………</w:t>
      </w:r>
      <w:r>
        <w:rPr>
          <w:rFonts w:ascii="仿宋_GB2312" w:hAnsi="仿宋_GB2312" w:cs="仿宋_GB2312"/>
          <w:szCs w:val="32"/>
        </w:rPr>
        <w:t>8</w:t>
      </w:r>
      <w:r>
        <w:rPr>
          <w:rFonts w:hint="eastAsia" w:ascii="仿宋_GB2312" w:hAnsi="仿宋_GB2312" w:cs="仿宋_GB2312"/>
          <w:szCs w:val="32"/>
        </w:rPr>
        <w:t>1</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第十一篇 </w:t>
      </w:r>
      <w:r>
        <w:rPr>
          <w:rFonts w:ascii="黑体" w:hAnsi="黑体" w:eastAsia="黑体" w:cs="黑体"/>
          <w:szCs w:val="32"/>
        </w:rPr>
        <w:t xml:space="preserve"> </w:t>
      </w:r>
      <w:r>
        <w:rPr>
          <w:rFonts w:hint="eastAsia" w:ascii="黑体" w:hAnsi="黑体" w:eastAsia="黑体" w:cs="黑体"/>
          <w:szCs w:val="32"/>
        </w:rPr>
        <w:t>建设对外开放新高地…………………………</w:t>
      </w:r>
      <w:r>
        <w:rPr>
          <w:rFonts w:ascii="黑体" w:hAnsi="黑体" w:eastAsia="黑体" w:cs="黑体"/>
          <w:szCs w:val="32"/>
        </w:rPr>
        <w:t>8</w:t>
      </w:r>
      <w:r>
        <w:rPr>
          <w:rFonts w:hint="eastAsia" w:ascii="黑体" w:hAnsi="黑体" w:eastAsia="黑体" w:cs="黑体"/>
          <w:szCs w:val="32"/>
        </w:rPr>
        <w:t>3</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第三十八章 </w:t>
      </w:r>
      <w:r>
        <w:rPr>
          <w:rFonts w:ascii="仿宋_GB2312" w:hAnsi="仿宋_GB2312" w:cs="仿宋_GB2312"/>
          <w:szCs w:val="32"/>
        </w:rPr>
        <w:t xml:space="preserve"> </w:t>
      </w:r>
      <w:r>
        <w:rPr>
          <w:rFonts w:hint="eastAsia" w:ascii="仿宋_GB2312" w:hAnsi="仿宋_GB2312" w:cs="仿宋_GB2312"/>
          <w:szCs w:val="32"/>
        </w:rPr>
        <w:t>全面深化区域合作…………………………</w:t>
      </w:r>
      <w:r>
        <w:rPr>
          <w:rFonts w:ascii="仿宋_GB2312" w:hAnsi="仿宋_GB2312" w:cs="仿宋_GB2312"/>
          <w:szCs w:val="32"/>
        </w:rPr>
        <w:t>8</w:t>
      </w:r>
      <w:r>
        <w:rPr>
          <w:rFonts w:hint="eastAsia" w:ascii="仿宋_GB2312" w:hAnsi="仿宋_GB2312" w:cs="仿宋_GB2312"/>
          <w:szCs w:val="32"/>
        </w:rPr>
        <w:t>3</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第三十九章 </w:t>
      </w:r>
      <w:r>
        <w:rPr>
          <w:rFonts w:ascii="仿宋_GB2312" w:hAnsi="仿宋_GB2312" w:cs="仿宋_GB2312"/>
          <w:szCs w:val="32"/>
        </w:rPr>
        <w:t xml:space="preserve"> </w:t>
      </w:r>
      <w:r>
        <w:rPr>
          <w:rFonts w:hint="eastAsia" w:ascii="仿宋_GB2312" w:hAnsi="仿宋_GB2312" w:cs="仿宋_GB2312"/>
          <w:szCs w:val="32"/>
        </w:rPr>
        <w:t>提升外资利用质效…………………………</w:t>
      </w:r>
      <w:r>
        <w:rPr>
          <w:rFonts w:ascii="仿宋_GB2312" w:hAnsi="仿宋_GB2312" w:cs="仿宋_GB2312"/>
          <w:szCs w:val="32"/>
        </w:rPr>
        <w:t>8</w:t>
      </w:r>
      <w:r>
        <w:rPr>
          <w:rFonts w:hint="eastAsia" w:ascii="仿宋_GB2312" w:hAnsi="仿宋_GB2312" w:cs="仿宋_GB2312"/>
          <w:szCs w:val="32"/>
        </w:rPr>
        <w:t>4</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第四十章   </w:t>
      </w:r>
      <w:r>
        <w:rPr>
          <w:rFonts w:ascii="仿宋_GB2312" w:hAnsi="仿宋_GB2312" w:cs="仿宋_GB2312"/>
          <w:szCs w:val="32"/>
        </w:rPr>
        <w:t xml:space="preserve"> </w:t>
      </w:r>
      <w:r>
        <w:rPr>
          <w:rFonts w:hint="eastAsia" w:ascii="仿宋_GB2312" w:hAnsi="仿宋_GB2312" w:cs="仿宋_GB2312"/>
          <w:szCs w:val="32"/>
        </w:rPr>
        <w:t>推动外贸高质量发展………………………</w:t>
      </w:r>
      <w:r>
        <w:rPr>
          <w:rFonts w:ascii="仿宋_GB2312" w:hAnsi="仿宋_GB2312" w:cs="仿宋_GB2312"/>
          <w:szCs w:val="32"/>
        </w:rPr>
        <w:t>8</w:t>
      </w:r>
      <w:r>
        <w:rPr>
          <w:rFonts w:hint="eastAsia" w:ascii="仿宋_GB2312" w:hAnsi="仿宋_GB2312" w:cs="仿宋_GB2312"/>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第四十一章 </w:t>
      </w:r>
      <w:r>
        <w:rPr>
          <w:rFonts w:ascii="仿宋_GB2312" w:hAnsi="仿宋_GB2312" w:cs="仿宋_GB2312"/>
          <w:szCs w:val="32"/>
        </w:rPr>
        <w:t xml:space="preserve"> </w:t>
      </w:r>
      <w:r>
        <w:rPr>
          <w:rFonts w:hint="eastAsia" w:ascii="仿宋_GB2312" w:hAnsi="仿宋_GB2312" w:cs="仿宋_GB2312"/>
          <w:szCs w:val="32"/>
        </w:rPr>
        <w:t>打造对外开放优质载体……………………</w:t>
      </w:r>
      <w:r>
        <w:rPr>
          <w:rFonts w:ascii="仿宋_GB2312" w:hAnsi="仿宋_GB2312" w:cs="仿宋_GB2312"/>
          <w:szCs w:val="32"/>
        </w:rPr>
        <w:t>8</w:t>
      </w:r>
      <w:r>
        <w:rPr>
          <w:rFonts w:hint="eastAsia" w:ascii="仿宋_GB2312" w:hAnsi="仿宋_GB2312" w:cs="仿宋_GB2312"/>
          <w:szCs w:val="32"/>
        </w:rPr>
        <w:t>7</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第十二篇 </w:t>
      </w:r>
      <w:r>
        <w:rPr>
          <w:rFonts w:ascii="黑体" w:hAnsi="黑体" w:eastAsia="黑体" w:cs="黑体"/>
          <w:szCs w:val="32"/>
        </w:rPr>
        <w:t xml:space="preserve"> </w:t>
      </w:r>
      <w:r>
        <w:rPr>
          <w:rFonts w:hint="eastAsia" w:ascii="黑体" w:hAnsi="黑体" w:eastAsia="黑体" w:cs="黑体"/>
          <w:szCs w:val="32"/>
        </w:rPr>
        <w:t>共筑幸福和谐新生活…………………………88</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第四十二章 </w:t>
      </w:r>
      <w:r>
        <w:rPr>
          <w:rFonts w:ascii="仿宋_GB2312" w:hAnsi="仿宋_GB2312" w:cs="仿宋_GB2312"/>
          <w:szCs w:val="32"/>
        </w:rPr>
        <w:t xml:space="preserve"> </w:t>
      </w:r>
      <w:r>
        <w:rPr>
          <w:rFonts w:hint="eastAsia" w:ascii="仿宋_GB2312" w:hAnsi="仿宋_GB2312" w:cs="仿宋_GB2312"/>
          <w:szCs w:val="32"/>
        </w:rPr>
        <w:t>提高居民收入水平…………………………88</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第四十三章 </w:t>
      </w:r>
      <w:r>
        <w:rPr>
          <w:rFonts w:ascii="仿宋_GB2312" w:hAnsi="仿宋_GB2312" w:cs="仿宋_GB2312"/>
          <w:szCs w:val="32"/>
        </w:rPr>
        <w:t xml:space="preserve"> </w:t>
      </w:r>
      <w:r>
        <w:rPr>
          <w:rFonts w:hint="eastAsia" w:ascii="仿宋_GB2312" w:hAnsi="仿宋_GB2312" w:cs="仿宋_GB2312"/>
          <w:szCs w:val="32"/>
        </w:rPr>
        <w:t>稳定和扩大就业……………………………89</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第四十四章 </w:t>
      </w:r>
      <w:r>
        <w:rPr>
          <w:rFonts w:ascii="仿宋_GB2312" w:hAnsi="仿宋_GB2312" w:cs="仿宋_GB2312"/>
          <w:szCs w:val="32"/>
        </w:rPr>
        <w:t xml:space="preserve"> </w:t>
      </w:r>
      <w:r>
        <w:rPr>
          <w:rFonts w:hint="eastAsia" w:ascii="仿宋_GB2312" w:hAnsi="仿宋_GB2312" w:cs="仿宋_GB2312"/>
          <w:szCs w:val="32"/>
        </w:rPr>
        <w:t>加快建设教育强县…………………………</w:t>
      </w:r>
      <w:r>
        <w:rPr>
          <w:rFonts w:ascii="仿宋_GB2312" w:hAnsi="仿宋_GB2312" w:cs="仿宋_GB2312"/>
          <w:szCs w:val="32"/>
        </w:rPr>
        <w:t>9</w:t>
      </w:r>
      <w:r>
        <w:rPr>
          <w:rFonts w:hint="eastAsia" w:ascii="仿宋_GB2312" w:hAnsi="仿宋_GB2312" w:cs="仿宋_GB2312"/>
          <w:szCs w:val="32"/>
        </w:rPr>
        <w:t>1</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第四十五章 </w:t>
      </w:r>
      <w:r>
        <w:rPr>
          <w:rFonts w:ascii="仿宋_GB2312" w:hAnsi="仿宋_GB2312" w:cs="仿宋_GB2312"/>
          <w:szCs w:val="32"/>
        </w:rPr>
        <w:t xml:space="preserve"> </w:t>
      </w:r>
      <w:r>
        <w:rPr>
          <w:rFonts w:hint="eastAsia" w:ascii="仿宋_GB2312" w:hAnsi="仿宋_GB2312" w:cs="仿宋_GB2312"/>
          <w:szCs w:val="32"/>
        </w:rPr>
        <w:t>健全社会保障体系…………………………</w:t>
      </w:r>
      <w:r>
        <w:rPr>
          <w:rFonts w:ascii="仿宋_GB2312" w:hAnsi="仿宋_GB2312" w:cs="仿宋_GB2312"/>
          <w:szCs w:val="32"/>
        </w:rPr>
        <w:t>9</w:t>
      </w:r>
      <w:r>
        <w:rPr>
          <w:rFonts w:hint="eastAsia" w:ascii="仿宋_GB2312" w:hAnsi="仿宋_GB2312" w:cs="仿宋_GB2312"/>
          <w:szCs w:val="32"/>
        </w:rPr>
        <w:t>3</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第四十六章 </w:t>
      </w:r>
      <w:r>
        <w:rPr>
          <w:rFonts w:ascii="仿宋_GB2312" w:hAnsi="仿宋_GB2312" w:cs="仿宋_GB2312"/>
          <w:szCs w:val="32"/>
        </w:rPr>
        <w:t xml:space="preserve"> </w:t>
      </w:r>
      <w:r>
        <w:rPr>
          <w:rFonts w:hint="eastAsia" w:ascii="仿宋_GB2312" w:hAnsi="仿宋_GB2312" w:cs="仿宋_GB2312"/>
          <w:szCs w:val="32"/>
        </w:rPr>
        <w:t>推进健康冠县建设…………………………</w:t>
      </w:r>
      <w:r>
        <w:rPr>
          <w:rFonts w:ascii="仿宋_GB2312" w:hAnsi="仿宋_GB2312" w:cs="仿宋_GB2312"/>
          <w:szCs w:val="32"/>
        </w:rPr>
        <w:t>9</w:t>
      </w:r>
      <w:r>
        <w:rPr>
          <w:rFonts w:hint="eastAsia" w:ascii="仿宋_GB2312" w:hAnsi="仿宋_GB2312" w:cs="仿宋_GB2312"/>
          <w:szCs w:val="32"/>
        </w:rPr>
        <w:t>6</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第四十七章 </w:t>
      </w:r>
      <w:r>
        <w:rPr>
          <w:rFonts w:ascii="仿宋_GB2312" w:hAnsi="仿宋_GB2312" w:cs="仿宋_GB2312"/>
          <w:szCs w:val="32"/>
        </w:rPr>
        <w:t xml:space="preserve"> </w:t>
      </w:r>
      <w:r>
        <w:rPr>
          <w:rFonts w:hint="eastAsia" w:ascii="仿宋_GB2312" w:hAnsi="仿宋_GB2312" w:cs="仿宋_GB2312"/>
          <w:szCs w:val="32"/>
        </w:rPr>
        <w:t>积极应对人口老龄化………………………98</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第十三篇 </w:t>
      </w:r>
      <w:r>
        <w:rPr>
          <w:rFonts w:ascii="黑体" w:hAnsi="黑体" w:eastAsia="黑体" w:cs="黑体"/>
          <w:szCs w:val="32"/>
        </w:rPr>
        <w:t xml:space="preserve"> </w:t>
      </w:r>
      <w:r>
        <w:rPr>
          <w:rFonts w:hint="eastAsia" w:ascii="黑体" w:hAnsi="黑体" w:eastAsia="黑体" w:cs="黑体"/>
          <w:szCs w:val="32"/>
        </w:rPr>
        <w:t>铸就安全发展新秩序…………………………</w:t>
      </w:r>
      <w:r>
        <w:rPr>
          <w:rFonts w:ascii="黑体" w:hAnsi="黑体" w:eastAsia="黑体" w:cs="黑体"/>
          <w:szCs w:val="32"/>
        </w:rPr>
        <w:t>10</w:t>
      </w:r>
      <w:r>
        <w:rPr>
          <w:rFonts w:hint="eastAsia" w:ascii="黑体" w:hAnsi="黑体" w:eastAsia="黑体" w:cs="黑体"/>
          <w:szCs w:val="32"/>
        </w:rPr>
        <w:t>0</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第四十八章 </w:t>
      </w:r>
      <w:r>
        <w:rPr>
          <w:rFonts w:ascii="仿宋_GB2312" w:hAnsi="仿宋_GB2312" w:cs="仿宋_GB2312"/>
          <w:szCs w:val="32"/>
        </w:rPr>
        <w:t xml:space="preserve"> </w:t>
      </w:r>
      <w:r>
        <w:rPr>
          <w:rFonts w:hint="eastAsia" w:ascii="仿宋_GB2312" w:hAnsi="仿宋_GB2312" w:cs="仿宋_GB2312"/>
          <w:szCs w:val="32"/>
        </w:rPr>
        <w:t>保障人民生命安全…………………………</w:t>
      </w:r>
      <w:r>
        <w:rPr>
          <w:rFonts w:ascii="仿宋_GB2312" w:hAnsi="仿宋_GB2312" w:cs="仿宋_GB2312"/>
          <w:szCs w:val="32"/>
        </w:rPr>
        <w:t>10</w:t>
      </w:r>
      <w:r>
        <w:rPr>
          <w:rFonts w:hint="eastAsia" w:ascii="仿宋_GB2312" w:hAnsi="仿宋_GB2312" w:cs="仿宋_GB2312"/>
          <w:szCs w:val="32"/>
        </w:rPr>
        <w:t>0</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第四十九章 </w:t>
      </w:r>
      <w:r>
        <w:rPr>
          <w:rFonts w:ascii="仿宋_GB2312" w:hAnsi="仿宋_GB2312" w:cs="仿宋_GB2312"/>
          <w:szCs w:val="32"/>
        </w:rPr>
        <w:t xml:space="preserve"> </w:t>
      </w:r>
      <w:r>
        <w:rPr>
          <w:rFonts w:hint="eastAsia" w:ascii="仿宋_GB2312" w:hAnsi="仿宋_GB2312" w:cs="仿宋_GB2312"/>
          <w:szCs w:val="32"/>
        </w:rPr>
        <w:t>维护经济发展安全…………………………</w:t>
      </w:r>
      <w:r>
        <w:rPr>
          <w:rFonts w:ascii="仿宋_GB2312" w:hAnsi="仿宋_GB2312" w:cs="仿宋_GB2312"/>
          <w:szCs w:val="32"/>
        </w:rPr>
        <w:t>10</w:t>
      </w:r>
      <w:r>
        <w:rPr>
          <w:rFonts w:hint="eastAsia" w:ascii="仿宋_GB2312" w:hAnsi="仿宋_GB2312" w:cs="仿宋_GB2312"/>
          <w:szCs w:val="32"/>
        </w:rPr>
        <w:t>1</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第五十章 </w:t>
      </w:r>
      <w:r>
        <w:rPr>
          <w:rFonts w:ascii="仿宋_GB2312" w:hAnsi="仿宋_GB2312" w:cs="仿宋_GB2312"/>
          <w:szCs w:val="32"/>
        </w:rPr>
        <w:t xml:space="preserve"> </w:t>
      </w:r>
      <w:r>
        <w:rPr>
          <w:rFonts w:hint="eastAsia" w:ascii="仿宋_GB2312" w:hAnsi="仿宋_GB2312" w:cs="仿宋_GB2312"/>
          <w:szCs w:val="32"/>
        </w:rPr>
        <w:t xml:space="preserve">  提升社会治理水平…………………………</w:t>
      </w:r>
      <w:r>
        <w:rPr>
          <w:rFonts w:ascii="仿宋_GB2312" w:hAnsi="仿宋_GB2312" w:cs="仿宋_GB2312"/>
          <w:szCs w:val="32"/>
        </w:rPr>
        <w:t>10</w:t>
      </w:r>
      <w:r>
        <w:rPr>
          <w:rFonts w:hint="eastAsia" w:ascii="仿宋_GB2312" w:hAnsi="仿宋_GB2312" w:cs="仿宋_GB2312"/>
          <w:szCs w:val="32"/>
        </w:rPr>
        <w:t>2</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第五十一章 </w:t>
      </w:r>
      <w:r>
        <w:rPr>
          <w:rFonts w:ascii="仿宋_GB2312" w:hAnsi="仿宋_GB2312" w:cs="仿宋_GB2312"/>
          <w:szCs w:val="32"/>
        </w:rPr>
        <w:t xml:space="preserve"> </w:t>
      </w:r>
      <w:r>
        <w:rPr>
          <w:rFonts w:hint="eastAsia" w:ascii="仿宋_GB2312" w:hAnsi="仿宋_GB2312" w:cs="仿宋_GB2312"/>
          <w:szCs w:val="32"/>
        </w:rPr>
        <w:t>维护社会安全稳定………………………</w:t>
      </w:r>
      <w:r>
        <w:rPr>
          <w:rFonts w:ascii="仿宋_GB2312" w:hAnsi="仿宋_GB2312" w:cs="仿宋_GB2312"/>
          <w:szCs w:val="32"/>
        </w:rPr>
        <w:t>10</w:t>
      </w:r>
      <w:r>
        <w:rPr>
          <w:rFonts w:hint="eastAsia" w:ascii="仿宋_GB2312" w:hAnsi="仿宋_GB2312" w:cs="仿宋_GB2312"/>
          <w:szCs w:val="32"/>
        </w:rPr>
        <w:t>3</w:t>
      </w:r>
    </w:p>
    <w:p>
      <w:pPr>
        <w:widowControl w:val="0"/>
        <w:spacing w:line="600" w:lineRule="exact"/>
        <w:ind w:firstLine="0" w:firstLineChars="0"/>
        <w:jc w:val="distribute"/>
        <w:rPr>
          <w:rFonts w:ascii="黑体" w:hAnsi="黑体" w:eastAsia="黑体" w:cs="黑体"/>
          <w:szCs w:val="32"/>
        </w:rPr>
      </w:pPr>
      <w:r>
        <w:rPr>
          <w:rFonts w:hint="eastAsia" w:ascii="黑体" w:hAnsi="黑体" w:eastAsia="黑体" w:cs="黑体"/>
          <w:szCs w:val="32"/>
        </w:rPr>
        <w:t xml:space="preserve">第十四篇 </w:t>
      </w:r>
      <w:r>
        <w:rPr>
          <w:rFonts w:ascii="黑体" w:hAnsi="黑体" w:eastAsia="黑体" w:cs="黑体"/>
          <w:szCs w:val="32"/>
        </w:rPr>
        <w:t xml:space="preserve"> </w:t>
      </w:r>
      <w:r>
        <w:rPr>
          <w:rFonts w:hint="eastAsia" w:ascii="黑体" w:hAnsi="黑体" w:eastAsia="黑体" w:cs="黑体"/>
          <w:szCs w:val="32"/>
        </w:rPr>
        <w:t>健全规划实施新机制…………………………</w:t>
      </w:r>
      <w:r>
        <w:rPr>
          <w:rFonts w:ascii="黑体" w:hAnsi="黑体" w:eastAsia="黑体" w:cs="黑体"/>
          <w:szCs w:val="32"/>
        </w:rPr>
        <w:t>10</w:t>
      </w:r>
      <w:r>
        <w:rPr>
          <w:rFonts w:hint="eastAsia" w:ascii="黑体" w:hAnsi="黑体" w:eastAsia="黑体" w:cs="黑体"/>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第五十二章 </w:t>
      </w:r>
      <w:r>
        <w:rPr>
          <w:rFonts w:ascii="仿宋_GB2312" w:hAnsi="仿宋_GB2312" w:cs="仿宋_GB2312"/>
          <w:szCs w:val="32"/>
        </w:rPr>
        <w:t xml:space="preserve"> </w:t>
      </w:r>
      <w:r>
        <w:rPr>
          <w:rFonts w:hint="eastAsia" w:ascii="仿宋_GB2312" w:hAnsi="仿宋_GB2312" w:cs="仿宋_GB2312"/>
          <w:szCs w:val="32"/>
        </w:rPr>
        <w:t>坚持党的全面领导…………………………</w:t>
      </w:r>
      <w:r>
        <w:rPr>
          <w:rFonts w:ascii="仿宋_GB2312" w:hAnsi="仿宋_GB2312" w:cs="仿宋_GB2312"/>
          <w:szCs w:val="32"/>
        </w:rPr>
        <w:t>10</w:t>
      </w:r>
      <w:r>
        <w:rPr>
          <w:rFonts w:hint="eastAsia" w:ascii="仿宋_GB2312" w:hAnsi="仿宋_GB2312" w:cs="仿宋_GB2312"/>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第五十三章 </w:t>
      </w:r>
      <w:r>
        <w:rPr>
          <w:rFonts w:ascii="仿宋_GB2312" w:hAnsi="仿宋_GB2312" w:cs="仿宋_GB2312"/>
          <w:szCs w:val="32"/>
        </w:rPr>
        <w:t xml:space="preserve"> </w:t>
      </w:r>
      <w:r>
        <w:rPr>
          <w:rFonts w:hint="eastAsia" w:ascii="仿宋_GB2312" w:hAnsi="仿宋_GB2312" w:cs="仿宋_GB2312"/>
          <w:szCs w:val="32"/>
        </w:rPr>
        <w:t>打造高素质干部队伍………………………</w:t>
      </w:r>
      <w:r>
        <w:rPr>
          <w:rFonts w:ascii="仿宋_GB2312" w:hAnsi="仿宋_GB2312" w:cs="仿宋_GB2312"/>
          <w:szCs w:val="32"/>
        </w:rPr>
        <w:t>10</w:t>
      </w:r>
      <w:r>
        <w:rPr>
          <w:rFonts w:hint="eastAsia" w:ascii="仿宋_GB2312" w:hAnsi="仿宋_GB2312" w:cs="仿宋_GB2312"/>
          <w:szCs w:val="32"/>
        </w:rPr>
        <w:t>5</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第五十四章 </w:t>
      </w:r>
      <w:r>
        <w:rPr>
          <w:rFonts w:ascii="仿宋_GB2312" w:hAnsi="仿宋_GB2312" w:cs="仿宋_GB2312"/>
          <w:szCs w:val="32"/>
        </w:rPr>
        <w:t xml:space="preserve"> </w:t>
      </w:r>
      <w:r>
        <w:rPr>
          <w:rFonts w:hint="eastAsia" w:ascii="仿宋_GB2312" w:hAnsi="仿宋_GB2312" w:cs="仿宋_GB2312"/>
          <w:szCs w:val="32"/>
        </w:rPr>
        <w:t>凝聚全社会干事创业合力…………………</w:t>
      </w:r>
      <w:r>
        <w:rPr>
          <w:rFonts w:ascii="仿宋_GB2312" w:hAnsi="仿宋_GB2312" w:cs="仿宋_GB2312"/>
          <w:szCs w:val="32"/>
        </w:rPr>
        <w:t>10</w:t>
      </w:r>
      <w:r>
        <w:rPr>
          <w:rFonts w:hint="eastAsia" w:ascii="仿宋_GB2312" w:hAnsi="仿宋_GB2312" w:cs="仿宋_GB2312"/>
          <w:szCs w:val="32"/>
        </w:rPr>
        <w:t>6</w:t>
      </w:r>
    </w:p>
    <w:p>
      <w:pPr>
        <w:widowControl w:val="0"/>
        <w:spacing w:line="600" w:lineRule="exact"/>
        <w:ind w:firstLine="640"/>
        <w:jc w:val="distribute"/>
        <w:rPr>
          <w:rFonts w:ascii="仿宋_GB2312" w:cs="仿宋_GB2312"/>
          <w:szCs w:val="32"/>
        </w:rPr>
      </w:pPr>
      <w:r>
        <w:rPr>
          <w:rFonts w:hint="eastAsia" w:ascii="仿宋_GB2312" w:hAnsi="仿宋_GB2312" w:cs="仿宋_GB2312"/>
          <w:szCs w:val="32"/>
        </w:rPr>
        <w:t xml:space="preserve">第五十五章 </w:t>
      </w:r>
      <w:r>
        <w:rPr>
          <w:rFonts w:ascii="仿宋_GB2312" w:hAnsi="仿宋_GB2312" w:cs="仿宋_GB2312"/>
          <w:szCs w:val="32"/>
        </w:rPr>
        <w:t xml:space="preserve"> </w:t>
      </w:r>
      <w:r>
        <w:rPr>
          <w:rFonts w:hint="eastAsia" w:ascii="仿宋_GB2312" w:hAnsi="仿宋_GB2312" w:cs="仿宋_GB2312"/>
          <w:szCs w:val="32"/>
        </w:rPr>
        <w:t>加强规划实施和管理………………………</w:t>
      </w:r>
      <w:r>
        <w:rPr>
          <w:rFonts w:ascii="仿宋_GB2312" w:hAnsi="仿宋_GB2312" w:cs="仿宋_GB2312"/>
          <w:szCs w:val="32"/>
        </w:rPr>
        <w:t>10</w:t>
      </w:r>
      <w:r>
        <w:rPr>
          <w:rFonts w:hint="eastAsia" w:ascii="仿宋_GB2312" w:hAnsi="仿宋_GB2312" w:cs="仿宋_GB2312"/>
          <w:szCs w:val="32"/>
        </w:rPr>
        <w:t>7</w:t>
      </w:r>
    </w:p>
    <w:p>
      <w:pPr>
        <w:widowControl w:val="0"/>
        <w:spacing w:line="600" w:lineRule="exact"/>
        <w:ind w:firstLine="640"/>
        <w:rPr>
          <w:rFonts w:ascii="仿宋_GB2312" w:cs="仿宋_GB2312"/>
          <w:szCs w:val="32"/>
        </w:rPr>
      </w:pPr>
    </w:p>
    <w:p>
      <w:pPr>
        <w:widowControl w:val="0"/>
        <w:spacing w:line="600" w:lineRule="exact"/>
        <w:ind w:firstLine="352"/>
        <w:rPr>
          <w:rFonts w:ascii="仿宋_GB2312" w:cs="仿宋_GB2312"/>
          <w:spacing w:val="-17"/>
          <w:sz w:val="21"/>
          <w:szCs w:val="21"/>
        </w:rPr>
      </w:pPr>
    </w:p>
    <w:p>
      <w:pPr>
        <w:pStyle w:val="2"/>
        <w:spacing w:before="218" w:after="218" w:line="600" w:lineRule="exact"/>
        <w:rPr>
          <w:rFonts w:ascii="方正小标宋简体" w:hAnsi="宋体" w:eastAsia="方正小标宋简体" w:cs="宋体"/>
          <w:sz w:val="36"/>
          <w:szCs w:val="36"/>
        </w:rPr>
        <w:sectPr>
          <w:footerReference r:id="rId12" w:type="default"/>
          <w:pgSz w:w="11906" w:h="16838"/>
          <w:pgMar w:top="1701" w:right="1531" w:bottom="1701" w:left="1531" w:header="1134" w:footer="1134" w:gutter="0"/>
          <w:pgNumType w:fmt="numberInDash" w:start="1"/>
          <w:cols w:space="0" w:num="1"/>
          <w:docGrid w:type="lines" w:linePitch="437" w:charSpace="0"/>
        </w:sectPr>
      </w:pPr>
    </w:p>
    <w:p>
      <w:pPr>
        <w:pStyle w:val="2"/>
        <w:spacing w:before="655" w:beforeLines="150" w:after="218" w:line="600" w:lineRule="exact"/>
        <w:rPr>
          <w:rFonts w:ascii="方正小标宋简体" w:eastAsia="方正小标宋简体"/>
          <w:sz w:val="36"/>
          <w:szCs w:val="36"/>
        </w:rPr>
      </w:pPr>
      <w:r>
        <w:rPr>
          <w:rFonts w:hint="eastAsia" w:ascii="方正小标宋简体" w:hAnsi="宋体" w:eastAsia="方正小标宋简体" w:cs="宋体"/>
          <w:sz w:val="36"/>
          <w:szCs w:val="36"/>
        </w:rPr>
        <w:t>第一篇</w:t>
      </w:r>
      <w:bookmarkEnd w:id="0"/>
      <w:bookmarkEnd w:id="1"/>
      <w:bookmarkEnd w:id="2"/>
      <w:bookmarkStart w:id="3" w:name="_Toc46474386"/>
      <w:bookmarkStart w:id="4" w:name="_Toc47894779"/>
      <w:r>
        <w:rPr>
          <w:rFonts w:hint="eastAsia" w:ascii="方正小标宋简体" w:hAnsi="宋体" w:eastAsia="方正小标宋简体" w:cs="宋体"/>
          <w:sz w:val="36"/>
          <w:szCs w:val="36"/>
        </w:rPr>
        <w:t xml:space="preserve">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开启社会主义现代化建设新征程</w:t>
      </w:r>
    </w:p>
    <w:p>
      <w:pPr>
        <w:pStyle w:val="3"/>
        <w:spacing w:before="437" w:beforeLines="100" w:after="437" w:afterLines="100" w:line="600" w:lineRule="exact"/>
        <w:rPr>
          <w:rFonts w:ascii="黑体" w:hAnsi="黑体" w:eastAsia="黑体"/>
          <w:b w:val="0"/>
        </w:rPr>
      </w:pPr>
      <w:bookmarkStart w:id="5" w:name="_Toc60646156"/>
      <w:r>
        <w:rPr>
          <w:rFonts w:hint="eastAsia" w:ascii="黑体" w:hAnsi="黑体" w:eastAsia="黑体"/>
          <w:b w:val="0"/>
        </w:rPr>
        <w:t>第一章</w:t>
      </w:r>
      <w:bookmarkEnd w:id="3"/>
      <w:bookmarkEnd w:id="4"/>
      <w:bookmarkEnd w:id="5"/>
      <w:r>
        <w:rPr>
          <w:rFonts w:hint="eastAsia" w:ascii="黑体" w:hAnsi="黑体" w:eastAsia="黑体"/>
          <w:b w:val="0"/>
        </w:rPr>
        <w:t xml:space="preserve"> </w:t>
      </w:r>
      <w:r>
        <w:rPr>
          <w:rFonts w:ascii="黑体" w:hAnsi="黑体" w:eastAsia="黑体"/>
          <w:b w:val="0"/>
        </w:rPr>
        <w:t xml:space="preserve"> </w:t>
      </w:r>
      <w:r>
        <w:rPr>
          <w:rFonts w:hint="eastAsia" w:ascii="黑体" w:hAnsi="黑体" w:eastAsia="黑体"/>
          <w:b w:val="0"/>
        </w:rPr>
        <w:t>发展基础</w:t>
      </w:r>
    </w:p>
    <w:p>
      <w:pPr>
        <w:spacing w:line="620" w:lineRule="exact"/>
        <w:ind w:firstLine="640"/>
      </w:pPr>
      <w:r>
        <w:rPr>
          <w:rFonts w:hint="eastAsia"/>
        </w:rPr>
        <w:t>“十三五”时期，全县以习近平新时代中国特色社会主义思想为指导，紧扣全面建成小康社会目标任务，坚持稳中求进工作总基调，坚持新发展理念，坚持以供给侧结构性改革为主线，坚持以改革开放为动力，贯彻巩固、增强、提升、畅通方针，统筹推进稳增长、促改革、调结构、惠民生、防风险、保稳定等各项工作，</w:t>
      </w:r>
      <w:r>
        <w:rPr>
          <w:rFonts w:hint="eastAsia" w:hAnsi="黑体" w:cs="黑体"/>
        </w:rPr>
        <w:t>着力实施“攻坚克难十大工程”，争先进位，全面赶超</w:t>
      </w:r>
      <w:r>
        <w:rPr>
          <w:rFonts w:hint="eastAsia"/>
        </w:rPr>
        <w:t>。</w:t>
      </w:r>
      <w:r>
        <w:rPr>
          <w:rFonts w:hint="eastAsia" w:hAnsi="黑体" w:cs="黑体"/>
        </w:rPr>
        <w:t>面对突如其来的新冠肺炎疫情，全县统筹推进疫情防控和经济社会发展，扎实做好“六稳”工作，全面落实“六保”任务，</w:t>
      </w:r>
      <w:r>
        <w:rPr>
          <w:rFonts w:hint="eastAsia"/>
        </w:rPr>
        <w:t>如期实现全面建成小康社会的奋斗总目标，为开启冠县“十四五”发展新征程奠定了坚实基础。</w:t>
      </w:r>
      <w:bookmarkStart w:id="6" w:name="_Toc60646157"/>
      <w:bookmarkStart w:id="7" w:name="_Toc46474387"/>
      <w:bookmarkStart w:id="8" w:name="_Toc47894780"/>
    </w:p>
    <w:p>
      <w:pPr>
        <w:spacing w:line="620" w:lineRule="exact"/>
        <w:ind w:firstLine="640"/>
        <w:rPr>
          <w:rFonts w:ascii="仿宋_GB2312" w:hAnsi="仿宋_GB2312" w:cs="仿宋_GB2312"/>
          <w:szCs w:val="32"/>
        </w:rPr>
      </w:pPr>
      <w:r>
        <w:rPr>
          <w:rFonts w:hint="eastAsia" w:ascii="楷体_GB2312" w:eastAsia="楷体_GB2312"/>
        </w:rPr>
        <w:t>综合实力</w:t>
      </w:r>
      <w:bookmarkEnd w:id="6"/>
      <w:r>
        <w:rPr>
          <w:rFonts w:hint="eastAsia" w:ascii="楷体_GB2312" w:eastAsia="楷体_GB2312"/>
        </w:rPr>
        <w:t>稳步提升。</w:t>
      </w:r>
      <w:r>
        <w:rPr>
          <w:rFonts w:hint="eastAsia" w:ascii="仿宋_GB2312" w:hAnsi="仿宋_GB2312"/>
        </w:rPr>
        <w:t>2020年，全县地区生产总值达到214.</w:t>
      </w:r>
      <w:r>
        <w:rPr>
          <w:rFonts w:ascii="仿宋_GB2312" w:hAnsi="仿宋_GB2312"/>
        </w:rPr>
        <w:t>51</w:t>
      </w:r>
      <w:r>
        <w:rPr>
          <w:rFonts w:hint="eastAsia" w:ascii="仿宋_GB2312" w:hAnsi="仿宋_GB2312"/>
        </w:rPr>
        <w:t>亿元，同比增长</w:t>
      </w:r>
      <w:r>
        <w:rPr>
          <w:rFonts w:ascii="仿宋_GB2312" w:hAnsi="仿宋_GB2312"/>
        </w:rPr>
        <w:t>4.3</w:t>
      </w:r>
      <w:r>
        <w:rPr>
          <w:rFonts w:hint="eastAsia" w:ascii="仿宋_GB2312" w:hAnsi="仿宋_GB2312"/>
        </w:rPr>
        <w:t>%，“十三五”期间总量在全市前进1个位次；规模以上工业增加值同比增长9%；固定资产投资同比增长1</w:t>
      </w:r>
      <w:r>
        <w:rPr>
          <w:rFonts w:ascii="仿宋_GB2312" w:hAnsi="仿宋_GB2312"/>
        </w:rPr>
        <w:t>0.8</w:t>
      </w:r>
      <w:r>
        <w:rPr>
          <w:rFonts w:hint="eastAsia" w:ascii="仿宋_GB2312" w:hAnsi="仿宋_GB2312"/>
        </w:rPr>
        <w:t>%</w:t>
      </w:r>
      <w:r>
        <w:rPr>
          <w:rFonts w:hint="eastAsia" w:ascii="仿宋_GB2312" w:hAnsi="仿宋_GB2312" w:cs="仿宋_GB2312"/>
          <w:szCs w:val="32"/>
        </w:rPr>
        <w:t>。</w:t>
      </w:r>
      <w:r>
        <w:rPr>
          <w:rFonts w:hint="eastAsia" w:ascii="仿宋_GB2312" w:hAnsi="仿宋_GB2312"/>
        </w:rPr>
        <w:t>一般公共预算收入达到11.8亿元，较2015年增加1.5亿元，年均增长2.7%；进出口总额达到172.9亿元，年均增长1.55%。</w:t>
      </w:r>
      <w:bookmarkStart w:id="9" w:name="_Toc60646158"/>
      <w:r>
        <w:rPr>
          <w:rFonts w:hint="eastAsia" w:ascii="仿宋_GB2312" w:hAnsi="仿宋_GB2312" w:cs="仿宋_GB2312"/>
          <w:szCs w:val="32"/>
        </w:rPr>
        <w:t>城镇、农村居民人均可支配收入分别达到</w:t>
      </w:r>
      <w:r>
        <w:rPr>
          <w:rFonts w:ascii="仿宋_GB2312" w:hAnsi="仿宋_GB2312" w:cs="仿宋_GB2312"/>
          <w:szCs w:val="32"/>
        </w:rPr>
        <w:t>29346</w:t>
      </w:r>
      <w:r>
        <w:rPr>
          <w:rFonts w:hint="eastAsia" w:ascii="仿宋_GB2312" w:hAnsi="仿宋_GB2312" w:cs="仿宋_GB2312"/>
          <w:szCs w:val="32"/>
        </w:rPr>
        <w:t>元、</w:t>
      </w:r>
      <w:r>
        <w:rPr>
          <w:rFonts w:ascii="仿宋_GB2312" w:hAnsi="仿宋_GB2312" w:cs="仿宋_GB2312"/>
          <w:szCs w:val="32"/>
        </w:rPr>
        <w:t>15451</w:t>
      </w:r>
      <w:r>
        <w:rPr>
          <w:rFonts w:hint="eastAsia" w:ascii="仿宋_GB2312" w:hAnsi="仿宋_GB2312" w:cs="仿宋_GB2312"/>
          <w:szCs w:val="32"/>
        </w:rPr>
        <w:t>元，</w:t>
      </w:r>
      <w:r>
        <w:rPr>
          <w:rFonts w:hint="eastAsia" w:ascii="仿宋_GB2312" w:hAnsi="仿宋_GB2312"/>
        </w:rPr>
        <w:t>较</w:t>
      </w:r>
      <w:r>
        <w:rPr>
          <w:rFonts w:ascii="仿宋_GB2312" w:hAnsi="仿宋_GB2312"/>
        </w:rPr>
        <w:t>2015</w:t>
      </w:r>
      <w:r>
        <w:rPr>
          <w:rFonts w:hint="eastAsia" w:ascii="仿宋_GB2312" w:hAnsi="仿宋_GB2312"/>
        </w:rPr>
        <w:t>年分别增加</w:t>
      </w:r>
      <w:r>
        <w:rPr>
          <w:rFonts w:ascii="仿宋_GB2312" w:hAnsi="仿宋_GB2312"/>
        </w:rPr>
        <w:t>8348</w:t>
      </w:r>
      <w:r>
        <w:rPr>
          <w:rFonts w:hint="eastAsia" w:ascii="仿宋_GB2312" w:hAnsi="仿宋_GB2312"/>
        </w:rPr>
        <w:t>元、</w:t>
      </w:r>
      <w:r>
        <w:rPr>
          <w:rFonts w:ascii="仿宋_GB2312" w:hAnsi="仿宋_GB2312"/>
        </w:rPr>
        <w:t>5019</w:t>
      </w:r>
      <w:r>
        <w:rPr>
          <w:rFonts w:hint="eastAsia" w:ascii="仿宋_GB2312" w:hAnsi="仿宋_GB2312"/>
        </w:rPr>
        <w:t>元。</w:t>
      </w:r>
    </w:p>
    <w:p>
      <w:pPr>
        <w:spacing w:line="600" w:lineRule="exact"/>
        <w:ind w:firstLine="640"/>
        <w:rPr>
          <w:rFonts w:ascii="仿宋_GB2312"/>
          <w:color w:val="C00000"/>
          <w:szCs w:val="32"/>
        </w:rPr>
      </w:pPr>
      <w:r>
        <w:rPr>
          <w:rFonts w:hint="eastAsia" w:ascii="楷体_GB2312" w:eastAsia="楷体_GB2312"/>
        </w:rPr>
        <w:t>动能转换</w:t>
      </w:r>
      <w:bookmarkEnd w:id="9"/>
      <w:r>
        <w:rPr>
          <w:rFonts w:hint="eastAsia" w:ascii="楷体_GB2312" w:eastAsia="楷体_GB2312"/>
        </w:rPr>
        <w:t>初见成效。</w:t>
      </w:r>
      <w:r>
        <w:rPr>
          <w:rFonts w:hint="eastAsia" w:ascii="仿宋_GB2312" w:hAnsi="仿宋_GB2312"/>
        </w:rPr>
        <w:t>制定出台了《冠县新旧动能转换重大工程实施规划（</w:t>
      </w:r>
      <w:r>
        <w:rPr>
          <w:rFonts w:ascii="仿宋_GB2312" w:hAnsi="仿宋_GB2312"/>
        </w:rPr>
        <w:t>2018-2022</w:t>
      </w:r>
      <w:r>
        <w:rPr>
          <w:rFonts w:hint="eastAsia" w:ascii="仿宋_GB2312" w:hAnsi="仿宋_GB2312"/>
        </w:rPr>
        <w:t>年）》《关于推进新旧动能转换重大工程的实施意见》《冠县关于实施产业链链长制的工作方案》《冠县制造业强县建设实施方案》等一系列政策文件，</w:t>
      </w:r>
      <w:r>
        <w:rPr>
          <w:rFonts w:hint="eastAsia" w:ascii="仿宋_GB2312"/>
          <w:szCs w:val="32"/>
        </w:rPr>
        <w:t>2</w:t>
      </w:r>
      <w:r>
        <w:rPr>
          <w:rFonts w:ascii="仿宋_GB2312"/>
          <w:szCs w:val="32"/>
        </w:rPr>
        <w:t>020</w:t>
      </w:r>
      <w:r>
        <w:rPr>
          <w:rFonts w:hint="eastAsia" w:ascii="仿宋_GB2312"/>
          <w:szCs w:val="32"/>
        </w:rPr>
        <w:t>年“四新”投资占全部投资比重提高</w:t>
      </w:r>
      <w:r>
        <w:rPr>
          <w:rFonts w:ascii="仿宋_GB2312"/>
          <w:szCs w:val="32"/>
        </w:rPr>
        <w:t>12</w:t>
      </w:r>
      <w:r>
        <w:rPr>
          <w:rFonts w:hint="eastAsia" w:ascii="仿宋_GB2312"/>
          <w:szCs w:val="32"/>
        </w:rPr>
        <w:t>个百分点，占全部投资比重达到4</w:t>
      </w:r>
      <w:r>
        <w:rPr>
          <w:rFonts w:ascii="仿宋_GB2312"/>
          <w:szCs w:val="32"/>
        </w:rPr>
        <w:t>7</w:t>
      </w:r>
      <w:r>
        <w:rPr>
          <w:rFonts w:hint="eastAsia" w:ascii="仿宋_GB2312"/>
          <w:szCs w:val="32"/>
        </w:rPr>
        <w:t>%，制造业技改投资同比增长</w:t>
      </w:r>
      <w:r>
        <w:rPr>
          <w:rFonts w:ascii="仿宋_GB2312"/>
          <w:szCs w:val="32"/>
        </w:rPr>
        <w:t>46.7%</w:t>
      </w:r>
      <w:r>
        <w:rPr>
          <w:rFonts w:hint="eastAsia" w:ascii="仿宋_GB2312" w:hAnsi="仿宋_GB2312"/>
        </w:rPr>
        <w:t>。</w:t>
      </w:r>
      <w:r>
        <w:rPr>
          <w:rFonts w:hint="eastAsia" w:ascii="仿宋_GB2312" w:hAnsi="仿宋_GB2312"/>
          <w:szCs w:val="32"/>
        </w:rPr>
        <w:t>三次产业结构实现由“二三一”向“三二一”的历史性转变。</w:t>
      </w:r>
      <w:r>
        <w:rPr>
          <w:rFonts w:hint="eastAsia" w:ascii="仿宋_GB2312" w:hAnsi="仿宋_GB2312" w:cs="仿宋_GB2312"/>
          <w:szCs w:val="32"/>
        </w:rPr>
        <w:t>精品钢板、纺织服装等产业集群化趋势日益显现，新材料等新兴产业稳步发展。</w:t>
      </w:r>
      <w:r>
        <w:rPr>
          <w:rFonts w:hint="eastAsia" w:ascii="仿宋_GB2312" w:hAnsi="仿宋_GB2312"/>
        </w:rPr>
        <w:t>新增省级创新平台8个、市级创新平台</w:t>
      </w:r>
      <w:r>
        <w:rPr>
          <w:rFonts w:ascii="仿宋_GB2312" w:hAnsi="仿宋_GB2312"/>
        </w:rPr>
        <w:t>15</w:t>
      </w:r>
      <w:r>
        <w:rPr>
          <w:rFonts w:hint="eastAsia" w:ascii="仿宋_GB2312" w:hAnsi="仿宋_GB2312"/>
        </w:rPr>
        <w:t>个，主导或参与制定国家标准</w:t>
      </w:r>
      <w:r>
        <w:rPr>
          <w:rFonts w:ascii="仿宋_GB2312" w:hAnsi="仿宋_GB2312"/>
        </w:rPr>
        <w:t>6</w:t>
      </w:r>
      <w:r>
        <w:rPr>
          <w:rFonts w:hint="eastAsia" w:ascii="仿宋_GB2312" w:hAnsi="仿宋_GB2312"/>
        </w:rPr>
        <w:t>项、行业标准</w:t>
      </w:r>
      <w:r>
        <w:rPr>
          <w:rFonts w:ascii="仿宋_GB2312" w:hAnsi="仿宋_GB2312"/>
        </w:rPr>
        <w:t>15</w:t>
      </w:r>
      <w:r>
        <w:rPr>
          <w:rFonts w:hint="eastAsia" w:ascii="仿宋_GB2312" w:hAnsi="仿宋_GB2312"/>
        </w:rPr>
        <w:t>项、地方标准</w:t>
      </w:r>
      <w:r>
        <w:rPr>
          <w:rFonts w:ascii="仿宋_GB2312" w:hAnsi="仿宋_GB2312"/>
        </w:rPr>
        <w:t>2</w:t>
      </w:r>
      <w:r>
        <w:rPr>
          <w:rFonts w:hint="eastAsia" w:ascii="仿宋_GB2312" w:hAnsi="仿宋_GB2312"/>
        </w:rPr>
        <w:t>项，新增高新技术企业</w:t>
      </w:r>
      <w:r>
        <w:rPr>
          <w:rFonts w:ascii="仿宋_GB2312" w:hAnsi="仿宋_GB2312"/>
        </w:rPr>
        <w:t>22</w:t>
      </w:r>
      <w:r>
        <w:rPr>
          <w:rFonts w:hint="eastAsia" w:ascii="仿宋_GB2312" w:hAnsi="仿宋_GB2312"/>
        </w:rPr>
        <w:t>家，高新技术产业产值占工业总产值比重达到</w:t>
      </w:r>
      <w:r>
        <w:rPr>
          <w:rFonts w:ascii="仿宋_GB2312" w:hAnsi="仿宋_GB2312"/>
        </w:rPr>
        <w:t>6.1%</w:t>
      </w:r>
      <w:r>
        <w:rPr>
          <w:rFonts w:hint="eastAsia" w:ascii="仿宋_GB2312" w:hAnsi="仿宋_GB2312"/>
        </w:rPr>
        <w:t>。</w:t>
      </w:r>
    </w:p>
    <w:p>
      <w:pPr>
        <w:spacing w:line="620" w:lineRule="exact"/>
        <w:ind w:firstLine="640"/>
        <w:rPr>
          <w:rFonts w:ascii="仿宋_GB2312"/>
        </w:rPr>
      </w:pPr>
      <w:r>
        <w:rPr>
          <w:rFonts w:hint="eastAsia" w:ascii="楷体_GB2312" w:eastAsia="楷体_GB2312"/>
        </w:rPr>
        <w:t>发展后劲显著增强。</w:t>
      </w:r>
      <w:r>
        <w:rPr>
          <w:rFonts w:hint="eastAsia" w:ascii="仿宋_GB2312" w:hAnsi="仿宋_GB2312"/>
        </w:rPr>
        <w:t>坚持“项目为王”理念，累计实施县级以上重点项目</w:t>
      </w:r>
      <w:r>
        <w:rPr>
          <w:rFonts w:ascii="仿宋_GB2312" w:hAnsi="仿宋_GB2312"/>
        </w:rPr>
        <w:t>343</w:t>
      </w:r>
      <w:r>
        <w:rPr>
          <w:rFonts w:hint="eastAsia" w:ascii="仿宋_GB2312" w:hAnsi="仿宋_GB2312"/>
        </w:rPr>
        <w:t>个、工业技改项目</w:t>
      </w:r>
      <w:r>
        <w:rPr>
          <w:rFonts w:ascii="仿宋_GB2312" w:hAnsi="仿宋_GB2312"/>
        </w:rPr>
        <w:t>180</w:t>
      </w:r>
      <w:r>
        <w:rPr>
          <w:rFonts w:hint="eastAsia" w:ascii="仿宋_GB2312" w:hAnsi="仿宋_GB2312"/>
        </w:rPr>
        <w:t>个，推动冠县新兴产业园、</w:t>
      </w:r>
      <w:r>
        <w:rPr>
          <w:rFonts w:hint="eastAsia" w:ascii="仿宋_GB2312"/>
          <w:szCs w:val="32"/>
        </w:rPr>
        <w:t>赫锐德智能科技、美页自动化科技</w:t>
      </w:r>
      <w:r>
        <w:rPr>
          <w:rFonts w:hint="eastAsia" w:ascii="仿宋_GB2312" w:hAnsi="仿宋_GB2312"/>
        </w:rPr>
        <w:t>等一批引领性、支柱性重大工程落地建设。争取</w:t>
      </w:r>
      <w:r>
        <w:rPr>
          <w:rFonts w:ascii="仿宋_GB2312" w:hAnsi="仿宋_GB2312"/>
        </w:rPr>
        <w:t>52</w:t>
      </w:r>
      <w:r>
        <w:rPr>
          <w:rFonts w:hint="eastAsia" w:ascii="仿宋_GB2312" w:hAnsi="仿宋_GB2312"/>
        </w:rPr>
        <w:t>个专项债券项目，获支持额度</w:t>
      </w:r>
      <w:r>
        <w:rPr>
          <w:rFonts w:ascii="仿宋_GB2312" w:hAnsi="仿宋_GB2312"/>
        </w:rPr>
        <w:t>33.69</w:t>
      </w:r>
      <w:r>
        <w:rPr>
          <w:rFonts w:hint="eastAsia" w:ascii="仿宋_GB2312" w:hAnsi="仿宋_GB2312"/>
        </w:rPr>
        <w:t>亿元。坚持交通先行，</w:t>
      </w:r>
      <w:r>
        <w:rPr>
          <w:rFonts w:ascii="仿宋_GB2312" w:hAnsi="仿宋_GB2312"/>
        </w:rPr>
        <w:t>G309</w:t>
      </w:r>
      <w:r>
        <w:rPr>
          <w:rFonts w:hint="eastAsia" w:ascii="仿宋_GB2312" w:hAnsi="仿宋_GB2312"/>
        </w:rPr>
        <w:t>冠县段、堠码路改扩建完成，新冠北路建成通车；邯济铁路冠县客运站开通工作取得实质性进展，聊邯长高铁等项目前期工作取得阶段性进展。优化能源结构，全县光伏发电装机总量达到</w:t>
      </w:r>
      <w:r>
        <w:rPr>
          <w:rFonts w:ascii="仿宋_GB2312" w:hAnsi="仿宋_GB2312"/>
        </w:rPr>
        <w:t>258</w:t>
      </w:r>
      <w:r>
        <w:rPr>
          <w:rFonts w:hint="eastAsia" w:ascii="仿宋_GB2312" w:hAnsi="仿宋_GB2312"/>
        </w:rPr>
        <w:t>万千瓦，位居全市第</w:t>
      </w:r>
      <w:r>
        <w:rPr>
          <w:rFonts w:ascii="仿宋_GB2312" w:hAnsi="仿宋_GB2312"/>
        </w:rPr>
        <w:t>1</w:t>
      </w:r>
      <w:r>
        <w:rPr>
          <w:rFonts w:hint="eastAsia" w:ascii="仿宋_GB2312" w:hAnsi="仿宋_GB2312"/>
        </w:rPr>
        <w:t>位，生物质发电装机总量达到</w:t>
      </w:r>
      <w:r>
        <w:rPr>
          <w:rFonts w:ascii="仿宋_GB2312" w:hAnsi="仿宋_GB2312"/>
        </w:rPr>
        <w:t>1.2</w:t>
      </w:r>
      <w:r>
        <w:rPr>
          <w:rFonts w:hint="eastAsia" w:ascii="仿宋_GB2312" w:hAnsi="仿宋_GB2312"/>
        </w:rPr>
        <w:t>万千瓦；天然气输气管道里程达到</w:t>
      </w:r>
      <w:r>
        <w:rPr>
          <w:rFonts w:ascii="仿宋_GB2312" w:hAnsi="仿宋_GB2312"/>
        </w:rPr>
        <w:t>1457</w:t>
      </w:r>
      <w:r>
        <w:rPr>
          <w:rFonts w:hint="eastAsia" w:ascii="仿宋_GB2312" w:hAnsi="仿宋_GB2312"/>
        </w:rPr>
        <w:t>公里，是</w:t>
      </w:r>
      <w:r>
        <w:rPr>
          <w:rFonts w:ascii="仿宋_GB2312" w:hAnsi="仿宋_GB2312"/>
        </w:rPr>
        <w:t>2015</w:t>
      </w:r>
      <w:r>
        <w:rPr>
          <w:rFonts w:hint="eastAsia" w:ascii="仿宋_GB2312" w:hAnsi="仿宋_GB2312"/>
        </w:rPr>
        <w:t>年的</w:t>
      </w:r>
      <w:r>
        <w:rPr>
          <w:rFonts w:ascii="仿宋_GB2312" w:hAnsi="仿宋_GB2312"/>
        </w:rPr>
        <w:t>4</w:t>
      </w:r>
      <w:r>
        <w:rPr>
          <w:rFonts w:hint="eastAsia" w:ascii="仿宋_GB2312" w:hAnsi="仿宋_GB2312"/>
        </w:rPr>
        <w:t>倍，在运</w:t>
      </w:r>
      <w:r>
        <w:rPr>
          <w:rFonts w:ascii="仿宋_GB2312" w:hAnsi="仿宋_GB2312"/>
        </w:rPr>
        <w:t>LNG</w:t>
      </w:r>
      <w:r>
        <w:rPr>
          <w:rFonts w:hint="eastAsia" w:ascii="仿宋_GB2312" w:hAnsi="仿宋_GB2312"/>
        </w:rPr>
        <w:t>储气站规模达到</w:t>
      </w:r>
      <w:r>
        <w:rPr>
          <w:rFonts w:ascii="仿宋_GB2312" w:hAnsi="仿宋_GB2312"/>
        </w:rPr>
        <w:t>2000</w:t>
      </w:r>
      <w:r>
        <w:rPr>
          <w:rFonts w:hint="eastAsia" w:ascii="仿宋_GB2312" w:hAnsi="仿宋_GB2312"/>
        </w:rPr>
        <w:t>水立方。补齐水利工程短板，南水北调配套工程冉海水库投入使用，建设引黄灌区农业节水和大中型灌区续建配套工程</w:t>
      </w:r>
      <w:r>
        <w:rPr>
          <w:rFonts w:ascii="仿宋_GB2312" w:hAnsi="仿宋_GB2312"/>
        </w:rPr>
        <w:t>5</w:t>
      </w:r>
      <w:r>
        <w:rPr>
          <w:rFonts w:hint="eastAsia" w:ascii="仿宋_GB2312" w:hAnsi="仿宋_GB2312"/>
        </w:rPr>
        <w:t>个，消除大中型水闸防洪隐患，基本完成流域</w:t>
      </w:r>
      <w:r>
        <w:rPr>
          <w:rFonts w:ascii="仿宋_GB2312" w:hAnsi="仿宋_GB2312"/>
        </w:rPr>
        <w:t>50</w:t>
      </w:r>
      <w:r>
        <w:rPr>
          <w:rFonts w:hint="eastAsia" w:ascii="仿宋_GB2312" w:hAnsi="仿宋_GB2312"/>
        </w:rPr>
        <w:t>平方公里以上河道重点河段防洪治理。加快布局新基建，完成</w:t>
      </w:r>
      <w:r>
        <w:rPr>
          <w:rFonts w:ascii="仿宋_GB2312" w:hAnsi="仿宋_GB2312"/>
        </w:rPr>
        <w:t>5G</w:t>
      </w:r>
      <w:r>
        <w:rPr>
          <w:rFonts w:hint="eastAsia" w:ascii="仿宋_GB2312" w:hAnsi="仿宋_GB2312"/>
        </w:rPr>
        <w:t>基站配套设施建设与改造</w:t>
      </w:r>
      <w:r>
        <w:rPr>
          <w:rFonts w:ascii="仿宋_GB2312" w:hAnsi="仿宋_GB2312"/>
        </w:rPr>
        <w:t>81</w:t>
      </w:r>
      <w:r>
        <w:rPr>
          <w:rFonts w:hint="eastAsia" w:ascii="仿宋_GB2312" w:hAnsi="仿宋_GB2312"/>
        </w:rPr>
        <w:t>处，建成小区分布系统</w:t>
      </w:r>
      <w:r>
        <w:rPr>
          <w:rFonts w:ascii="仿宋_GB2312" w:hAnsi="仿宋_GB2312"/>
        </w:rPr>
        <w:t>10</w:t>
      </w:r>
      <w:r>
        <w:rPr>
          <w:rFonts w:hint="eastAsia" w:ascii="仿宋_GB2312" w:hAnsi="仿宋_GB2312"/>
        </w:rPr>
        <w:t>处、汇聚机房</w:t>
      </w:r>
      <w:r>
        <w:rPr>
          <w:rFonts w:ascii="仿宋_GB2312" w:hAnsi="仿宋_GB2312"/>
        </w:rPr>
        <w:t>2</w:t>
      </w:r>
      <w:r>
        <w:rPr>
          <w:rFonts w:hint="eastAsia" w:ascii="仿宋_GB2312" w:hAnsi="仿宋_GB2312"/>
        </w:rPr>
        <w:t>处，实现主城区及开发区</w:t>
      </w:r>
      <w:r>
        <w:rPr>
          <w:rFonts w:ascii="仿宋_GB2312" w:hAnsi="仿宋_GB2312"/>
        </w:rPr>
        <w:t>5G</w:t>
      </w:r>
      <w:r>
        <w:rPr>
          <w:rFonts w:hint="eastAsia" w:ascii="仿宋_GB2312" w:hAnsi="仿宋_GB2312"/>
        </w:rPr>
        <w:t>信号基本覆盖。</w:t>
      </w:r>
    </w:p>
    <w:p>
      <w:pPr>
        <w:ind w:firstLine="640"/>
        <w:rPr>
          <w:rFonts w:ascii="仿宋_GB2312"/>
          <w:color w:val="FF0000"/>
          <w:szCs w:val="32"/>
          <w:highlight w:val="yellow"/>
        </w:rPr>
      </w:pPr>
      <w:r>
        <w:rPr>
          <w:rFonts w:hint="eastAsia" w:ascii="楷体_GB2312" w:eastAsia="楷体_GB2312"/>
        </w:rPr>
        <w:t>乡村振兴扎实推进。</w:t>
      </w:r>
      <w:r>
        <w:rPr>
          <w:rFonts w:hint="eastAsia" w:ascii="仿宋_GB2312" w:hAnsi="仿宋_GB2312"/>
        </w:rPr>
        <w:t>粮食年产量保持在</w:t>
      </w:r>
      <w:r>
        <w:rPr>
          <w:rFonts w:ascii="仿宋_GB2312" w:hAnsi="仿宋_GB2312"/>
        </w:rPr>
        <w:t>13</w:t>
      </w:r>
      <w:r>
        <w:rPr>
          <w:rFonts w:hint="eastAsia" w:ascii="仿宋_GB2312" w:hAnsi="仿宋_GB2312"/>
        </w:rPr>
        <w:t>亿斤以上，肉蛋奶年产量</w:t>
      </w:r>
      <w:r>
        <w:rPr>
          <w:rFonts w:ascii="仿宋_GB2312" w:hAnsi="仿宋_GB2312"/>
        </w:rPr>
        <w:t>39.42</w:t>
      </w:r>
      <w:r>
        <w:rPr>
          <w:rFonts w:hint="eastAsia" w:ascii="仿宋_GB2312" w:hAnsi="仿宋_GB2312"/>
        </w:rPr>
        <w:t>万吨，蔬菜年产量</w:t>
      </w:r>
      <w:r>
        <w:rPr>
          <w:rFonts w:ascii="仿宋_GB2312" w:hAnsi="仿宋_GB2312"/>
        </w:rPr>
        <w:t>4.79</w:t>
      </w:r>
      <w:r>
        <w:rPr>
          <w:rFonts w:hint="eastAsia" w:ascii="仿宋_GB2312" w:hAnsi="仿宋_GB2312"/>
        </w:rPr>
        <w:t>万吨</w:t>
      </w:r>
      <w:r>
        <w:rPr>
          <w:rFonts w:ascii="仿宋_GB2312" w:hAnsi="仿宋_GB2312"/>
        </w:rPr>
        <w:t>;</w:t>
      </w:r>
      <w:r>
        <w:rPr>
          <w:rFonts w:hint="eastAsia" w:ascii="仿宋_GB2312" w:hAnsi="仿宋_GB2312"/>
        </w:rPr>
        <w:t>创建市级现代农业产业园</w:t>
      </w:r>
      <w:r>
        <w:rPr>
          <w:rFonts w:ascii="仿宋_GB2312" w:hAnsi="仿宋_GB2312"/>
        </w:rPr>
        <w:t>3</w:t>
      </w:r>
      <w:r>
        <w:rPr>
          <w:rFonts w:hint="eastAsia" w:ascii="仿宋_GB2312" w:hAnsi="仿宋_GB2312"/>
        </w:rPr>
        <w:t>家，新增农民专业合作社</w:t>
      </w:r>
      <w:r>
        <w:rPr>
          <w:rFonts w:ascii="仿宋_GB2312" w:hAnsi="仿宋_GB2312"/>
        </w:rPr>
        <w:t>637</w:t>
      </w:r>
      <w:r>
        <w:rPr>
          <w:rFonts w:hint="eastAsia" w:ascii="仿宋_GB2312" w:hAnsi="仿宋_GB2312"/>
        </w:rPr>
        <w:t>个、家庭农场</w:t>
      </w:r>
      <w:r>
        <w:rPr>
          <w:rFonts w:ascii="仿宋_GB2312" w:hAnsi="仿宋_GB2312"/>
        </w:rPr>
        <w:t>91</w:t>
      </w:r>
      <w:r>
        <w:rPr>
          <w:rFonts w:hint="eastAsia" w:ascii="仿宋_GB2312" w:hAnsi="仿宋_GB2312"/>
        </w:rPr>
        <w:t>家，实施建设省级田园综合体、温氏集团“双百万”工程、汇源集团果品种植加工等一批重点农业项目。扎实开展“平清种增改”村庄清洁行动和农村“家家整洁、村村清洁”自主治理行动，全县</w:t>
      </w:r>
      <w:r>
        <w:rPr>
          <w:rFonts w:ascii="仿宋_GB2312" w:hAnsi="仿宋_GB2312"/>
        </w:rPr>
        <w:t>757</w:t>
      </w:r>
      <w:r>
        <w:rPr>
          <w:rFonts w:hint="eastAsia" w:ascii="仿宋_GB2312" w:hAnsi="仿宋_GB2312"/>
        </w:rPr>
        <w:t>个村庄达到清洁村庄标准。完成危房改造2</w:t>
      </w:r>
      <w:r>
        <w:rPr>
          <w:rFonts w:ascii="仿宋_GB2312" w:hAnsi="仿宋_GB2312"/>
        </w:rPr>
        <w:t>267</w:t>
      </w:r>
      <w:r>
        <w:rPr>
          <w:rFonts w:hint="eastAsia" w:ascii="仿宋_GB2312" w:hAnsi="仿宋_GB2312"/>
        </w:rPr>
        <w:t>户，确保贫困户住房安全有保障。农村卫生厕所普及率达到</w:t>
      </w:r>
      <w:r>
        <w:rPr>
          <w:rFonts w:ascii="仿宋_GB2312" w:hAnsi="仿宋_GB2312"/>
        </w:rPr>
        <w:t>95%</w:t>
      </w:r>
      <w:r>
        <w:rPr>
          <w:rFonts w:hint="eastAsia" w:ascii="仿宋_GB2312" w:hAnsi="仿宋_GB2312"/>
        </w:rPr>
        <w:t>以上，</w:t>
      </w:r>
      <w:r>
        <w:rPr>
          <w:rFonts w:hint="eastAsia" w:ascii="仿宋_GB2312" w:hAnsi="仿宋_GB2312"/>
          <w:szCs w:val="32"/>
        </w:rPr>
        <w:t>建设农村公共厕所</w:t>
      </w:r>
      <w:r>
        <w:rPr>
          <w:rFonts w:ascii="仿宋_GB2312" w:hAnsi="仿宋_GB2312"/>
          <w:szCs w:val="32"/>
        </w:rPr>
        <w:t>224</w:t>
      </w:r>
      <w:r>
        <w:rPr>
          <w:rFonts w:hint="eastAsia" w:ascii="仿宋_GB2312" w:hAnsi="仿宋_GB2312"/>
          <w:szCs w:val="32"/>
        </w:rPr>
        <w:t>个，</w:t>
      </w:r>
      <w:r>
        <w:rPr>
          <w:rFonts w:ascii="仿宋_GB2312" w:hAnsi="仿宋_GB2312"/>
          <w:szCs w:val="32"/>
        </w:rPr>
        <w:t>300</w:t>
      </w:r>
      <w:r>
        <w:rPr>
          <w:rFonts w:hint="eastAsia" w:ascii="仿宋_GB2312" w:hAnsi="仿宋_GB2312"/>
          <w:szCs w:val="32"/>
        </w:rPr>
        <w:t>户以上自然村基本实现全覆盖。</w:t>
      </w:r>
      <w:r>
        <w:rPr>
          <w:rFonts w:hint="eastAsia" w:ascii="仿宋_GB2312" w:hAnsi="仿宋_GB2312"/>
        </w:rPr>
        <w:t>建设污水处理厂（站）</w:t>
      </w:r>
      <w:r>
        <w:rPr>
          <w:rFonts w:ascii="仿宋_GB2312" w:hAnsi="仿宋_GB2312"/>
        </w:rPr>
        <w:t>10</w:t>
      </w:r>
      <w:r>
        <w:rPr>
          <w:rFonts w:hint="eastAsia" w:ascii="仿宋_GB2312" w:hAnsi="仿宋_GB2312"/>
        </w:rPr>
        <w:t>处，实现污水处理一镇一厂，完成生活污水治理的村庄达到</w:t>
      </w:r>
      <w:r>
        <w:rPr>
          <w:rFonts w:ascii="仿宋_GB2312" w:hAnsi="仿宋_GB2312"/>
        </w:rPr>
        <w:t>340</w:t>
      </w:r>
      <w:r>
        <w:rPr>
          <w:rFonts w:hint="eastAsia" w:ascii="仿宋_GB2312" w:hAnsi="仿宋_GB2312"/>
        </w:rPr>
        <w:t>个。城乡环卫一体化深入推进，生活垃圾无害化处理实现全覆盖，被评为全国首批百个农村生活垃圾分类和资源化利用示范县。范寨镇入选山东省首批乡村振兴示范乡镇，</w:t>
      </w:r>
      <w:r>
        <w:rPr>
          <w:rFonts w:hint="eastAsia" w:ascii="仿宋_GB2312" w:hAnsi="仿宋_GB2312"/>
          <w:szCs w:val="32"/>
        </w:rPr>
        <w:t>魏庄村被评为“全国改善农村人居环境示范村”，韩路村等</w:t>
      </w:r>
      <w:r>
        <w:rPr>
          <w:rFonts w:ascii="仿宋_GB2312" w:hAnsi="仿宋_GB2312"/>
          <w:szCs w:val="32"/>
        </w:rPr>
        <w:t>7</w:t>
      </w:r>
      <w:r>
        <w:rPr>
          <w:rFonts w:hint="eastAsia" w:ascii="仿宋_GB2312" w:hAnsi="仿宋_GB2312"/>
          <w:szCs w:val="32"/>
        </w:rPr>
        <w:t>个村庄被评为“省级美丽宜居村庄”，孔里庄村列为“美丽村居建设省级试点村庄”。</w:t>
      </w:r>
      <w:r>
        <w:rPr>
          <w:rFonts w:hint="eastAsia" w:ascii="仿宋_GB2312" w:hAnsi="仿宋_GB2312"/>
        </w:rPr>
        <w:t>全县森林覆盖率达到</w:t>
      </w:r>
      <w:r>
        <w:rPr>
          <w:rFonts w:ascii="仿宋_GB2312" w:hAnsi="仿宋_GB2312"/>
        </w:rPr>
        <w:t>22.9%</w:t>
      </w:r>
      <w:r>
        <w:rPr>
          <w:rFonts w:hint="eastAsia" w:ascii="仿宋_GB2312" w:hAnsi="仿宋_GB2312"/>
        </w:rPr>
        <w:t>，位居全市第</w:t>
      </w:r>
      <w:r>
        <w:rPr>
          <w:rFonts w:ascii="仿宋_GB2312" w:hAnsi="仿宋_GB2312"/>
        </w:rPr>
        <w:t>1</w:t>
      </w:r>
      <w:r>
        <w:rPr>
          <w:rFonts w:hint="eastAsia" w:ascii="仿宋_GB2312" w:hAnsi="仿宋_GB2312"/>
        </w:rPr>
        <w:t>位。兰沃乡大曲村被评为“国家森林乡村”，万善乡被评为“山东省森林乡镇”，柳林镇北街村等</w:t>
      </w:r>
      <w:r>
        <w:rPr>
          <w:rFonts w:ascii="仿宋_GB2312" w:hAnsi="仿宋_GB2312"/>
        </w:rPr>
        <w:t>3</w:t>
      </w:r>
      <w:r>
        <w:rPr>
          <w:rFonts w:hint="eastAsia" w:ascii="仿宋_GB2312" w:hAnsi="仿宋_GB2312"/>
        </w:rPr>
        <w:t>个村庄被评为“山东省森林村居”。实施“头雁工程”“归雁工程”“雏雁工程”，全县公开遴选</w:t>
      </w:r>
      <w:r>
        <w:rPr>
          <w:rFonts w:ascii="仿宋_GB2312" w:hAnsi="仿宋_GB2312"/>
        </w:rPr>
        <w:t>15</w:t>
      </w:r>
      <w:r>
        <w:rPr>
          <w:rFonts w:hint="eastAsia" w:ascii="仿宋_GB2312" w:hAnsi="仿宋_GB2312"/>
        </w:rPr>
        <w:t>名村党组织书记，吸引</w:t>
      </w:r>
      <w:r>
        <w:rPr>
          <w:rFonts w:ascii="仿宋_GB2312" w:hAnsi="仿宋_GB2312"/>
        </w:rPr>
        <w:t>26</w:t>
      </w:r>
      <w:r>
        <w:rPr>
          <w:rFonts w:hint="eastAsia" w:ascii="仿宋_GB2312" w:hAnsi="仿宋_GB2312"/>
        </w:rPr>
        <w:t>名在外流动人才回乡创业、回村任职，储备村党组织书记后备人才</w:t>
      </w:r>
      <w:r>
        <w:rPr>
          <w:rFonts w:ascii="仿宋_GB2312" w:hAnsi="仿宋_GB2312"/>
        </w:rPr>
        <w:t>1620</w:t>
      </w:r>
      <w:r>
        <w:rPr>
          <w:rFonts w:hint="eastAsia" w:ascii="仿宋_GB2312" w:hAnsi="仿宋_GB2312"/>
        </w:rPr>
        <w:t>名。</w:t>
      </w:r>
    </w:p>
    <w:p>
      <w:pPr>
        <w:spacing w:line="600" w:lineRule="exact"/>
        <w:ind w:firstLine="640"/>
        <w:rPr>
          <w:rFonts w:ascii="仿宋_GB2312"/>
          <w:color w:val="FF0000"/>
          <w:szCs w:val="32"/>
        </w:rPr>
      </w:pPr>
      <w:bookmarkStart w:id="10" w:name="_Toc60646161"/>
      <w:r>
        <w:rPr>
          <w:rFonts w:hint="eastAsia" w:ascii="楷体_GB2312" w:eastAsia="楷体_GB2312"/>
        </w:rPr>
        <w:t>改革开放不断深化</w:t>
      </w:r>
      <w:bookmarkEnd w:id="10"/>
      <w:r>
        <w:rPr>
          <w:rFonts w:hint="eastAsia" w:ascii="楷体_GB2312" w:eastAsia="楷体_GB2312"/>
        </w:rPr>
        <w:t>。</w:t>
      </w:r>
      <w:r>
        <w:rPr>
          <w:rFonts w:ascii="仿宋_GB2312"/>
          <w:color w:val="000000"/>
          <w:szCs w:val="32"/>
        </w:rPr>
        <w:t>27</w:t>
      </w:r>
      <w:r>
        <w:rPr>
          <w:rFonts w:hint="eastAsia" w:ascii="仿宋_GB2312"/>
          <w:color w:val="000000"/>
          <w:szCs w:val="32"/>
        </w:rPr>
        <w:t>项改革创新经验得到省级以上领导批示肯定或在全省推广，经济开发区</w:t>
      </w:r>
      <w:r>
        <w:rPr>
          <w:rFonts w:hint="eastAsia" w:ascii="仿宋_GB2312" w:hAnsi="仿宋_GB2312" w:cs="仿宋_GB2312"/>
          <w:color w:val="000000"/>
          <w:szCs w:val="32"/>
        </w:rPr>
        <w:t>被省委、省政府授予“勇于创新奖”先进集体称号</w:t>
      </w:r>
      <w:r>
        <w:rPr>
          <w:rFonts w:hint="eastAsia" w:ascii="仿宋_GB2312"/>
          <w:color w:val="000000"/>
          <w:szCs w:val="32"/>
        </w:rPr>
        <w:t>。持续优化营商环境，</w:t>
      </w:r>
      <w:r>
        <w:rPr>
          <w:rFonts w:hint="eastAsia" w:ascii="仿宋_GB2312" w:hAnsi="仿宋" w:cs="仿宋"/>
          <w:szCs w:val="32"/>
        </w:rPr>
        <w:t>创新“一书五证一天发”改革，打造“</w:t>
      </w:r>
      <w:r>
        <w:rPr>
          <w:rFonts w:ascii="仿宋_GB2312" w:hAnsi="仿宋" w:cs="仿宋"/>
          <w:szCs w:val="32"/>
        </w:rPr>
        <w:t>4012</w:t>
      </w:r>
      <w:r>
        <w:rPr>
          <w:rFonts w:hint="eastAsia" w:ascii="仿宋_GB2312" w:hAnsi="仿宋" w:cs="仿宋"/>
          <w:szCs w:val="32"/>
        </w:rPr>
        <w:t>”服务模式和“一枚印章管审批”运行机制，扎实推进“交房即办证”“拿地即开工”、容缺受理等工作。深化“一链办理”服务模式，对</w:t>
      </w:r>
      <w:r>
        <w:rPr>
          <w:rFonts w:ascii="仿宋_GB2312" w:hAnsi="仿宋" w:cs="仿宋"/>
          <w:szCs w:val="32"/>
        </w:rPr>
        <w:t>162</w:t>
      </w:r>
      <w:r>
        <w:rPr>
          <w:rFonts w:hint="eastAsia" w:ascii="仿宋_GB2312" w:hAnsi="仿宋" w:cs="仿宋"/>
          <w:szCs w:val="32"/>
        </w:rPr>
        <w:t>项“一链办理”事项进行流程再造。</w:t>
      </w:r>
      <w:r>
        <w:rPr>
          <w:rFonts w:hint="eastAsia" w:ascii="仿宋_GB2312"/>
          <w:szCs w:val="32"/>
        </w:rPr>
        <w:t>坚持“双招双引是经济工作生命线”理念，累计引进各类项目</w:t>
      </w:r>
      <w:r>
        <w:rPr>
          <w:rFonts w:ascii="仿宋_GB2312"/>
          <w:szCs w:val="32"/>
        </w:rPr>
        <w:t>256</w:t>
      </w:r>
      <w:r>
        <w:rPr>
          <w:rFonts w:hint="eastAsia" w:ascii="仿宋_GB2312"/>
          <w:szCs w:val="32"/>
        </w:rPr>
        <w:t>个、实现招商引资额</w:t>
      </w:r>
      <w:r>
        <w:rPr>
          <w:rFonts w:ascii="仿宋_GB2312"/>
          <w:szCs w:val="32"/>
        </w:rPr>
        <w:t>217</w:t>
      </w:r>
      <w:r>
        <w:rPr>
          <w:rFonts w:hint="eastAsia" w:ascii="仿宋_GB2312"/>
          <w:szCs w:val="32"/>
        </w:rPr>
        <w:t>亿元，其中过亿元项目</w:t>
      </w:r>
      <w:r>
        <w:rPr>
          <w:rFonts w:ascii="仿宋_GB2312"/>
          <w:szCs w:val="32"/>
        </w:rPr>
        <w:t>91</w:t>
      </w:r>
      <w:r>
        <w:rPr>
          <w:rFonts w:hint="eastAsia" w:ascii="仿宋_GB2312"/>
          <w:szCs w:val="32"/>
        </w:rPr>
        <w:t>个，促成了泉润农产品交易中心、温氏集团高效生态养殖一体化、伊利新建牧场等一批对县域经济具有战略性的大项目、好项目的落地。</w:t>
      </w:r>
      <w:r>
        <w:rPr>
          <w:rStyle w:val="26"/>
          <w:rFonts w:hint="eastAsia" w:ascii="仿宋_GB2312" w:eastAsia="仿宋_GB2312"/>
          <w:b w:val="0"/>
        </w:rPr>
        <w:t>金融改革成效显著，</w:t>
      </w:r>
      <w:r>
        <w:rPr>
          <w:rFonts w:hint="eastAsia" w:ascii="仿宋_GB2312"/>
        </w:rPr>
        <w:t>研究出台促进企业上市挂牌扶持政策，全县</w:t>
      </w:r>
      <w:r>
        <w:rPr>
          <w:rFonts w:ascii="仿宋_GB2312"/>
        </w:rPr>
        <w:t>28</w:t>
      </w:r>
      <w:r>
        <w:rPr>
          <w:rFonts w:hint="eastAsia" w:ascii="仿宋_GB2312"/>
        </w:rPr>
        <w:t>家企业在齐鲁股权交易中心成功挂牌，企业规范化改制数量位居全市第2位。对外贸易稳步发展，新增外贸进出口备案企业</w:t>
      </w:r>
      <w:r>
        <w:rPr>
          <w:rFonts w:ascii="仿宋_GB2312"/>
        </w:rPr>
        <w:t>137</w:t>
      </w:r>
      <w:r>
        <w:rPr>
          <w:rFonts w:hint="eastAsia" w:ascii="仿宋_GB2312"/>
        </w:rPr>
        <w:t>家，达到</w:t>
      </w:r>
      <w:r>
        <w:rPr>
          <w:rFonts w:ascii="仿宋_GB2312"/>
        </w:rPr>
        <w:t>229</w:t>
      </w:r>
      <w:r>
        <w:rPr>
          <w:rFonts w:hint="eastAsia" w:ascii="仿宋_GB2312"/>
        </w:rPr>
        <w:t>家，较</w:t>
      </w:r>
      <w:r>
        <w:rPr>
          <w:rFonts w:ascii="仿宋_GB2312"/>
        </w:rPr>
        <w:t>2015</w:t>
      </w:r>
      <w:r>
        <w:rPr>
          <w:rFonts w:hint="eastAsia" w:ascii="仿宋_GB2312"/>
        </w:rPr>
        <w:t>年增加</w:t>
      </w:r>
      <w:r>
        <w:rPr>
          <w:rFonts w:ascii="仿宋_GB2312"/>
        </w:rPr>
        <w:t>67</w:t>
      </w:r>
      <w:r>
        <w:rPr>
          <w:rFonts w:hint="eastAsia" w:ascii="仿宋_GB2312"/>
        </w:rPr>
        <w:t>家。百佳食品跨境电商公共海外仓项目建设完成，并获批省级跨境电商公共海外仓。引进国家级高层次人才</w:t>
      </w:r>
      <w:r>
        <w:rPr>
          <w:rFonts w:ascii="仿宋_GB2312"/>
        </w:rPr>
        <w:t>3</w:t>
      </w:r>
      <w:r>
        <w:rPr>
          <w:rFonts w:hint="eastAsia" w:ascii="仿宋_GB2312"/>
        </w:rPr>
        <w:t>人、省级高层次高技能人才</w:t>
      </w:r>
      <w:r>
        <w:rPr>
          <w:rFonts w:ascii="仿宋_GB2312"/>
        </w:rPr>
        <w:t>22</w:t>
      </w:r>
      <w:r>
        <w:rPr>
          <w:rFonts w:hint="eastAsia" w:ascii="仿宋_GB2312"/>
        </w:rPr>
        <w:t>人。</w:t>
      </w:r>
    </w:p>
    <w:p>
      <w:pPr>
        <w:spacing w:line="600" w:lineRule="exact"/>
        <w:ind w:firstLine="640"/>
        <w:rPr>
          <w:rFonts w:ascii="仿宋_GB2312"/>
          <w:color w:val="FF0000"/>
        </w:rPr>
      </w:pPr>
      <w:r>
        <w:rPr>
          <w:rFonts w:hint="eastAsia" w:ascii="楷体_GB2312" w:eastAsia="楷体_GB2312"/>
        </w:rPr>
        <w:t>三大攻坚成效显著。</w:t>
      </w:r>
      <w:r>
        <w:rPr>
          <w:rFonts w:hint="eastAsia" w:ascii="仿宋_GB2312" w:hAnsi="仿宋_GB2312"/>
        </w:rPr>
        <w:t>脱贫攻坚顺利完成，累计投入各级财政专项扶贫资金</w:t>
      </w:r>
      <w:r>
        <w:rPr>
          <w:rFonts w:ascii="仿宋_GB2312" w:hAnsi="仿宋_GB2312"/>
        </w:rPr>
        <w:t>3.98</w:t>
      </w:r>
      <w:r>
        <w:rPr>
          <w:rFonts w:hint="eastAsia" w:ascii="仿宋_GB2312" w:hAnsi="仿宋_GB2312"/>
        </w:rPr>
        <w:t>亿元，实施产业扶贫项目</w:t>
      </w:r>
      <w:r>
        <w:rPr>
          <w:rFonts w:ascii="仿宋_GB2312" w:hAnsi="仿宋_GB2312"/>
        </w:rPr>
        <w:t>117</w:t>
      </w:r>
      <w:r>
        <w:rPr>
          <w:rFonts w:hint="eastAsia" w:ascii="仿宋_GB2312" w:hAnsi="仿宋_GB2312"/>
        </w:rPr>
        <w:t>个，农村饮水安全攻坚战圆满收官，“两不愁三保障”全面实现，</w:t>
      </w:r>
      <w:r>
        <w:rPr>
          <w:rFonts w:ascii="仿宋_GB2312" w:hAnsi="仿宋_GB2312"/>
        </w:rPr>
        <w:t>2.5</w:t>
      </w:r>
      <w:r>
        <w:rPr>
          <w:rFonts w:hint="eastAsia" w:ascii="仿宋_GB2312" w:hAnsi="仿宋_GB2312"/>
        </w:rPr>
        <w:t>万农村贫困人口实现脱贫，</w:t>
      </w:r>
      <w:r>
        <w:rPr>
          <w:rFonts w:ascii="仿宋_GB2312" w:hAnsi="仿宋_GB2312"/>
        </w:rPr>
        <w:t>97</w:t>
      </w:r>
      <w:r>
        <w:rPr>
          <w:rFonts w:hint="eastAsia" w:ascii="仿宋_GB2312" w:hAnsi="仿宋_GB2312"/>
        </w:rPr>
        <w:t>个扶贫重点村和省定贫困村全部摘帽退出。重大风险有效化解，下大气力化解了一些重点企业、银行机构金融风险，累计处置不良贷款</w:t>
      </w:r>
      <w:r>
        <w:rPr>
          <w:rFonts w:ascii="仿宋_GB2312" w:hAnsi="仿宋_GB2312"/>
        </w:rPr>
        <w:t>58</w:t>
      </w:r>
      <w:r>
        <w:rPr>
          <w:rFonts w:hint="eastAsia" w:ascii="仿宋_GB2312" w:hAnsi="仿宋_GB2312"/>
        </w:rPr>
        <w:t>亿元</w:t>
      </w:r>
      <w:r>
        <w:rPr>
          <w:rFonts w:hint="eastAsia" w:ascii="仿宋_GB2312" w:hAnsi="仿宋_GB2312" w:cs="仿宋_GB2312"/>
        </w:rPr>
        <w:t>。生态环境明显改善，</w:t>
      </w:r>
      <w:r>
        <w:rPr>
          <w:rFonts w:hint="eastAsia" w:ascii="仿宋_GB2312" w:hAnsi="仿宋_GB2312"/>
        </w:rPr>
        <w:t>深入实施“四减四增”、</w:t>
      </w:r>
      <w:r>
        <w:rPr>
          <w:rFonts w:hint="eastAsia" w:ascii="仿宋_GB2312" w:hAnsi="仿宋_GB2312" w:cs="仿宋_GB2312"/>
        </w:rPr>
        <w:t>工业源监管、散煤治理、扬尘防控、重型柴油车治理</w:t>
      </w:r>
      <w:r>
        <w:rPr>
          <w:rFonts w:hint="eastAsia" w:ascii="仿宋_GB2312" w:hAnsi="仿宋_GB2312"/>
        </w:rPr>
        <w:t>等专项行动，节能降耗成效明显，煤炭消费压减任务圆满完成，生态环境大幅改善，全县</w:t>
      </w:r>
      <w:r>
        <w:rPr>
          <w:rFonts w:ascii="仿宋_GB2312" w:hAnsi="仿宋_GB2312"/>
        </w:rPr>
        <w:t>PM</w:t>
      </w:r>
      <w:r>
        <w:rPr>
          <w:rFonts w:ascii="仿宋_GB2312" w:hAnsi="仿宋_GB2312"/>
          <w:sz w:val="18"/>
          <w:szCs w:val="18"/>
        </w:rPr>
        <w:t>2.5</w:t>
      </w:r>
      <w:r>
        <w:rPr>
          <w:rFonts w:hint="eastAsia" w:ascii="仿宋_GB2312" w:hAnsi="仿宋_GB2312"/>
        </w:rPr>
        <w:t>、</w:t>
      </w:r>
      <w:r>
        <w:rPr>
          <w:rFonts w:ascii="仿宋_GB2312" w:hAnsi="仿宋_GB2312"/>
        </w:rPr>
        <w:t>PM</w:t>
      </w:r>
      <w:r>
        <w:rPr>
          <w:rFonts w:ascii="仿宋_GB2312" w:hAnsi="仿宋_GB2312"/>
          <w:sz w:val="18"/>
          <w:szCs w:val="18"/>
        </w:rPr>
        <w:t>10</w:t>
      </w:r>
      <w:r>
        <w:rPr>
          <w:rFonts w:hint="eastAsia" w:ascii="仿宋_GB2312" w:hAnsi="仿宋_GB2312"/>
        </w:rPr>
        <w:t>浓度分别较</w:t>
      </w:r>
      <w:r>
        <w:rPr>
          <w:rFonts w:ascii="仿宋_GB2312" w:hAnsi="仿宋_GB2312"/>
        </w:rPr>
        <w:t>2015</w:t>
      </w:r>
      <w:r>
        <w:rPr>
          <w:rFonts w:hint="eastAsia" w:ascii="仿宋_GB2312" w:hAnsi="仿宋_GB2312"/>
        </w:rPr>
        <w:t>年改善</w:t>
      </w:r>
      <w:r>
        <w:rPr>
          <w:rFonts w:ascii="仿宋_GB2312" w:hAnsi="仿宋_GB2312"/>
        </w:rPr>
        <w:t>54%</w:t>
      </w:r>
      <w:r>
        <w:rPr>
          <w:rFonts w:hint="eastAsia" w:ascii="仿宋_GB2312" w:hAnsi="仿宋_GB2312"/>
        </w:rPr>
        <w:t>、</w:t>
      </w:r>
      <w:r>
        <w:rPr>
          <w:rFonts w:ascii="仿宋_GB2312" w:hAnsi="仿宋_GB2312"/>
        </w:rPr>
        <w:t>46%</w:t>
      </w:r>
      <w:r>
        <w:rPr>
          <w:rFonts w:hint="eastAsia" w:ascii="仿宋_GB2312" w:hAnsi="仿宋_GB2312"/>
        </w:rPr>
        <w:t>，空气优良天数达到</w:t>
      </w:r>
      <w:r>
        <w:rPr>
          <w:rFonts w:ascii="仿宋_GB2312" w:hAnsi="仿宋_GB2312"/>
        </w:rPr>
        <w:t>230</w:t>
      </w:r>
      <w:r>
        <w:rPr>
          <w:rFonts w:hint="eastAsia" w:ascii="仿宋_GB2312" w:hAnsi="仿宋_GB2312"/>
        </w:rPr>
        <w:t>天。</w:t>
      </w:r>
    </w:p>
    <w:p>
      <w:pPr>
        <w:spacing w:line="600" w:lineRule="exact"/>
        <w:ind w:firstLine="640"/>
        <w:rPr>
          <w:rFonts w:ascii="楷体_GB2312" w:eastAsia="楷体_GB2312"/>
        </w:rPr>
      </w:pPr>
      <w:bookmarkStart w:id="11" w:name="_Toc60646159"/>
      <w:r>
        <w:rPr>
          <w:rFonts w:hint="eastAsia" w:ascii="楷体_GB2312" w:eastAsia="楷体_GB2312"/>
        </w:rPr>
        <w:t>城市面貌</w:t>
      </w:r>
      <w:bookmarkEnd w:id="11"/>
      <w:r>
        <w:rPr>
          <w:rFonts w:hint="eastAsia" w:ascii="楷体_GB2312" w:eastAsia="楷体_GB2312"/>
        </w:rPr>
        <w:t>明显改善。</w:t>
      </w:r>
      <w:r>
        <w:rPr>
          <w:rFonts w:hint="eastAsia" w:ascii="仿宋_GB2312" w:hAnsi="仿宋_GB2312"/>
        </w:rPr>
        <w:t>《冠县县城总体规划（</w:t>
      </w:r>
      <w:r>
        <w:rPr>
          <w:rFonts w:ascii="仿宋_GB2312" w:hAnsi="仿宋_GB2312"/>
        </w:rPr>
        <w:t>2018-2035</w:t>
      </w:r>
      <w:r>
        <w:rPr>
          <w:rFonts w:hint="eastAsia" w:ascii="仿宋_GB2312" w:hAnsi="仿宋_GB2312"/>
        </w:rPr>
        <w:t>年）》顺利获批，构建形成“一心多点，一带三轴”的城镇空间结构，累计完成城建投资1</w:t>
      </w:r>
      <w:r>
        <w:rPr>
          <w:rFonts w:ascii="仿宋_GB2312" w:hAnsi="仿宋_GB2312"/>
        </w:rPr>
        <w:t>20</w:t>
      </w:r>
      <w:r>
        <w:rPr>
          <w:rFonts w:hint="eastAsia" w:ascii="仿宋_GB2312" w:hAnsi="仿宋_GB2312"/>
        </w:rPr>
        <w:t>亿元，县城空间更加宜居宜业；高标准完成城市主要出入口绿化，累计新增绿化面积</w:t>
      </w:r>
      <w:r>
        <w:rPr>
          <w:rFonts w:ascii="仿宋_GB2312" w:hAnsi="仿宋_GB2312"/>
        </w:rPr>
        <w:t>109.89</w:t>
      </w:r>
      <w:r>
        <w:rPr>
          <w:rFonts w:hint="eastAsia" w:ascii="仿宋_GB2312" w:hAnsi="仿宋_GB2312"/>
        </w:rPr>
        <w:t>万平方米，城区绿化覆盖率达到</w:t>
      </w:r>
      <w:r>
        <w:rPr>
          <w:rFonts w:ascii="仿宋_GB2312" w:hAnsi="仿宋_GB2312"/>
        </w:rPr>
        <w:t>42.32%</w:t>
      </w:r>
      <w:r>
        <w:rPr>
          <w:rFonts w:hint="eastAsia" w:ascii="仿宋_GB2312" w:hAnsi="仿宋_GB2312"/>
        </w:rPr>
        <w:t>，成功创建省级园林县城。新改建城市道路</w:t>
      </w:r>
      <w:r>
        <w:rPr>
          <w:rFonts w:ascii="仿宋_GB2312" w:hAnsi="仿宋_GB2312"/>
        </w:rPr>
        <w:t>22.6</w:t>
      </w:r>
      <w:r>
        <w:rPr>
          <w:rFonts w:hint="eastAsia" w:ascii="仿宋_GB2312" w:hAnsi="仿宋_GB2312"/>
        </w:rPr>
        <w:t>公里，铺设雨水管网</w:t>
      </w:r>
      <w:r>
        <w:rPr>
          <w:rFonts w:ascii="仿宋_GB2312" w:hAnsi="仿宋_GB2312"/>
        </w:rPr>
        <w:t>47.75</w:t>
      </w:r>
      <w:r>
        <w:rPr>
          <w:rFonts w:hint="eastAsia" w:ascii="仿宋_GB2312" w:hAnsi="仿宋_GB2312"/>
        </w:rPr>
        <w:t>公里，污水管网</w:t>
      </w:r>
      <w:r>
        <w:rPr>
          <w:rFonts w:ascii="仿宋_GB2312" w:hAnsi="仿宋_GB2312"/>
        </w:rPr>
        <w:t>40.88</w:t>
      </w:r>
      <w:r>
        <w:rPr>
          <w:rFonts w:hint="eastAsia" w:ascii="仿宋_GB2312" w:hAnsi="仿宋_GB2312"/>
        </w:rPr>
        <w:t>公里，新增供暖面积</w:t>
      </w:r>
      <w:r>
        <w:rPr>
          <w:rFonts w:ascii="仿宋_GB2312" w:hAnsi="仿宋_GB2312"/>
        </w:rPr>
        <w:t>174</w:t>
      </w:r>
      <w:r>
        <w:rPr>
          <w:rFonts w:hint="eastAsia" w:ascii="仿宋_GB2312" w:hAnsi="仿宋_GB2312"/>
        </w:rPr>
        <w:t>万平方米；实施棚户区改造</w:t>
      </w:r>
      <w:r>
        <w:rPr>
          <w:rFonts w:ascii="仿宋_GB2312" w:hAnsi="仿宋_GB2312"/>
        </w:rPr>
        <w:t>7994</w:t>
      </w:r>
      <w:r>
        <w:rPr>
          <w:rFonts w:hint="eastAsia" w:ascii="仿宋_GB2312" w:hAnsi="仿宋_GB2312"/>
        </w:rPr>
        <w:t>套，老旧小区改造完成</w:t>
      </w:r>
      <w:r>
        <w:rPr>
          <w:rFonts w:ascii="仿宋_GB2312" w:hAnsi="仿宋_GB2312"/>
        </w:rPr>
        <w:t>18</w:t>
      </w:r>
      <w:r>
        <w:rPr>
          <w:rFonts w:hint="eastAsia" w:ascii="仿宋_GB2312" w:hAnsi="仿宋_GB2312"/>
        </w:rPr>
        <w:t>个。数字化管理指挥中心投入运行，城市智慧化管理走在全市前列；实行道路保洁网格化管理，城区主要道路实现喷雾降尘全覆盖，县城更加干净整洁；实行“街长制”管理模式，城市更加文明有序。</w:t>
      </w:r>
    </w:p>
    <w:p>
      <w:pPr>
        <w:spacing w:line="600" w:lineRule="exact"/>
        <w:ind w:firstLine="640"/>
        <w:rPr>
          <w:rFonts w:ascii="仿宋_GB2312"/>
        </w:rPr>
      </w:pPr>
      <w:bookmarkStart w:id="12" w:name="_Toc60646162"/>
      <w:r>
        <w:rPr>
          <w:rFonts w:hint="eastAsia" w:ascii="楷体_GB2312" w:eastAsia="楷体_GB2312"/>
        </w:rPr>
        <w:t>社会事业</w:t>
      </w:r>
      <w:bookmarkEnd w:id="12"/>
      <w:r>
        <w:rPr>
          <w:rFonts w:hint="eastAsia" w:ascii="楷体_GB2312" w:eastAsia="楷体_GB2312"/>
        </w:rPr>
        <w:t>全面发展。</w:t>
      </w:r>
      <w:r>
        <w:rPr>
          <w:rFonts w:hint="eastAsia" w:ascii="仿宋_GB2312" w:hAnsi="仿宋_GB2312"/>
          <w:color w:val="000000"/>
          <w:szCs w:val="32"/>
        </w:rPr>
        <w:t>发挥</w:t>
      </w:r>
      <w:r>
        <w:rPr>
          <w:rFonts w:ascii="仿宋_GB2312" w:hAnsi="仿宋_GB2312"/>
          <w:color w:val="000000"/>
          <w:szCs w:val="32"/>
        </w:rPr>
        <w:t>12345</w:t>
      </w:r>
      <w:r>
        <w:rPr>
          <w:rFonts w:hint="eastAsia" w:ascii="仿宋_GB2312" w:hAnsi="仿宋_GB2312"/>
          <w:color w:val="000000"/>
          <w:szCs w:val="32"/>
        </w:rPr>
        <w:t>市民热线服务民生作用，用心用情用力帮助群众解决实际问题。新冠肺炎疫情防控取得重大战略成果，基层医疗服务能力提升工程扎实推进，新改建标准化卫生室</w:t>
      </w:r>
      <w:r>
        <w:rPr>
          <w:rFonts w:ascii="仿宋_GB2312" w:hAnsi="仿宋_GB2312"/>
          <w:color w:val="000000"/>
          <w:szCs w:val="32"/>
        </w:rPr>
        <w:t>20</w:t>
      </w:r>
      <w:r>
        <w:rPr>
          <w:rFonts w:hint="eastAsia" w:ascii="仿宋_GB2312" w:hAnsi="仿宋_GB2312"/>
          <w:color w:val="000000"/>
          <w:szCs w:val="32"/>
        </w:rPr>
        <w:t>处，</w:t>
      </w:r>
      <w:r>
        <w:rPr>
          <w:rFonts w:hint="eastAsia" w:ascii="仿宋_GB2312" w:hAnsi="仿宋_GB2312"/>
          <w:color w:val="000000"/>
        </w:rPr>
        <w:t>卫生健康服务体系更加优化，顺利通过省级卫生县城复审</w:t>
      </w:r>
      <w:r>
        <w:rPr>
          <w:rFonts w:hint="eastAsia" w:ascii="仿宋_GB2312" w:hAnsi="仿宋_GB2312"/>
          <w:color w:val="000000"/>
          <w:szCs w:val="32"/>
        </w:rPr>
        <w:t>。</w:t>
      </w:r>
      <w:r>
        <w:rPr>
          <w:rFonts w:hint="eastAsia" w:ascii="仿宋_GB2312" w:hAnsi="仿宋_GB2312"/>
          <w:szCs w:val="32"/>
        </w:rPr>
        <w:t>城镇新增就业</w:t>
      </w:r>
      <w:r>
        <w:rPr>
          <w:rFonts w:ascii="仿宋_GB2312" w:hAnsi="仿宋_GB2312"/>
          <w:szCs w:val="32"/>
        </w:rPr>
        <w:t>3</w:t>
      </w:r>
      <w:r>
        <w:rPr>
          <w:rFonts w:hint="eastAsia" w:ascii="仿宋_GB2312" w:hAnsi="仿宋_GB2312"/>
          <w:szCs w:val="32"/>
        </w:rPr>
        <w:t>万人，登记失业率控制在</w:t>
      </w:r>
      <w:r>
        <w:rPr>
          <w:rFonts w:ascii="仿宋_GB2312" w:hAnsi="仿宋_GB2312"/>
          <w:szCs w:val="32"/>
        </w:rPr>
        <w:t>2.64%</w:t>
      </w:r>
      <w:r>
        <w:rPr>
          <w:rFonts w:hint="eastAsia" w:ascii="仿宋_GB2312" w:hAnsi="仿宋_GB2312"/>
          <w:szCs w:val="32"/>
        </w:rPr>
        <w:t>。城乡低保提高至</w:t>
      </w:r>
      <w:r>
        <w:rPr>
          <w:rFonts w:ascii="仿宋_GB2312" w:hAnsi="仿宋_GB2312"/>
          <w:szCs w:val="32"/>
        </w:rPr>
        <w:t>684</w:t>
      </w:r>
      <w:r>
        <w:rPr>
          <w:rFonts w:hint="eastAsia" w:ascii="仿宋_GB2312" w:hAnsi="仿宋_GB2312"/>
          <w:szCs w:val="32"/>
        </w:rPr>
        <w:t>元、</w:t>
      </w:r>
      <w:r>
        <w:rPr>
          <w:rFonts w:ascii="仿宋_GB2312" w:hAnsi="仿宋_GB2312"/>
          <w:szCs w:val="32"/>
        </w:rPr>
        <w:t>511</w:t>
      </w:r>
      <w:r>
        <w:rPr>
          <w:rFonts w:hint="eastAsia" w:ascii="仿宋_GB2312" w:hAnsi="仿宋_GB2312"/>
          <w:szCs w:val="32"/>
        </w:rPr>
        <w:t>元，较</w:t>
      </w:r>
      <w:r>
        <w:rPr>
          <w:rFonts w:ascii="仿宋_GB2312" w:hAnsi="仿宋_GB2312"/>
          <w:szCs w:val="32"/>
        </w:rPr>
        <w:t>2015</w:t>
      </w:r>
      <w:r>
        <w:rPr>
          <w:rFonts w:hint="eastAsia" w:ascii="仿宋_GB2312" w:hAnsi="仿宋_GB2312"/>
          <w:szCs w:val="32"/>
        </w:rPr>
        <w:t>年分别增加</w:t>
      </w:r>
      <w:r>
        <w:rPr>
          <w:rFonts w:ascii="仿宋_GB2312" w:hAnsi="仿宋_GB2312"/>
          <w:szCs w:val="32"/>
        </w:rPr>
        <w:t>304</w:t>
      </w:r>
      <w:r>
        <w:rPr>
          <w:rFonts w:hint="eastAsia" w:ascii="仿宋_GB2312" w:hAnsi="仿宋_GB2312"/>
          <w:szCs w:val="32"/>
        </w:rPr>
        <w:t>元、</w:t>
      </w:r>
      <w:r>
        <w:rPr>
          <w:rFonts w:ascii="仿宋_GB2312" w:hAnsi="仿宋_GB2312"/>
          <w:szCs w:val="32"/>
        </w:rPr>
        <w:t>295</w:t>
      </w:r>
      <w:r>
        <w:rPr>
          <w:rFonts w:hint="eastAsia" w:ascii="仿宋_GB2312" w:hAnsi="仿宋_GB2312"/>
          <w:szCs w:val="32"/>
        </w:rPr>
        <w:t>元。</w:t>
      </w:r>
      <w:r>
        <w:rPr>
          <w:rFonts w:hint="eastAsia" w:ascii="仿宋_GB2312" w:hAnsi="仿宋_GB2312"/>
          <w:color w:val="000000"/>
        </w:rPr>
        <w:t>社会主义核心价值观深入人心，文化事业和文化产业更加繁荣，顺利通过省级文明县复审，双拥工作稳步提升，被山东省命名为“双拥模范县”；义务教育更加均衡，高标准通过全国义务教育发展基本均衡县验收，公共设施更加完善。扫黑除恶专项斗争取得决定性战果，严打整治会战深入开展，刑事、治安案件持续下降，公安基层基础建设内涵式发展，平安冠县、法治冠县建设成效显著，被山东省评为“无非访县”。</w:t>
      </w:r>
      <w:r>
        <w:rPr>
          <w:rFonts w:hint="eastAsia" w:ascii="仿宋_GB2312" w:hAnsi="仿宋_GB2312"/>
        </w:rPr>
        <w:t>国防动员、退役军人、档案史志、地震气象、民族宗教、妇女儿童、残疾人等工作均取得新成绩。</w:t>
      </w:r>
    </w:p>
    <w:p>
      <w:pPr>
        <w:spacing w:line="600" w:lineRule="exact"/>
        <w:ind w:firstLine="640"/>
        <w:rPr>
          <w:rFonts w:ascii="楷体_GB2312" w:eastAsia="楷体_GB2312"/>
          <w:szCs w:val="32"/>
        </w:rPr>
      </w:pPr>
      <w:r>
        <w:rPr>
          <w:rFonts w:hint="eastAsia" w:ascii="楷体_GB2312" w:eastAsia="楷体_GB2312"/>
        </w:rPr>
        <w:t>干事创业氛围更浓。</w:t>
      </w:r>
      <w:r>
        <w:rPr>
          <w:rFonts w:hint="eastAsia" w:ascii="仿宋_GB2312" w:hAnsi="仿宋_GB2312"/>
        </w:rPr>
        <w:t>各方面积极性广泛调动，充分发挥人大监督及政协参政议政作用，有效发挥统一战线政治优势和群团组织政治作用。坚持好干部标准，突出实践实干实绩导向。组织实施年轻干部“</w:t>
      </w:r>
      <w:r>
        <w:rPr>
          <w:rFonts w:ascii="仿宋_GB2312" w:hAnsi="仿宋_GB2312"/>
        </w:rPr>
        <w:t>5812</w:t>
      </w:r>
      <w:r>
        <w:rPr>
          <w:rFonts w:hint="eastAsia" w:ascii="仿宋_GB2312" w:hAnsi="仿宋_GB2312"/>
        </w:rPr>
        <w:t>工程”，干部人才队伍结构综合排名位列全市第二。深入推进公务员职务与职级并行制度，累计完成职级晋升</w:t>
      </w:r>
      <w:r>
        <w:rPr>
          <w:rFonts w:ascii="仿宋_GB2312" w:hAnsi="仿宋_GB2312"/>
        </w:rPr>
        <w:t>573</w:t>
      </w:r>
      <w:r>
        <w:rPr>
          <w:rFonts w:hint="eastAsia" w:ascii="仿宋_GB2312" w:hAnsi="仿宋_GB2312"/>
        </w:rPr>
        <w:t>人次，有效激发干部干事创业积极性。持续正风肃纪，严厉查处违反中央八项规定精神及群众身边腐败和作风问题，全面从严治党取得新成效，政治生态持续优化。积极健全完善正向激励机制，先后对</w:t>
      </w:r>
      <w:r>
        <w:rPr>
          <w:rFonts w:ascii="仿宋_GB2312" w:hAnsi="仿宋_GB2312"/>
        </w:rPr>
        <w:t>1</w:t>
      </w:r>
      <w:r>
        <w:rPr>
          <w:rFonts w:ascii="仿宋_GB2312"/>
        </w:rPr>
        <w:t>3</w:t>
      </w:r>
      <w:r>
        <w:rPr>
          <w:rFonts w:hint="eastAsia" w:ascii="仿宋_GB2312" w:hAnsi="仿宋_GB2312"/>
        </w:rPr>
        <w:t>起不实举报进行澄清正名，</w:t>
      </w:r>
      <w:r>
        <w:rPr>
          <w:rFonts w:ascii="仿宋_GB2312" w:hAnsi="仿宋_GB2312"/>
        </w:rPr>
        <w:t>1</w:t>
      </w:r>
      <w:r>
        <w:rPr>
          <w:rFonts w:hint="eastAsia" w:ascii="仿宋_GB2312" w:hAnsi="仿宋_GB2312"/>
        </w:rPr>
        <w:t>起公职人员诬告陷害行为进行打击处理，旗帜鲜明为担当者担当、为实干者护航。扎实开展“三遍访三评议三提升”为主要内容的干部作风整顿，组建</w:t>
      </w:r>
      <w:r>
        <w:rPr>
          <w:rFonts w:ascii="仿宋_GB2312" w:hAnsi="仿宋_GB2312"/>
        </w:rPr>
        <w:t>303</w:t>
      </w:r>
      <w:r>
        <w:rPr>
          <w:rFonts w:hint="eastAsia" w:ascii="仿宋_GB2312" w:hAnsi="仿宋_GB2312"/>
        </w:rPr>
        <w:t>个民情书记服务队，收集意见建议</w:t>
      </w:r>
      <w:r>
        <w:rPr>
          <w:rFonts w:ascii="仿宋_GB2312" w:hAnsi="仿宋_GB2312"/>
        </w:rPr>
        <w:t>1791</w:t>
      </w:r>
      <w:r>
        <w:rPr>
          <w:rFonts w:hint="eastAsia" w:ascii="仿宋_GB2312" w:hAnsi="仿宋_GB2312"/>
        </w:rPr>
        <w:t>条，解决问题</w:t>
      </w:r>
      <w:r>
        <w:rPr>
          <w:rFonts w:ascii="仿宋_GB2312" w:hAnsi="仿宋_GB2312"/>
        </w:rPr>
        <w:t>1195</w:t>
      </w:r>
      <w:r>
        <w:rPr>
          <w:rFonts w:hint="eastAsia" w:ascii="仿宋_GB2312" w:hAnsi="仿宋_GB2312"/>
        </w:rPr>
        <w:t>个，有力促进了干部作风转变。</w:t>
      </w:r>
    </w:p>
    <w:p>
      <w:pPr>
        <w:pStyle w:val="3"/>
        <w:spacing w:before="437" w:beforeLines="100" w:after="437" w:afterLines="100" w:line="600" w:lineRule="exact"/>
        <w:rPr>
          <w:rFonts w:ascii="黑体" w:hAnsi="黑体" w:eastAsia="黑体"/>
          <w:b w:val="0"/>
        </w:rPr>
      </w:pPr>
      <w:bookmarkStart w:id="13" w:name="_Toc60646163"/>
      <w:r>
        <w:rPr>
          <w:rFonts w:hint="eastAsia" w:ascii="黑体" w:hAnsi="黑体" w:eastAsia="黑体"/>
          <w:b w:val="0"/>
        </w:rPr>
        <w:t>第二</w:t>
      </w:r>
      <w:bookmarkEnd w:id="7"/>
      <w:bookmarkEnd w:id="8"/>
      <w:bookmarkEnd w:id="13"/>
      <w:r>
        <w:rPr>
          <w:rFonts w:hint="eastAsia" w:ascii="黑体" w:hAnsi="黑体" w:eastAsia="黑体"/>
          <w:b w:val="0"/>
        </w:rPr>
        <w:t xml:space="preserve">章 </w:t>
      </w:r>
      <w:r>
        <w:rPr>
          <w:rFonts w:ascii="黑体" w:hAnsi="黑体" w:eastAsia="黑体"/>
          <w:b w:val="0"/>
        </w:rPr>
        <w:t xml:space="preserve"> </w:t>
      </w:r>
      <w:r>
        <w:rPr>
          <w:rFonts w:hint="eastAsia" w:ascii="黑体" w:hAnsi="黑体" w:eastAsia="黑体"/>
          <w:b w:val="0"/>
        </w:rPr>
        <w:t>发展环境</w:t>
      </w:r>
    </w:p>
    <w:p>
      <w:pPr>
        <w:spacing w:line="620" w:lineRule="exact"/>
        <w:ind w:firstLine="640"/>
      </w:pPr>
      <w:r>
        <w:rPr>
          <w:rFonts w:hint="eastAsia"/>
        </w:rPr>
        <w:t>“十四五”时期，国际国内宏观经济形势正在发生深刻变化，既是经济社会发展的战略机遇期，也是各种深层次矛盾和问题的凸显期，优势和劣势交织，机遇和挑战并存。</w:t>
      </w:r>
    </w:p>
    <w:p>
      <w:pPr>
        <w:spacing w:line="620" w:lineRule="exact"/>
        <w:ind w:firstLine="640"/>
        <w:rPr>
          <w:rFonts w:ascii="仿宋_GB2312"/>
        </w:rPr>
      </w:pPr>
      <w:r>
        <w:rPr>
          <w:rStyle w:val="26"/>
          <w:rFonts w:hint="eastAsia" w:ascii="楷体_GB2312" w:eastAsia="楷体_GB2312"/>
          <w:b w:val="0"/>
        </w:rPr>
        <w:t>从国际看。</w:t>
      </w:r>
      <w:r>
        <w:rPr>
          <w:rFonts w:hint="eastAsia" w:ascii="仿宋_GB2312"/>
        </w:rPr>
        <w:t>未来五年将处于全球治理体系重构，竞争优势重塑、经贸规则重建的叠加期，但和平与发展仍是时代主题，中国在全球政治格局中的话语权和影响力不断扩大，在国际舞台上扮演越来越关键的角色，将为我县打造国际化法治化便利化营商环境、参与“一带一路”，更好利用国际市场国际资源带来难得契机。新一轮科技革命和产业变革进入孕育期，以区块链、</w:t>
      </w:r>
      <w:r>
        <w:rPr>
          <w:rFonts w:ascii="仿宋_GB2312"/>
        </w:rPr>
        <w:t>5G</w:t>
      </w:r>
      <w:r>
        <w:rPr>
          <w:rFonts w:hint="eastAsia" w:ascii="仿宋_GB2312"/>
        </w:rPr>
        <w:t>、人工智能、物联网等为代表的新一代信息技术正在广泛而深入地渗透到经济社会各领域，为我县产业发展加快智能化转型、融合式聚变、多点突破带来了历史性机遇。</w:t>
      </w:r>
    </w:p>
    <w:p>
      <w:pPr>
        <w:spacing w:line="620" w:lineRule="exact"/>
        <w:ind w:firstLine="640"/>
        <w:rPr>
          <w:color w:val="C00000"/>
        </w:rPr>
      </w:pPr>
      <w:r>
        <w:rPr>
          <w:rStyle w:val="26"/>
          <w:rFonts w:hint="eastAsia" w:ascii="楷体_GB2312" w:eastAsia="楷体_GB2312"/>
          <w:b w:val="0"/>
        </w:rPr>
        <w:t>从国内看。</w:t>
      </w:r>
      <w:r>
        <w:rPr>
          <w:rFonts w:hint="eastAsia"/>
        </w:rPr>
        <w:t>“十四五”时期是我国从全面小康到社会主义现代化新征程的转接期，国内发展环境经历着深刻变化，我国已进入高质量发展阶段，超大规模市场建设，以国内大循环为主体、国内国际双循环相互促进的新发展格局正在形成，为我县释放内需潜力，集聚创新要素创造了有利条件。新一轮科技革命和产业变革蓬勃兴起，新型基础设施建设步伐加快，有利于我县发展数字经济，赋能产业转型升级。“一带一路”、京津冀协同发展、中原经济区建设等国家战略深入推进，经济地理格局深刻变化，有利于我县承接国家产业布局，提升产业发展质量。</w:t>
      </w:r>
    </w:p>
    <w:p>
      <w:pPr>
        <w:spacing w:line="620" w:lineRule="exact"/>
        <w:ind w:firstLine="640"/>
        <w:rPr>
          <w:color w:val="FF0000"/>
        </w:rPr>
      </w:pPr>
      <w:r>
        <w:rPr>
          <w:rStyle w:val="26"/>
          <w:rFonts w:hint="eastAsia" w:ascii="楷体_GB2312" w:eastAsia="楷体_GB2312"/>
          <w:b w:val="0"/>
        </w:rPr>
        <w:t>从全省看。</w:t>
      </w:r>
      <w:r>
        <w:rPr>
          <w:rFonts w:hint="eastAsia"/>
        </w:rPr>
        <w:t>党的十八大以来，习近平总书记三次视察山东，对山东工作作出一系列重要指示批示，为新时代山东发展指明了方向。新旧动能转换、军民融合、区域协调发展等“八大战略”加快实施；新旧动能转换综合试验区、中国（山东）自由贸易试验区、上合组织地方经贸合作示范区等重大平台加快建设；省会经济圈一体化、黄河科创大走廊、黄河现代产业合作示范带建设加快推进；即将开启现代农业强省、先进制造业强省、海洋强省、科教强省、数字强省、文化旅游强省、医养健康强省、交通强省、新能源新材料强省建设，将在新发展阶段实现更大作为。</w:t>
      </w:r>
    </w:p>
    <w:p>
      <w:pPr>
        <w:spacing w:line="620" w:lineRule="exact"/>
        <w:ind w:firstLine="640"/>
        <w:rPr>
          <w:color w:val="FF0000"/>
        </w:rPr>
      </w:pPr>
      <w:r>
        <w:rPr>
          <w:rStyle w:val="26"/>
          <w:rFonts w:hint="eastAsia" w:ascii="楷体_GB2312" w:eastAsia="楷体_GB2312"/>
          <w:b w:val="0"/>
        </w:rPr>
        <w:t>从全市看。</w:t>
      </w:r>
      <w:r>
        <w:rPr>
          <w:rFonts w:hint="eastAsia" w:ascii="仿宋_GB2312"/>
          <w:color w:val="000000"/>
        </w:rPr>
        <w:t>国家实施京津冀协同发展、黄河流域生态保护和高质量发展等一系列重大战略，建设黄河、大运河国家文化公园等重大举措，给聊城带来重大机遇；产业基础扎实，高质量发展氛围浓厚，新旧动能转换、制造业强市建设、数字经济发展、智能化技改、高新技术企业培育、高铁新区建设等重点举措持续赋能；营商环境优良，企业开办“</w:t>
      </w:r>
      <w:r>
        <w:rPr>
          <w:rFonts w:ascii="仿宋_GB2312" w:cs="Calibri"/>
          <w:color w:val="000000"/>
        </w:rPr>
        <w:t>4012</w:t>
      </w:r>
      <w:r>
        <w:rPr>
          <w:rFonts w:hint="eastAsia" w:ascii="仿宋_GB2312"/>
          <w:color w:val="000000"/>
        </w:rPr>
        <w:t>”模式、“十个一”行业许可模式、“一业一证”“一链办理”四级通办全省领先，改革红利加速释放。</w:t>
      </w:r>
    </w:p>
    <w:p>
      <w:pPr>
        <w:spacing w:line="600" w:lineRule="exact"/>
        <w:ind w:firstLine="640"/>
        <w:rPr>
          <w:rFonts w:ascii="仿宋_GB2312"/>
          <w:color w:val="000000"/>
        </w:rPr>
      </w:pPr>
      <w:r>
        <w:rPr>
          <w:rStyle w:val="26"/>
          <w:rFonts w:hint="eastAsia" w:ascii="楷体_GB2312" w:eastAsia="楷体_GB2312"/>
          <w:b w:val="0"/>
        </w:rPr>
        <w:t>从我县看。</w:t>
      </w:r>
      <w:r>
        <w:rPr>
          <w:rFonts w:hint="eastAsia" w:ascii="仿宋_GB2312"/>
          <w:color w:val="000000"/>
        </w:rPr>
        <w:t>“十三五”以来，我县经济社会发展稳中有进，亮点纷呈，精品钢板、纺织服装、高端装备制造、农副产品加工等产业稳步提升，新材料、现代高效农业等产业初具规模，高新技术企业数量不断突破，“专精特新”企业数量迅猛增长，这些都成为支撑全县动能转换的有力抓手，为全县高质量发展奠定了坚实的基础。《冠县县城总体规划（</w:t>
      </w:r>
      <w:r>
        <w:rPr>
          <w:rFonts w:ascii="仿宋_GB2312" w:cs="Calibri"/>
          <w:color w:val="000000"/>
        </w:rPr>
        <w:t>2018-2035</w:t>
      </w:r>
      <w:r>
        <w:rPr>
          <w:rFonts w:hint="eastAsia" w:ascii="仿宋_GB2312"/>
          <w:color w:val="000000"/>
        </w:rPr>
        <w:t>年）》顺利获批，国土空间总体规划编制扎实推进，全县按照“东进、西控、北优、南展”发展方向，进一步拓展城市发展格局，将为“十四五”发展提供更为优质的空间和条件。外贸进出口实现新突破，冠县新兴产业园等一系列重大项目稳步有序推进，为我县进一步实施开放战略，深化区域协作，以更广阔的视野谋求发展拓展了空间。同时也要看到，我县发展正处在新旧动能转换的紧要关口，传统产业转型升级不快，新兴产业没有形成支撑，经济增长动能不足，发展质量效益不高；“双招双引”成效不够明显，缺少投资规模大、带动作用强的大项目、好项目；民生领域存在短板，生态环保压力仍然较大；干部思想有待进一步解放，工作作风仍需改进。</w:t>
      </w:r>
    </w:p>
    <w:p>
      <w:pPr>
        <w:spacing w:line="600" w:lineRule="exact"/>
        <w:ind w:firstLine="640"/>
        <w:rPr>
          <w:color w:val="000000"/>
        </w:rPr>
      </w:pPr>
      <w:r>
        <w:rPr>
          <w:rFonts w:hint="eastAsia" w:ascii="仿宋_GB2312"/>
          <w:color w:val="000000"/>
        </w:rPr>
        <w:t>综合分析，</w:t>
      </w:r>
      <w:r>
        <w:rPr>
          <w:rFonts w:hint="eastAsia"/>
          <w:color w:val="000000"/>
        </w:rPr>
        <w:t>“十四五”时期，我县发展处于大有可为的重要战略机遇期，困难与利好并存，挑战与机遇同在，必须进一步增强忧患意识、机遇意识、发展意识和争先意识，在结构优化、动能转换的关键时期，牢牢把握重大战略叠加这一机遇，坚持发展第一要务，咬定发展不放松，推动经济总量和发展质量再上一个大台阶。同时，又要适应新常态带来的诸多变化，尊重发展规律，妥善应对转型困难和风险挑战，聚焦经济社会发展的短板和难题，推进改革创新，加快转型升级，在新的历史起点上实现科学发展、跨越发展。</w:t>
      </w:r>
    </w:p>
    <w:p>
      <w:pPr>
        <w:pStyle w:val="3"/>
        <w:spacing w:before="437" w:beforeLines="100" w:after="437" w:afterLines="100" w:line="600" w:lineRule="exact"/>
        <w:rPr>
          <w:rFonts w:ascii="黑体" w:hAnsi="黑体" w:eastAsia="黑体"/>
          <w:b w:val="0"/>
        </w:rPr>
      </w:pPr>
      <w:bookmarkStart w:id="14" w:name="_Toc60646165"/>
      <w:bookmarkStart w:id="15" w:name="_Toc47894783"/>
      <w:r>
        <w:rPr>
          <w:rFonts w:hint="eastAsia" w:ascii="黑体" w:hAnsi="黑体" w:eastAsia="黑体"/>
          <w:b w:val="0"/>
        </w:rPr>
        <w:t xml:space="preserve">第三章 </w:t>
      </w:r>
      <w:r>
        <w:rPr>
          <w:rFonts w:ascii="黑体" w:hAnsi="黑体" w:eastAsia="黑体"/>
          <w:b w:val="0"/>
        </w:rPr>
        <w:t xml:space="preserve"> </w:t>
      </w:r>
      <w:r>
        <w:rPr>
          <w:rFonts w:hint="eastAsia" w:ascii="黑体" w:hAnsi="黑体" w:eastAsia="黑体"/>
          <w:b w:val="0"/>
        </w:rPr>
        <w:t>指导思想</w:t>
      </w:r>
      <w:bookmarkEnd w:id="14"/>
      <w:r>
        <w:rPr>
          <w:rFonts w:hint="eastAsia" w:ascii="黑体" w:hAnsi="黑体" w:eastAsia="黑体"/>
          <w:b w:val="0"/>
        </w:rPr>
        <w:t>和基本原则</w:t>
      </w:r>
    </w:p>
    <w:p>
      <w:pPr>
        <w:pStyle w:val="3"/>
        <w:spacing w:before="218" w:after="218" w:line="600" w:lineRule="exact"/>
        <w:rPr>
          <w:rFonts w:ascii="楷体_GB2312" w:hAnsi="楷体_GB2312" w:eastAsia="楷体_GB2312" w:cs="楷体_GB2312"/>
          <w:b w:val="0"/>
        </w:rPr>
      </w:pPr>
      <w:r>
        <w:rPr>
          <w:rFonts w:hint="eastAsia" w:ascii="楷体_GB2312" w:hAnsi="楷体_GB2312" w:eastAsia="楷体_GB2312" w:cs="楷体_GB2312"/>
          <w:b w:val="0"/>
        </w:rPr>
        <w:t xml:space="preserve">第一节 </w:t>
      </w:r>
      <w:r>
        <w:rPr>
          <w:rFonts w:ascii="楷体_GB2312" w:hAnsi="楷体_GB2312" w:eastAsia="楷体_GB2312" w:cs="楷体_GB2312"/>
          <w:b w:val="0"/>
        </w:rPr>
        <w:t xml:space="preserve"> </w:t>
      </w:r>
      <w:r>
        <w:rPr>
          <w:rFonts w:hint="eastAsia" w:ascii="楷体_GB2312" w:hAnsi="楷体_GB2312" w:eastAsia="楷体_GB2312" w:cs="楷体_GB2312"/>
          <w:b w:val="0"/>
        </w:rPr>
        <w:t>指导思想</w:t>
      </w:r>
    </w:p>
    <w:p>
      <w:pPr>
        <w:spacing w:line="640" w:lineRule="exact"/>
        <w:ind w:firstLine="640"/>
        <w:rPr>
          <w:color w:val="000000"/>
        </w:rPr>
      </w:pPr>
      <w:r>
        <w:rPr>
          <w:rFonts w:hint="eastAsia" w:ascii="仿宋_GB2312"/>
          <w:color w:val="000000"/>
        </w:rPr>
        <w:t>高举中国特色社会主义伟大旗帜，深入贯彻党的十九大和十九届二中、三中、四中、五中全会精神，坚持以马克思列宁主义、毛泽东思想、邓小平理论、</w:t>
      </w:r>
      <w:r>
        <w:rPr>
          <w:rFonts w:hint="eastAsia"/>
          <w:color w:val="000000"/>
        </w:rPr>
        <w:t>“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振兴实体经济和扩大内需为基本立足点，以改革创新为根本动力，以满足人民日益增长的美好生活需要为根本目的，推进冠县治理体系和治理能力现代化，实现经济行稳致远、社会安定和谐，奋力开创现代化建设新局面。</w:t>
      </w:r>
    </w:p>
    <w:p>
      <w:pPr>
        <w:pStyle w:val="3"/>
        <w:spacing w:before="218" w:after="218" w:line="600" w:lineRule="exact"/>
        <w:rPr>
          <w:rFonts w:ascii="楷体_GB2312" w:hAnsi="楷体_GB2312" w:eastAsia="楷体_GB2312" w:cs="楷体_GB2312"/>
          <w:b w:val="0"/>
        </w:rPr>
      </w:pPr>
      <w:r>
        <w:rPr>
          <w:rFonts w:hint="eastAsia" w:ascii="楷体_GB2312" w:hAnsi="楷体_GB2312" w:eastAsia="楷体_GB2312" w:cs="楷体_GB2312"/>
          <w:b w:val="0"/>
        </w:rPr>
        <w:t xml:space="preserve">第二节 </w:t>
      </w:r>
      <w:r>
        <w:rPr>
          <w:rFonts w:ascii="楷体_GB2312" w:hAnsi="楷体_GB2312" w:eastAsia="楷体_GB2312" w:cs="楷体_GB2312"/>
          <w:b w:val="0"/>
        </w:rPr>
        <w:t xml:space="preserve"> </w:t>
      </w:r>
      <w:r>
        <w:rPr>
          <w:rFonts w:hint="eastAsia" w:ascii="楷体_GB2312" w:hAnsi="楷体_GB2312" w:eastAsia="楷体_GB2312" w:cs="楷体_GB2312"/>
          <w:b w:val="0"/>
        </w:rPr>
        <w:t>基本原则</w:t>
      </w:r>
    </w:p>
    <w:p>
      <w:pPr>
        <w:spacing w:line="580" w:lineRule="exact"/>
        <w:ind w:firstLine="643"/>
      </w:pPr>
      <w:bookmarkStart w:id="16" w:name="_Toc47894782"/>
      <w:bookmarkStart w:id="17" w:name="_Toc60646167"/>
      <w:bookmarkStart w:id="18" w:name="_Toc46474389"/>
      <w:r>
        <w:rPr>
          <w:rStyle w:val="69"/>
          <w:rFonts w:hint="eastAsia" w:ascii="仿宋_GB2312"/>
          <w:szCs w:val="32"/>
        </w:rPr>
        <w:t>——坚持党的全面领导。</w:t>
      </w:r>
      <w:r>
        <w:rPr>
          <w:rFonts w:hint="eastAsia" w:ascii="仿宋_GB2312"/>
        </w:rPr>
        <w:t>坚持和完善党领导经济社会发展的体制机制，坚持党总揽全局、协调各方，坚定不移全面从严治党，不断提高党的执政能力和领导水平，不断增强各级党组织的创造力、凝聚力、战斗力，为经济社会持续健康发展提供根本政治保证。</w:t>
      </w:r>
    </w:p>
    <w:p>
      <w:pPr>
        <w:spacing w:line="580" w:lineRule="exact"/>
        <w:ind w:firstLine="643"/>
      </w:pPr>
      <w:r>
        <w:rPr>
          <w:rStyle w:val="69"/>
          <w:rFonts w:hint="eastAsia" w:ascii="仿宋_GB2312"/>
          <w:szCs w:val="32"/>
        </w:rPr>
        <w:t>——坚持以人民为中心。</w:t>
      </w:r>
      <w:r>
        <w:rPr>
          <w:rFonts w:hint="eastAsia" w:ascii="仿宋_GB2312"/>
        </w:rPr>
        <w:t>人民群众是历史的创造者，是社会实践的主体。必须始终坚持发展为了人民，发展依靠人民，发展成果由人民共享，尊重人民首创精神，保障人民权益，增进人民福祉，坚持不懈保障和改善民生，促进人的全面发展。</w:t>
      </w:r>
    </w:p>
    <w:p>
      <w:pPr>
        <w:spacing w:line="580" w:lineRule="exact"/>
        <w:ind w:firstLine="643"/>
        <w:rPr>
          <w:rFonts w:ascii="仿宋_GB2312"/>
        </w:rPr>
      </w:pPr>
      <w:r>
        <w:rPr>
          <w:rStyle w:val="69"/>
          <w:rFonts w:hint="eastAsia" w:ascii="仿宋_GB2312"/>
          <w:szCs w:val="32"/>
        </w:rPr>
        <w:t>——坚持新发展理念。</w:t>
      </w:r>
      <w:r>
        <w:rPr>
          <w:rFonts w:hint="eastAsia" w:ascii="仿宋_GB2312"/>
        </w:rPr>
        <w:t>坚持把创新、协调、绿色、开放、共享的发展理念贯穿我县经济社会发展全过程和各领域，坚定不移推动新旧动能转换，以质量变革、效率变革、动力变革为统揽，加快构建现代产业体系，实现更高质量、更有效率、更可持续、更加绿色、更加公平、更为安全的经济社会发展。</w:t>
      </w:r>
    </w:p>
    <w:p>
      <w:pPr>
        <w:spacing w:line="580" w:lineRule="exact"/>
        <w:ind w:firstLine="643"/>
        <w:rPr>
          <w:rFonts w:ascii="仿宋_GB2312"/>
          <w:bCs/>
        </w:rPr>
      </w:pPr>
      <w:r>
        <w:rPr>
          <w:rStyle w:val="69"/>
          <w:rFonts w:hint="eastAsia" w:ascii="仿宋_GB2312"/>
          <w:szCs w:val="32"/>
        </w:rPr>
        <w:t>——坚持主动融入新发展格局。</w:t>
      </w:r>
      <w:r>
        <w:rPr>
          <w:rStyle w:val="69"/>
          <w:rFonts w:hint="eastAsia" w:ascii="仿宋_GB2312"/>
          <w:b w:val="0"/>
          <w:bCs/>
          <w:szCs w:val="32"/>
        </w:rPr>
        <w:t>抓住扩大内需战略基点，使生产、分配、流动、消费更多依托国内市场，积极融入黄河流域生态保护和高质量发展、京津冀协同发展、中原经济区、省会经济圈一体化发展等重大区域发展战略，全面</w:t>
      </w:r>
      <w:r>
        <w:rPr>
          <w:rFonts w:hint="eastAsia" w:ascii="仿宋_GB2312"/>
        </w:rPr>
        <w:t>提升冠县发展整体效能。</w:t>
      </w:r>
    </w:p>
    <w:p>
      <w:pPr>
        <w:spacing w:line="620" w:lineRule="exact"/>
        <w:ind w:firstLine="643"/>
      </w:pPr>
      <w:r>
        <w:rPr>
          <w:rStyle w:val="69"/>
          <w:rFonts w:hint="eastAsia" w:ascii="仿宋_GB2312"/>
          <w:szCs w:val="32"/>
        </w:rPr>
        <w:t>——坚持深化改革开放。</w:t>
      </w:r>
      <w:r>
        <w:rPr>
          <w:rFonts w:hint="eastAsia" w:ascii="仿宋_GB2312"/>
        </w:rPr>
        <w:t>深入推进重点领域和关键环节改革，着力破解制约经济社会发展的体制机制障碍，进一步解放和发展社会生产力，解放和增强社会活力。把开放合作做为提升冠县发展新优势、提高区域竞争力的重要途径，优化发展环境，构建开放合作平台。</w:t>
      </w:r>
    </w:p>
    <w:p>
      <w:pPr>
        <w:spacing w:line="610" w:lineRule="exact"/>
        <w:ind w:firstLine="643"/>
        <w:rPr>
          <w:rFonts w:ascii="仿宋_GB2312"/>
        </w:rPr>
      </w:pPr>
      <w:r>
        <w:rPr>
          <w:rStyle w:val="69"/>
          <w:rFonts w:hint="eastAsia" w:ascii="仿宋_GB2312"/>
          <w:szCs w:val="32"/>
        </w:rPr>
        <w:t>——坚持系统观念。</w:t>
      </w:r>
      <w:r>
        <w:rPr>
          <w:rFonts w:hint="eastAsia" w:ascii="仿宋_GB2312"/>
        </w:rPr>
        <w:t>加强全县经济社会发展的前瞻性思考、全局性谋划、战略性布局、整体性推进，加强政策配合，统筹稳增长、促改革、调结构、惠民生、防风险、保稳定，着力固根基、扬优势、补短板、强弱项，实现发展规模、速度、质量、结构、效益、安全相统一。</w:t>
      </w:r>
      <w:bookmarkStart w:id="19" w:name="_Toc60646168"/>
    </w:p>
    <w:p>
      <w:pPr>
        <w:pStyle w:val="3"/>
        <w:spacing w:before="437" w:beforeLines="100" w:after="437" w:afterLines="100" w:line="610" w:lineRule="exact"/>
        <w:rPr>
          <w:rFonts w:ascii="黑体" w:hAnsi="黑体" w:eastAsia="黑体" w:cs="黑体"/>
          <w:b w:val="0"/>
        </w:rPr>
      </w:pPr>
      <w:r>
        <w:rPr>
          <w:rFonts w:hint="eastAsia" w:ascii="黑体" w:hAnsi="黑体" w:eastAsia="黑体" w:cs="黑体"/>
          <w:b w:val="0"/>
        </w:rPr>
        <w:t>第四章</w:t>
      </w:r>
      <w:bookmarkEnd w:id="19"/>
      <w:r>
        <w:rPr>
          <w:rFonts w:hint="eastAsia" w:ascii="黑体" w:hAnsi="黑体" w:eastAsia="黑体" w:cs="黑体"/>
          <w:b w:val="0"/>
        </w:rPr>
        <w:t xml:space="preserve"> </w:t>
      </w:r>
      <w:r>
        <w:rPr>
          <w:rFonts w:ascii="黑体" w:hAnsi="黑体" w:eastAsia="黑体" w:cs="黑体"/>
          <w:b w:val="0"/>
        </w:rPr>
        <w:t xml:space="preserve"> </w:t>
      </w:r>
      <w:r>
        <w:rPr>
          <w:rFonts w:hint="eastAsia" w:ascii="黑体" w:hAnsi="黑体" w:eastAsia="黑体" w:cs="黑体"/>
          <w:b w:val="0"/>
        </w:rPr>
        <w:t>发展目标</w:t>
      </w:r>
    </w:p>
    <w:p>
      <w:pPr>
        <w:pStyle w:val="3"/>
        <w:spacing w:before="218" w:after="218" w:line="610" w:lineRule="exact"/>
        <w:rPr>
          <w:rFonts w:ascii="楷体_GB2312" w:hAnsi="楷体_GB2312" w:eastAsia="楷体_GB2312" w:cs="楷体_GB2312"/>
          <w:b w:val="0"/>
        </w:rPr>
      </w:pPr>
      <w:r>
        <w:rPr>
          <w:rFonts w:hint="eastAsia" w:ascii="楷体_GB2312" w:hAnsi="楷体_GB2312" w:eastAsia="楷体_GB2312" w:cs="楷体_GB2312"/>
          <w:b w:val="0"/>
        </w:rPr>
        <w:t xml:space="preserve">第一节 </w:t>
      </w:r>
      <w:r>
        <w:rPr>
          <w:rFonts w:ascii="楷体_GB2312" w:hAnsi="楷体_GB2312" w:eastAsia="楷体_GB2312" w:cs="楷体_GB2312"/>
          <w:b w:val="0"/>
        </w:rPr>
        <w:t xml:space="preserve"> </w:t>
      </w:r>
      <w:r>
        <w:rPr>
          <w:rFonts w:hint="eastAsia" w:ascii="楷体_GB2312" w:hAnsi="楷体_GB2312" w:eastAsia="楷体_GB2312" w:cs="楷体_GB2312"/>
          <w:b w:val="0"/>
        </w:rPr>
        <w:t>“十四五”时期经济社会发展主要目标</w:t>
      </w:r>
    </w:p>
    <w:p>
      <w:pPr>
        <w:spacing w:line="610" w:lineRule="exact"/>
        <w:ind w:firstLine="640"/>
        <w:rPr>
          <w:rFonts w:ascii="仿宋_GB2312"/>
        </w:rPr>
      </w:pPr>
      <w:r>
        <w:rPr>
          <w:rFonts w:hint="eastAsia" w:ascii="仿宋_GB2312"/>
        </w:rPr>
        <w:t>到</w:t>
      </w:r>
      <w:r>
        <w:rPr>
          <w:rFonts w:ascii="仿宋_GB2312"/>
        </w:rPr>
        <w:t>2025</w:t>
      </w:r>
      <w:r>
        <w:rPr>
          <w:rFonts w:hint="eastAsia" w:ascii="仿宋_GB2312"/>
        </w:rPr>
        <w:t>年，全县综合实力迈上新台阶，基本建成支撑高质量发展的市场体系、产业体系、城乡区域协调发展体系、绿色发展体系、全面开放体系、民生保障体系，实现现代化建设新征程良好开局。</w:t>
      </w:r>
    </w:p>
    <w:p>
      <w:pPr>
        <w:spacing w:line="610" w:lineRule="exact"/>
        <w:ind w:firstLine="643"/>
        <w:rPr>
          <w:rFonts w:ascii="仿宋_GB2312"/>
          <w:color w:val="000000"/>
        </w:rPr>
      </w:pPr>
      <w:r>
        <w:rPr>
          <w:rStyle w:val="69"/>
          <w:rFonts w:hint="eastAsia" w:ascii="仿宋_GB2312"/>
          <w:bCs/>
          <w:color w:val="000000"/>
          <w:szCs w:val="32"/>
        </w:rPr>
        <w:t>——经济实力稳步提升。</w:t>
      </w:r>
      <w:r>
        <w:rPr>
          <w:rFonts w:hint="eastAsia" w:ascii="仿宋_GB2312"/>
          <w:color w:val="000000"/>
        </w:rPr>
        <w:t>坚持高质量发展导向，全县经济保持平稳较快增长，主要经济指标年均增速高于全市平均水平。城乡融合、区域协调发展水平显著提高。现代化经济体系和强大市场机制更趋成熟。</w:t>
      </w:r>
    </w:p>
    <w:p>
      <w:pPr>
        <w:spacing w:line="610" w:lineRule="exact"/>
        <w:ind w:firstLine="643"/>
        <w:rPr>
          <w:rFonts w:ascii="仿宋_GB2312"/>
          <w:color w:val="000000"/>
        </w:rPr>
      </w:pPr>
      <w:r>
        <w:rPr>
          <w:rStyle w:val="69"/>
          <w:rFonts w:hint="eastAsia" w:ascii="仿宋_GB2312"/>
          <w:bCs/>
          <w:color w:val="000000"/>
          <w:szCs w:val="32"/>
        </w:rPr>
        <w:t>——发展质效持续改善。</w:t>
      </w:r>
      <w:r>
        <w:rPr>
          <w:rFonts w:hint="eastAsia" w:ascii="仿宋_GB2312"/>
          <w:color w:val="000000"/>
        </w:rPr>
        <w:t>全县新旧动能实现平稳接续、协同发力，“四新”经济、九大产业集群蓬勃发展，研发经费支出占生产总值比重明显提高，基本形成新动能主导经济发展的新格局，经济发展的质量和效益明显提升，现代产业体系建设和高质量发展取得重大突破。</w:t>
      </w:r>
    </w:p>
    <w:p>
      <w:pPr>
        <w:spacing w:line="600" w:lineRule="exact"/>
        <w:ind w:firstLine="643"/>
        <w:rPr>
          <w:color w:val="000000"/>
        </w:rPr>
      </w:pPr>
      <w:r>
        <w:rPr>
          <w:rStyle w:val="69"/>
          <w:rFonts w:hint="eastAsia" w:ascii="仿宋_GB2312"/>
          <w:bCs/>
          <w:color w:val="000000"/>
          <w:szCs w:val="32"/>
        </w:rPr>
        <w:t>——生态环境不断优化。</w:t>
      </w:r>
      <w:r>
        <w:rPr>
          <w:rFonts w:hint="eastAsia" w:ascii="仿宋_GB2312"/>
          <w:color w:val="000000"/>
        </w:rPr>
        <w:t>主体功能区战略和制度深入实施，国土空间规划体系初步建立。能源资源配置更加合理、利用效率大幅提高，主要污染物排放总量大幅减少。城乡环境优美宜居，人与自然和谐共生</w:t>
      </w:r>
      <w:r>
        <w:rPr>
          <w:rFonts w:hint="eastAsia"/>
          <w:color w:val="000000"/>
        </w:rPr>
        <w:t>。</w:t>
      </w:r>
    </w:p>
    <w:p>
      <w:pPr>
        <w:spacing w:line="600" w:lineRule="exact"/>
        <w:ind w:firstLine="643"/>
        <w:rPr>
          <w:color w:val="000000"/>
        </w:rPr>
      </w:pPr>
      <w:r>
        <w:rPr>
          <w:rStyle w:val="69"/>
          <w:rFonts w:hint="eastAsia" w:ascii="仿宋_GB2312"/>
          <w:bCs/>
          <w:color w:val="000000"/>
          <w:szCs w:val="32"/>
        </w:rPr>
        <w:t>——改革开放深入推进。</w:t>
      </w:r>
      <w:r>
        <w:rPr>
          <w:rFonts w:hint="eastAsia" w:ascii="仿宋_GB2312"/>
          <w:color w:val="000000"/>
        </w:rPr>
        <w:t>产权制度、要素市场、创新发展等重点改革率先突破，流程再造、</w:t>
      </w:r>
      <w:r>
        <w:rPr>
          <w:rFonts w:hint="eastAsia"/>
          <w:color w:val="000000"/>
        </w:rPr>
        <w:t>“放管服”改革持续取得新成效，保护发展、服务发展、支持发展的法治体系更加完善，诚信建设成效突出。主动融入“一带一路”、黄河流域生态保护和高质量发展等战略，推动对内对外开放相互促进，构建开放型经济新体制。</w:t>
      </w:r>
    </w:p>
    <w:p>
      <w:pPr>
        <w:spacing w:line="600" w:lineRule="exact"/>
        <w:ind w:firstLine="643"/>
        <w:rPr>
          <w:rStyle w:val="69"/>
          <w:rFonts w:ascii="仿宋_GB2312"/>
          <w:b w:val="0"/>
          <w:bCs/>
          <w:color w:val="000000"/>
          <w:szCs w:val="32"/>
        </w:rPr>
      </w:pPr>
      <w:r>
        <w:rPr>
          <w:rStyle w:val="69"/>
          <w:rFonts w:hint="eastAsia" w:ascii="仿宋_GB2312"/>
          <w:bCs/>
          <w:color w:val="000000"/>
          <w:szCs w:val="32"/>
        </w:rPr>
        <w:t>——治理效能显著增强。</w:t>
      </w:r>
      <w:r>
        <w:rPr>
          <w:rStyle w:val="69"/>
          <w:rFonts w:hint="eastAsia" w:ascii="仿宋_GB2312"/>
          <w:b w:val="0"/>
          <w:color w:val="000000"/>
          <w:szCs w:val="32"/>
        </w:rPr>
        <w:t>法治</w:t>
      </w:r>
      <w:r>
        <w:rPr>
          <w:rStyle w:val="69"/>
          <w:rFonts w:hint="eastAsia" w:ascii="仿宋_GB2312"/>
          <w:b w:val="0"/>
          <w:bCs/>
          <w:color w:val="000000"/>
          <w:szCs w:val="32"/>
        </w:rPr>
        <w:t>政府建设取得新的更大进步，治理法治化、制度化、规范化、程序化、信息化水平稳步提升，城市治理体系和治理能力现代化迈上新台阶。人民民主不断扩大，广泛多层制度化的协商民主深入发展，社会更加公平正义。</w:t>
      </w:r>
    </w:p>
    <w:p>
      <w:pPr>
        <w:spacing w:line="600" w:lineRule="exact"/>
        <w:ind w:firstLine="643"/>
        <w:rPr>
          <w:rFonts w:ascii="黑体" w:hAnsi="黑体" w:eastAsia="黑体" w:cs="黑体"/>
          <w:szCs w:val="32"/>
        </w:rPr>
      </w:pPr>
      <w:r>
        <w:rPr>
          <w:rStyle w:val="69"/>
          <w:rFonts w:hint="eastAsia" w:ascii="仿宋_GB2312"/>
          <w:bCs/>
          <w:color w:val="000000"/>
          <w:szCs w:val="32"/>
        </w:rPr>
        <w:t>——人民生活更加美好。</w:t>
      </w:r>
      <w:r>
        <w:rPr>
          <w:rFonts w:hint="eastAsia"/>
          <w:color w:val="000000"/>
        </w:rPr>
        <w:t>社会主义核心价值观更加深入人心，公民文化素质和社会文明程度明显提升。就业、教育、文化、社保、卫生健康、住房保障等公共服务体系更加健全，基本公共服务均等化水平持续提升。人民生活水平和质量普遍提高，城乡居民收入差距进一步缩小，低收入群体收入持续较快增长。</w:t>
      </w:r>
      <w:bookmarkStart w:id="20" w:name="_Toc60646169"/>
    </w:p>
    <w:p>
      <w:pPr>
        <w:pStyle w:val="3"/>
        <w:spacing w:before="218" w:after="218" w:line="600" w:lineRule="exact"/>
        <w:rPr>
          <w:rFonts w:hint="default" w:ascii="楷体_GB2312" w:hAnsi="楷体_GB2312" w:eastAsia="楷体_GB2312" w:cs="楷体_GB2312"/>
          <w:b w:val="0"/>
          <w:lang w:val="en"/>
        </w:rPr>
      </w:pPr>
      <w:r>
        <w:rPr>
          <w:rFonts w:hint="eastAsia" w:ascii="楷体_GB2312" w:hAnsi="楷体_GB2312" w:eastAsia="楷体_GB2312" w:cs="楷体_GB2312"/>
          <w:b w:val="0"/>
        </w:rPr>
        <w:t xml:space="preserve">第二节 </w:t>
      </w:r>
      <w:r>
        <w:rPr>
          <w:rFonts w:ascii="楷体_GB2312" w:hAnsi="楷体_GB2312" w:eastAsia="楷体_GB2312" w:cs="楷体_GB2312"/>
          <w:b w:val="0"/>
        </w:rPr>
        <w:t xml:space="preserve"> </w:t>
      </w:r>
      <w:r>
        <w:rPr>
          <w:rFonts w:hint="default" w:ascii="楷体_GB2312" w:hAnsi="楷体_GB2312" w:eastAsia="楷体_GB2312" w:cs="楷体_GB2312"/>
          <w:b w:val="0"/>
          <w:lang w:val="en"/>
        </w:rPr>
        <w:t>二〇三五年远景目标</w:t>
      </w:r>
    </w:p>
    <w:bookmarkEnd w:id="20"/>
    <w:p>
      <w:pPr>
        <w:widowControl w:val="0"/>
        <w:spacing w:before="120" w:line="600" w:lineRule="exact"/>
        <w:ind w:right="-35" w:rightChars="-11" w:firstLine="640"/>
        <w:textAlignment w:val="baseline"/>
        <w:rPr>
          <w:rFonts w:ascii="仿宋_GB2312" w:cs="仿宋_GB2312"/>
          <w:color w:val="000000"/>
        </w:rPr>
      </w:pPr>
      <w:r>
        <w:rPr>
          <w:rFonts w:hint="eastAsia" w:ascii="仿宋_GB2312" w:hAnsi="仿宋_GB2312" w:cs="仿宋_GB2312"/>
          <w:color w:val="000000"/>
        </w:rPr>
        <w:t>中央部署，到二○三五年我国基本实现社会主义现代化，到本世纪中叶把我国建成富强民主文明和谐美丽的社会主义现代化强国。省委要求，到二○三五年我省基本建成新时代现代化强省。市委提出，到二○三五年我市基本建成新时代现代化强市。落实新任务新要求，冠县必须攻坚克难、主动作为，在社会主义现代化建设中争先创优，全面开创新时代现代化强县新局面。展望二○三五年，我县经济实力、科技实力、综合竞争力将大幅跃升，经济总量和人均地区生产总值实现大的跨越；基本实现新型工业化、信息化、城镇化、农业现代化，建成现代产业体系；基本实现治理体系和治理能力现代化，基本建成法治冠县、法治政府、法治社会，建成更高水平的平安冠县；文化软实力显著增强，国民素质和社会文明程度达到新高度；绿色生产生活方式广泛形成，与全市同步实现碳排放达峰，生态环境根本好转，美丽冠县目标基本实现；形成对外开放新格局，参与“双循环”合作和竞争新优势明显增强；城乡居民人均收入迈上新的大台阶，城乡发展差距和居民生活水平差距显著缩小，基本公共服务实现均等化；人民生活更加美好，人的全面发展、全体人民共同富裕取得更为明显的实质性进展，充分展示现代化建设丰硕成果。</w:t>
      </w:r>
    </w:p>
    <w:p>
      <w:pPr>
        <w:widowControl w:val="0"/>
        <w:spacing w:before="120" w:line="620" w:lineRule="exact"/>
        <w:ind w:right="-35" w:rightChars="-11" w:firstLine="0" w:firstLineChars="0"/>
        <w:jc w:val="center"/>
        <w:textAlignment w:val="baseline"/>
        <w:rPr>
          <w:rFonts w:ascii="黑体" w:hAnsi="黑体" w:eastAsia="黑体" w:cs="黑体"/>
        </w:rPr>
      </w:pPr>
      <w:r>
        <w:rPr>
          <w:rFonts w:hint="eastAsia" w:ascii="黑体" w:hAnsi="黑体" w:eastAsia="黑体" w:cs="黑体"/>
        </w:rPr>
        <w:t xml:space="preserve">第五章 </w:t>
      </w:r>
      <w:r>
        <w:rPr>
          <w:rFonts w:ascii="黑体" w:hAnsi="黑体" w:eastAsia="黑体" w:cs="黑体"/>
        </w:rPr>
        <w:t xml:space="preserve"> </w:t>
      </w:r>
      <w:r>
        <w:rPr>
          <w:rFonts w:hint="eastAsia" w:ascii="黑体" w:hAnsi="黑体" w:eastAsia="黑体" w:cs="黑体"/>
        </w:rPr>
        <w:t>发展定位</w:t>
      </w:r>
      <w:bookmarkEnd w:id="16"/>
      <w:bookmarkEnd w:id="17"/>
      <w:bookmarkEnd w:id="18"/>
    </w:p>
    <w:p>
      <w:pPr>
        <w:widowControl w:val="0"/>
        <w:spacing w:before="120" w:line="620" w:lineRule="exact"/>
        <w:ind w:right="-35" w:rightChars="-11" w:firstLine="640"/>
        <w:textAlignment w:val="baseline"/>
        <w:rPr>
          <w:rFonts w:ascii="仿宋_GB2312"/>
        </w:rPr>
      </w:pPr>
      <w:r>
        <w:rPr>
          <w:rFonts w:hint="eastAsia" w:ascii="仿宋_GB2312"/>
        </w:rPr>
        <w:t>经过</w:t>
      </w:r>
      <w:r>
        <w:rPr>
          <w:rFonts w:ascii="仿宋_GB2312"/>
        </w:rPr>
        <w:t>5</w:t>
      </w:r>
      <w:r>
        <w:rPr>
          <w:rFonts w:hint="eastAsia" w:ascii="仿宋_GB2312"/>
        </w:rPr>
        <w:t>年乃至更长时间努力，将我县建设成为综合实力较强、产业特色鲜明、宜居宜业宜游的有影响力的冀鲁豫三省交界</w:t>
      </w:r>
      <w:r>
        <w:rPr>
          <w:rFonts w:hint="eastAsia" w:ascii="仿宋_GB2312"/>
          <w:color w:val="000000"/>
        </w:rPr>
        <w:t>区域性节点城市，</w:t>
      </w:r>
      <w:r>
        <w:rPr>
          <w:rFonts w:hint="eastAsia" w:ascii="仿宋_GB2312"/>
        </w:rPr>
        <w:t>积极打造高质量发展先行区、引领区、示范区。</w:t>
      </w:r>
    </w:p>
    <w:p>
      <w:pPr>
        <w:spacing w:line="600" w:lineRule="exact"/>
        <w:ind w:firstLine="640"/>
        <w:rPr>
          <w:color w:val="FF0000"/>
        </w:rPr>
      </w:pPr>
      <w:r>
        <w:rPr>
          <w:rFonts w:hint="eastAsia"/>
        </w:rPr>
        <w:t>——</w:t>
      </w:r>
      <w:r>
        <w:rPr>
          <w:rStyle w:val="26"/>
          <w:rFonts w:hint="eastAsia" w:ascii="仿宋_GB2312" w:eastAsia="仿宋_GB2312"/>
        </w:rPr>
        <w:t>济聊城镇发展轴西部门户城市。</w:t>
      </w:r>
      <w:r>
        <w:rPr>
          <w:rFonts w:hint="eastAsia"/>
        </w:rPr>
        <w:t>紧抓京津冀城市群、山东半岛城市群、中原城市群三大城市群交汇地带的战略机遇，</w:t>
      </w:r>
      <w:r>
        <w:rPr>
          <w:rFonts w:hint="eastAsia"/>
          <w:color w:val="000000"/>
        </w:rPr>
        <w:t>加快建设经济繁荣、城市文明、文化先进、环境优美、制度完善、治理有效、社会和谐的鲁西门户城市。</w:t>
      </w:r>
    </w:p>
    <w:p>
      <w:pPr>
        <w:spacing w:line="600" w:lineRule="exact"/>
        <w:ind w:firstLine="640"/>
      </w:pPr>
      <w:bookmarkStart w:id="21" w:name="_Hlk60684707"/>
      <w:r>
        <w:rPr>
          <w:rFonts w:hint="eastAsia" w:ascii="仿宋_GB2312"/>
          <w:bCs/>
        </w:rPr>
        <w:t>——</w:t>
      </w:r>
      <w:r>
        <w:rPr>
          <w:rStyle w:val="26"/>
          <w:rFonts w:hint="eastAsia" w:ascii="仿宋_GB2312" w:eastAsia="仿宋_GB2312"/>
          <w:bCs/>
        </w:rPr>
        <w:t>冀鲁豫三省交界</w:t>
      </w:r>
      <w:bookmarkEnd w:id="21"/>
      <w:r>
        <w:rPr>
          <w:rStyle w:val="26"/>
          <w:rFonts w:hint="eastAsia" w:ascii="仿宋_GB2312" w:eastAsia="仿宋_GB2312"/>
          <w:bCs/>
        </w:rPr>
        <w:t>现代制造业基地。</w:t>
      </w:r>
      <w:r>
        <w:rPr>
          <w:rFonts w:hint="eastAsia"/>
        </w:rPr>
        <w:t>以新旧动能转换重大工程和产业突破工程为抓手，以推行产业链“链长制”为突破口，力促精品钢板、纺织服装等产业转型升级，抢抓新材料等战略性新兴产业发展机遇，壮大产业规模、提高产业影响力，建成冀鲁豫三省交界具有示范效应的现代制造业基地。</w:t>
      </w:r>
    </w:p>
    <w:p>
      <w:pPr>
        <w:spacing w:line="600" w:lineRule="exact"/>
        <w:ind w:firstLine="640"/>
        <w:rPr>
          <w:color w:val="000000"/>
        </w:rPr>
      </w:pPr>
      <w:r>
        <w:rPr>
          <w:rFonts w:hint="eastAsia"/>
        </w:rPr>
        <w:t>——</w:t>
      </w:r>
      <w:r>
        <w:rPr>
          <w:rStyle w:val="26"/>
          <w:rFonts w:hint="eastAsia" w:ascii="仿宋_GB2312" w:eastAsia="仿宋_GB2312"/>
        </w:rPr>
        <w:t>冀鲁豫三省交界</w:t>
      </w:r>
      <w:r>
        <w:rPr>
          <w:rFonts w:hint="eastAsia"/>
          <w:b/>
          <w:bCs/>
        </w:rPr>
        <w:t>产城融合生态发展示范区。</w:t>
      </w:r>
      <w:r>
        <w:rPr>
          <w:rFonts w:hint="eastAsia"/>
        </w:rPr>
        <w:t>以县经济开发区为平台，</w:t>
      </w:r>
      <w:r>
        <w:rPr>
          <w:rFonts w:hint="eastAsia"/>
          <w:color w:val="000000"/>
        </w:rPr>
        <w:t>加快推进产城融合，提高土地供给水平，加快建设鲁西数字产城融合发展新区，全力打造冀鲁豫三省交界产城融合生态发展示范区。</w:t>
      </w:r>
    </w:p>
    <w:p>
      <w:pPr>
        <w:spacing w:line="600" w:lineRule="exact"/>
        <w:ind w:firstLine="643"/>
        <w:rPr>
          <w:rFonts w:ascii="仿宋_GB2312"/>
          <w:color w:val="000000"/>
        </w:rPr>
      </w:pPr>
      <w:r>
        <w:rPr>
          <w:rFonts w:hint="eastAsia"/>
          <w:b/>
          <w:bCs/>
        </w:rPr>
        <w:t>——区域性优质农产品供应基地</w:t>
      </w:r>
      <w:r>
        <w:rPr>
          <w:rFonts w:hint="eastAsia"/>
        </w:rPr>
        <w:t>。以实施乡村振兴战略和推动农业高质量发展为抓手，</w:t>
      </w:r>
      <w:r>
        <w:rPr>
          <w:rFonts w:hint="eastAsia" w:ascii="仿宋_GB2312"/>
          <w:color w:val="000000"/>
        </w:rPr>
        <w:t>加强新品种、新技术推广，突出林果、蔬菜、畜牧等主导产业，推动农业重点项目建设，打造京津冀优质农产品供应基地。</w:t>
      </w:r>
    </w:p>
    <w:p>
      <w:pPr>
        <w:spacing w:line="600" w:lineRule="exact"/>
        <w:ind w:firstLine="643"/>
      </w:pPr>
      <w:r>
        <w:rPr>
          <w:rFonts w:hint="eastAsia"/>
          <w:b/>
          <w:bCs/>
        </w:rPr>
        <w:t>——区域性文旅康养目的地城市。</w:t>
      </w:r>
      <w:r>
        <w:rPr>
          <w:rFonts w:hint="eastAsia"/>
        </w:rPr>
        <w:t>突出梨园、温泉、灵芝、森林特色，大力发展文化旅游、医养健康产业，打造辐射冀鲁豫、中原经济区的旅游目的地、康养胜地。</w:t>
      </w:r>
    </w:p>
    <w:bookmarkEnd w:id="15"/>
    <w:p>
      <w:pPr>
        <w:ind w:firstLine="0" w:firstLineChars="0"/>
        <w:jc w:val="center"/>
        <w:rPr>
          <w:rFonts w:ascii="黑体" w:hAnsi="黑体" w:eastAsia="黑体" w:cs="黑体"/>
          <w:sz w:val="36"/>
          <w:szCs w:val="36"/>
        </w:rPr>
      </w:pPr>
      <w:bookmarkStart w:id="22" w:name="_Hlk70672208"/>
      <w:bookmarkStart w:id="23" w:name="_Hlk70672712"/>
      <w:bookmarkStart w:id="24" w:name="_Toc60646170"/>
      <w:r>
        <w:rPr>
          <w:rFonts w:hint="eastAsia" w:ascii="黑体" w:hAnsi="黑体" w:eastAsia="黑体" w:cs="黑体"/>
          <w:sz w:val="36"/>
          <w:szCs w:val="36"/>
        </w:rPr>
        <w:t>“十四五”时期冠县经济社会发展主要指标</w:t>
      </w:r>
    </w:p>
    <w:bookmarkEnd w:id="22"/>
    <w:p>
      <w:pPr>
        <w:ind w:firstLine="640"/>
        <w:jc w:val="center"/>
        <w:rPr>
          <w:rFonts w:ascii="楷体_GB2312" w:hAnsi="楷体_GB2312" w:eastAsia="楷体_GB2312" w:cs="楷体_GB2312"/>
          <w:szCs w:val="32"/>
        </w:rPr>
      </w:pPr>
    </w:p>
    <w:tbl>
      <w:tblPr>
        <w:tblStyle w:val="24"/>
        <w:tblW w:w="10005" w:type="dxa"/>
        <w:tblInd w:w="-4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4125"/>
        <w:gridCol w:w="1106"/>
        <w:gridCol w:w="1504"/>
        <w:gridCol w:w="1530"/>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spacing w:line="460" w:lineRule="exact"/>
              <w:ind w:firstLine="0" w:firstLineChars="0"/>
              <w:jc w:val="center"/>
              <w:rPr>
                <w:rFonts w:ascii="黑体" w:hAnsi="黑体" w:eastAsia="黑体" w:cs="黑体"/>
                <w:sz w:val="24"/>
              </w:rPr>
            </w:pPr>
            <w:r>
              <w:rPr>
                <w:rFonts w:hint="eastAsia" w:ascii="黑体" w:hAnsi="黑体" w:eastAsia="黑体" w:cs="黑体"/>
                <w:sz w:val="24"/>
                <w:szCs w:val="24"/>
              </w:rPr>
              <w:t>类别</w:t>
            </w:r>
          </w:p>
        </w:tc>
        <w:tc>
          <w:tcPr>
            <w:tcW w:w="4125" w:type="dxa"/>
            <w:vAlign w:val="center"/>
          </w:tcPr>
          <w:p>
            <w:pPr>
              <w:spacing w:line="460" w:lineRule="exact"/>
              <w:ind w:firstLine="0" w:firstLineChars="0"/>
              <w:jc w:val="center"/>
              <w:rPr>
                <w:rFonts w:ascii="黑体" w:hAnsi="黑体" w:eastAsia="黑体" w:cs="黑体"/>
                <w:sz w:val="24"/>
              </w:rPr>
            </w:pPr>
            <w:r>
              <w:rPr>
                <w:rFonts w:hint="eastAsia" w:ascii="黑体" w:hAnsi="黑体" w:eastAsia="黑体" w:cs="黑体"/>
                <w:sz w:val="24"/>
                <w:szCs w:val="24"/>
              </w:rPr>
              <w:t>指标</w:t>
            </w:r>
          </w:p>
        </w:tc>
        <w:tc>
          <w:tcPr>
            <w:tcW w:w="1106" w:type="dxa"/>
            <w:vAlign w:val="center"/>
          </w:tcPr>
          <w:p>
            <w:pPr>
              <w:spacing w:line="460" w:lineRule="exact"/>
              <w:ind w:firstLine="0" w:firstLineChars="0"/>
              <w:jc w:val="center"/>
              <w:rPr>
                <w:rFonts w:ascii="黑体" w:hAnsi="黑体" w:eastAsia="黑体" w:cs="黑体"/>
                <w:sz w:val="24"/>
              </w:rPr>
            </w:pPr>
            <w:r>
              <w:rPr>
                <w:rFonts w:hint="eastAsia" w:ascii="黑体" w:hAnsi="黑体" w:eastAsia="黑体" w:cs="黑体"/>
                <w:sz w:val="24"/>
                <w:szCs w:val="24"/>
              </w:rPr>
              <w:t>2020年</w:t>
            </w:r>
          </w:p>
        </w:tc>
        <w:tc>
          <w:tcPr>
            <w:tcW w:w="1504" w:type="dxa"/>
            <w:vAlign w:val="center"/>
          </w:tcPr>
          <w:p>
            <w:pPr>
              <w:spacing w:line="460" w:lineRule="exact"/>
              <w:ind w:firstLine="0" w:firstLineChars="0"/>
              <w:jc w:val="center"/>
              <w:rPr>
                <w:rFonts w:ascii="黑体" w:hAnsi="黑体" w:eastAsia="黑体" w:cs="黑体"/>
                <w:sz w:val="24"/>
              </w:rPr>
            </w:pPr>
            <w:r>
              <w:rPr>
                <w:rFonts w:hint="eastAsia" w:ascii="黑体" w:hAnsi="黑体" w:eastAsia="黑体" w:cs="黑体"/>
                <w:sz w:val="24"/>
                <w:szCs w:val="24"/>
              </w:rPr>
              <w:t>2025年</w:t>
            </w:r>
          </w:p>
        </w:tc>
        <w:tc>
          <w:tcPr>
            <w:tcW w:w="1530" w:type="dxa"/>
            <w:vAlign w:val="center"/>
          </w:tcPr>
          <w:p>
            <w:pPr>
              <w:spacing w:line="460" w:lineRule="exact"/>
              <w:ind w:firstLine="0" w:firstLineChars="0"/>
              <w:jc w:val="center"/>
              <w:rPr>
                <w:rFonts w:ascii="黑体" w:hAnsi="黑体" w:eastAsia="黑体" w:cs="黑体"/>
                <w:sz w:val="24"/>
              </w:rPr>
            </w:pPr>
            <w:r>
              <w:rPr>
                <w:rFonts w:hint="eastAsia" w:ascii="黑体" w:hAnsi="黑体" w:eastAsia="黑体" w:cs="黑体"/>
                <w:spacing w:val="-11"/>
                <w:sz w:val="24"/>
                <w:szCs w:val="24"/>
              </w:rPr>
              <w:t>年均/[累计]</w:t>
            </w:r>
          </w:p>
        </w:tc>
        <w:tc>
          <w:tcPr>
            <w:tcW w:w="1005" w:type="dxa"/>
            <w:vAlign w:val="center"/>
          </w:tcPr>
          <w:p>
            <w:pPr>
              <w:spacing w:line="460" w:lineRule="exact"/>
              <w:ind w:firstLine="0" w:firstLineChars="0"/>
              <w:jc w:val="center"/>
              <w:rPr>
                <w:rFonts w:ascii="黑体" w:hAnsi="黑体" w:eastAsia="黑体" w:cs="黑体"/>
                <w:sz w:val="24"/>
              </w:rPr>
            </w:pPr>
            <w:r>
              <w:rPr>
                <w:rFonts w:hint="eastAsia" w:ascii="黑体" w:hAnsi="黑体" w:eastAsia="黑体" w:cs="黑体"/>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restart"/>
            <w:vAlign w:val="center"/>
          </w:tcPr>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经济</w:t>
            </w:r>
          </w:p>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发展</w:t>
            </w: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地区生产总值增速（%）</w:t>
            </w:r>
          </w:p>
        </w:tc>
        <w:tc>
          <w:tcPr>
            <w:tcW w:w="1106"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4.3</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≥6</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“四新”经济增加值占比（%）</w:t>
            </w:r>
          </w:p>
        </w:tc>
        <w:tc>
          <w:tcPr>
            <w:tcW w:w="1106"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31.1</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2左右</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财政收入增长速度（%）</w:t>
            </w:r>
          </w:p>
        </w:tc>
        <w:tc>
          <w:tcPr>
            <w:tcW w:w="1106"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7.4</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30"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6</w:t>
            </w:r>
            <w:r>
              <w:rPr>
                <w:rFonts w:hint="eastAsia" w:ascii="仿宋_GB2312" w:hAnsi="仿宋_GB2312" w:cs="仿宋_GB2312"/>
                <w:sz w:val="24"/>
                <w:szCs w:val="24"/>
              </w:rPr>
              <w:t>左右</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固定资产投资增长速度（%）</w:t>
            </w:r>
          </w:p>
        </w:tc>
        <w:tc>
          <w:tcPr>
            <w:tcW w:w="1106"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10</w:t>
            </w:r>
            <w:r>
              <w:rPr>
                <w:rFonts w:hint="eastAsia" w:ascii="仿宋_GB2312" w:hAnsi="仿宋_GB2312" w:cs="仿宋_GB2312"/>
                <w:sz w:val="24"/>
                <w:szCs w:val="24"/>
              </w:rPr>
              <w:t>.8</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7</w:t>
            </w:r>
            <w:r>
              <w:rPr>
                <w:rFonts w:ascii="仿宋_GB2312" w:hAnsi="仿宋_GB2312" w:cs="仿宋_GB2312"/>
                <w:sz w:val="24"/>
                <w:szCs w:val="24"/>
              </w:rPr>
              <w:t>.5</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restart"/>
            <w:vAlign w:val="center"/>
          </w:tcPr>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创新</w:t>
            </w:r>
          </w:p>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驱动</w:t>
            </w: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研发经费投入增长（%）</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10左右</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研发支出与生产总值之比（%）</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2.5</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数字经济核心产业增加值占地区生产总值比重（%）</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高于全市平均水平</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每万人口高价值发明专利拥有量（个）</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4左右</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restart"/>
            <w:vAlign w:val="center"/>
          </w:tcPr>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绿色</w:t>
            </w:r>
          </w:p>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生态</w:t>
            </w: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单位地区生产总值能源消耗降低（%）</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Merge w:val="restart"/>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完成市分解任务</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单位地区生产总值二氧化碳排放量降低（%）</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Merge w:val="continue"/>
            <w:vAlign w:val="center"/>
          </w:tcPr>
          <w:p>
            <w:pPr>
              <w:spacing w:line="460" w:lineRule="exact"/>
              <w:ind w:firstLine="480"/>
              <w:jc w:val="center"/>
              <w:rPr>
                <w:rFonts w:ascii="仿宋_GB2312" w:hAnsi="仿宋_GB2312" w:cs="仿宋_GB2312"/>
                <w:sz w:val="24"/>
              </w:rPr>
            </w:pP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空气质量优良天数比率（%）</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Merge w:val="continue"/>
            <w:vAlign w:val="center"/>
          </w:tcPr>
          <w:p>
            <w:pPr>
              <w:spacing w:line="460" w:lineRule="exact"/>
              <w:ind w:firstLine="480"/>
              <w:jc w:val="center"/>
              <w:rPr>
                <w:rFonts w:ascii="仿宋_GB2312" w:hAnsi="仿宋_GB2312" w:cs="仿宋_GB2312"/>
                <w:sz w:val="24"/>
              </w:rPr>
            </w:pP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地表水达到或好于Ⅲ类水体比例（%）</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Merge w:val="continue"/>
            <w:vAlign w:val="center"/>
          </w:tcPr>
          <w:p>
            <w:pPr>
              <w:spacing w:line="460" w:lineRule="exact"/>
              <w:ind w:firstLine="480"/>
              <w:jc w:val="center"/>
              <w:rPr>
                <w:rFonts w:ascii="仿宋_GB2312" w:hAnsi="仿宋_GB2312" w:cs="仿宋_GB2312"/>
                <w:sz w:val="24"/>
              </w:rPr>
            </w:pP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森林覆盖率（%）</w:t>
            </w:r>
          </w:p>
        </w:tc>
        <w:tc>
          <w:tcPr>
            <w:tcW w:w="1106"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22.9</w:t>
            </w:r>
          </w:p>
        </w:tc>
        <w:tc>
          <w:tcPr>
            <w:tcW w:w="3034" w:type="dxa"/>
            <w:gridSpan w:val="2"/>
            <w:vMerge w:val="continue"/>
            <w:vAlign w:val="center"/>
          </w:tcPr>
          <w:p>
            <w:pPr>
              <w:spacing w:line="460" w:lineRule="exact"/>
              <w:ind w:firstLine="480"/>
              <w:jc w:val="center"/>
              <w:rPr>
                <w:rFonts w:ascii="仿宋_GB2312" w:hAnsi="仿宋_GB2312" w:cs="仿宋_GB2312"/>
                <w:sz w:val="24"/>
              </w:rPr>
            </w:pP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restart"/>
            <w:vAlign w:val="center"/>
          </w:tcPr>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民生福祉</w:t>
            </w: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居民人均可支配收入增长（%）</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4</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6左右</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城镇调查失业率（%）</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Align w:val="center"/>
          </w:tcPr>
          <w:p>
            <w:pPr>
              <w:spacing w:line="460" w:lineRule="exact"/>
              <w:ind w:firstLine="0" w:firstLineChars="0"/>
              <w:jc w:val="center"/>
              <w:rPr>
                <w:rFonts w:ascii="仿宋_GB2312" w:hAnsi="仿宋_GB2312" w:cs="仿宋_GB2312"/>
                <w:sz w:val="24"/>
                <w:szCs w:val="24"/>
              </w:rPr>
            </w:pPr>
            <w:r>
              <w:rPr>
                <w:rFonts w:hint="eastAsia" w:ascii="仿宋_GB2312" w:hAnsi="仿宋_GB2312" w:cs="仿宋_GB2312"/>
                <w:sz w:val="24"/>
                <w:szCs w:val="24"/>
              </w:rPr>
              <w:t>低</w:t>
            </w:r>
          </w:p>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于全省平均水平</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劳动年龄人口平均受教育年限（年）</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完成市分解任务</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每千人口拥有执业（助理）医师数（人）</w:t>
            </w:r>
          </w:p>
        </w:tc>
        <w:tc>
          <w:tcPr>
            <w:tcW w:w="1106"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1.63</w:t>
            </w:r>
          </w:p>
        </w:tc>
        <w:tc>
          <w:tcPr>
            <w:tcW w:w="1504"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2.03</w:t>
            </w:r>
          </w:p>
        </w:tc>
        <w:tc>
          <w:tcPr>
            <w:tcW w:w="1530"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4.5</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kern w:val="0"/>
                <w:sz w:val="24"/>
                <w:szCs w:val="24"/>
              </w:rPr>
              <w:t>基本养老保险参保人数（万人）</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kern w:val="0"/>
                <w:sz w:val="24"/>
                <w:szCs w:val="24"/>
              </w:rPr>
              <w:t>50.44</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kern w:val="0"/>
                <w:sz w:val="24"/>
                <w:szCs w:val="20"/>
              </w:rPr>
              <w:t>52.75</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kern w:val="0"/>
                <w:sz w:val="24"/>
                <w:szCs w:val="24"/>
              </w:rPr>
              <w:t>2.31</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kern w:val="0"/>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pacing w:val="-11"/>
                <w:sz w:val="24"/>
                <w:szCs w:val="24"/>
              </w:rPr>
            </w:pPr>
            <w:r>
              <w:rPr>
                <w:rFonts w:hint="eastAsia" w:ascii="仿宋_GB2312" w:hAnsi="仿宋_GB2312" w:cs="仿宋_GB2312"/>
                <w:spacing w:val="-11"/>
                <w:sz w:val="24"/>
                <w:szCs w:val="24"/>
              </w:rPr>
              <w:t>每千人口拥有3岁以下婴幼儿托位数（个）</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504"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4</w:t>
            </w:r>
            <w:r>
              <w:rPr>
                <w:rFonts w:ascii="仿宋_GB2312" w:hAnsi="仿宋_GB2312" w:cs="仿宋_GB2312"/>
                <w:sz w:val="24"/>
                <w:szCs w:val="24"/>
              </w:rPr>
              <w:t>.5</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005" w:type="dxa"/>
            <w:vAlign w:val="center"/>
          </w:tcPr>
          <w:p>
            <w:pPr>
              <w:spacing w:line="460" w:lineRule="exact"/>
              <w:ind w:firstLine="0" w:firstLineChars="0"/>
              <w:jc w:val="center"/>
              <w:rPr>
                <w:rFonts w:ascii="仿宋_GB2312" w:hAnsi="仿宋_GB2312" w:cs="仿宋_GB2312"/>
                <w:color w:val="C00000"/>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32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人均预期寿命（年）</w:t>
            </w:r>
          </w:p>
        </w:tc>
        <w:tc>
          <w:tcPr>
            <w:tcW w:w="1106"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77.5</w:t>
            </w:r>
          </w:p>
        </w:tc>
        <w:tc>
          <w:tcPr>
            <w:tcW w:w="1504" w:type="dxa"/>
            <w:vAlign w:val="center"/>
          </w:tcPr>
          <w:p>
            <w:pPr>
              <w:spacing w:line="460" w:lineRule="exact"/>
              <w:ind w:firstLine="0" w:firstLineChars="0"/>
              <w:jc w:val="center"/>
              <w:rPr>
                <w:rFonts w:ascii="仿宋_GB2312" w:hAnsi="仿宋_GB2312" w:cs="仿宋_GB2312"/>
                <w:sz w:val="24"/>
              </w:rPr>
            </w:pPr>
            <w:r>
              <w:rPr>
                <w:rFonts w:ascii="仿宋_GB2312" w:hAnsi="仿宋_GB2312" w:cs="仿宋_GB2312"/>
                <w:sz w:val="24"/>
                <w:szCs w:val="24"/>
              </w:rPr>
              <w:t>78</w:t>
            </w:r>
            <w:r>
              <w:rPr>
                <w:rFonts w:hint="eastAsia" w:ascii="仿宋_GB2312" w:hAnsi="仿宋_GB2312" w:cs="仿宋_GB2312"/>
                <w:sz w:val="24"/>
                <w:szCs w:val="24"/>
              </w:rPr>
              <w:t>左右</w:t>
            </w:r>
          </w:p>
        </w:tc>
        <w:tc>
          <w:tcPr>
            <w:tcW w:w="1530"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restart"/>
            <w:vAlign w:val="center"/>
          </w:tcPr>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安全</w:t>
            </w:r>
          </w:p>
          <w:p>
            <w:pPr>
              <w:spacing w:line="320" w:lineRule="exact"/>
              <w:ind w:firstLine="0" w:firstLineChars="0"/>
              <w:jc w:val="center"/>
              <w:rPr>
                <w:rFonts w:ascii="黑体" w:hAnsi="黑体" w:eastAsia="黑体" w:cs="黑体"/>
                <w:sz w:val="24"/>
              </w:rPr>
            </w:pPr>
            <w:r>
              <w:rPr>
                <w:rFonts w:hint="eastAsia" w:ascii="黑体" w:hAnsi="黑体" w:eastAsia="黑体" w:cs="黑体"/>
                <w:sz w:val="24"/>
                <w:szCs w:val="24"/>
              </w:rPr>
              <w:t>保障</w:t>
            </w: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粮食综合生产能力（万吨）</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Merge w:val="restart"/>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完成市分解任务</w:t>
            </w: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Merge w:val="continue"/>
            <w:vAlign w:val="center"/>
          </w:tcPr>
          <w:p>
            <w:pPr>
              <w:spacing w:line="460" w:lineRule="exact"/>
              <w:ind w:firstLine="480"/>
              <w:jc w:val="center"/>
              <w:rPr>
                <w:rFonts w:ascii="黑体" w:hAnsi="黑体" w:eastAsia="黑体" w:cs="黑体"/>
                <w:sz w:val="24"/>
              </w:rPr>
            </w:pPr>
          </w:p>
        </w:tc>
        <w:tc>
          <w:tcPr>
            <w:tcW w:w="4125" w:type="dxa"/>
            <w:vAlign w:val="center"/>
          </w:tcPr>
          <w:p>
            <w:pPr>
              <w:spacing w:line="460" w:lineRule="exact"/>
              <w:ind w:firstLine="0" w:firstLineChars="0"/>
              <w:rPr>
                <w:rFonts w:ascii="仿宋_GB2312" w:hAnsi="仿宋_GB2312" w:cs="仿宋_GB2312"/>
                <w:sz w:val="24"/>
              </w:rPr>
            </w:pPr>
            <w:r>
              <w:rPr>
                <w:rFonts w:hint="eastAsia" w:ascii="仿宋_GB2312" w:hAnsi="仿宋_GB2312" w:cs="仿宋_GB2312"/>
                <w:sz w:val="24"/>
                <w:szCs w:val="24"/>
              </w:rPr>
              <w:t>能源综合生产能力（万吨标准煤）</w:t>
            </w:r>
          </w:p>
        </w:tc>
        <w:tc>
          <w:tcPr>
            <w:tcW w:w="1106"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w:t>
            </w:r>
          </w:p>
        </w:tc>
        <w:tc>
          <w:tcPr>
            <w:tcW w:w="3034" w:type="dxa"/>
            <w:gridSpan w:val="2"/>
            <w:vMerge w:val="continue"/>
            <w:vAlign w:val="center"/>
          </w:tcPr>
          <w:p>
            <w:pPr>
              <w:spacing w:line="460" w:lineRule="exact"/>
              <w:ind w:firstLine="480"/>
              <w:jc w:val="center"/>
              <w:rPr>
                <w:rFonts w:ascii="仿宋_GB2312" w:hAnsi="仿宋_GB2312" w:cs="仿宋_GB2312"/>
                <w:sz w:val="24"/>
              </w:rPr>
            </w:pPr>
          </w:p>
        </w:tc>
        <w:tc>
          <w:tcPr>
            <w:tcW w:w="1005" w:type="dxa"/>
            <w:vAlign w:val="center"/>
          </w:tcPr>
          <w:p>
            <w:pPr>
              <w:spacing w:line="460" w:lineRule="exact"/>
              <w:ind w:firstLine="0" w:firstLineChars="0"/>
              <w:jc w:val="center"/>
              <w:rPr>
                <w:rFonts w:ascii="仿宋_GB2312" w:hAnsi="仿宋_GB2312" w:cs="仿宋_GB2312"/>
                <w:sz w:val="24"/>
              </w:rPr>
            </w:pPr>
            <w:r>
              <w:rPr>
                <w:rFonts w:hint="eastAsia" w:ascii="仿宋_GB2312" w:hAnsi="仿宋_GB2312" w:cs="仿宋_GB2312"/>
                <w:sz w:val="24"/>
                <w:szCs w:val="24"/>
              </w:rPr>
              <w:t>约束性</w:t>
            </w:r>
          </w:p>
        </w:tc>
      </w:tr>
      <w:bookmarkEnd w:id="23"/>
    </w:tbl>
    <w:p>
      <w:pPr>
        <w:pStyle w:val="2"/>
        <w:spacing w:before="655" w:beforeLines="150" w:after="218" w:line="600" w:lineRule="exact"/>
        <w:rPr>
          <w:rFonts w:ascii="方正小标宋简体" w:eastAsia="方正小标宋简体"/>
          <w:sz w:val="36"/>
          <w:szCs w:val="36"/>
        </w:rPr>
      </w:pPr>
      <w:r>
        <w:rPr>
          <w:rFonts w:hint="eastAsia" w:ascii="方正小标宋简体" w:hAnsi="宋体" w:eastAsia="方正小标宋简体" w:cs="宋体"/>
          <w:sz w:val="36"/>
          <w:szCs w:val="36"/>
        </w:rPr>
        <w:t xml:space="preserve">第二篇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激发创新</w:t>
      </w:r>
      <w:bookmarkEnd w:id="24"/>
      <w:r>
        <w:rPr>
          <w:rFonts w:hint="eastAsia" w:ascii="方正小标宋简体" w:hAnsi="宋体" w:eastAsia="方正小标宋简体" w:cs="宋体"/>
          <w:sz w:val="36"/>
          <w:szCs w:val="36"/>
        </w:rPr>
        <w:t>驱动新活力</w:t>
      </w:r>
    </w:p>
    <w:p>
      <w:pPr>
        <w:spacing w:line="600" w:lineRule="exact"/>
        <w:ind w:firstLine="640"/>
        <w:rPr>
          <w:rFonts w:ascii="仿宋_GB2312" w:hAnsi="仿宋"/>
          <w:color w:val="000000"/>
        </w:rPr>
      </w:pPr>
      <w:r>
        <w:rPr>
          <w:rFonts w:hint="eastAsia" w:ascii="仿宋_GB2312" w:hAnsi="仿宋"/>
          <w:color w:val="000000"/>
        </w:rPr>
        <w:t>落实创新发展理念，坚持创新在冠县现代化建设全局中的核心地位，强化科技创新的支撑引领能力，深入实施科教兴县、人才强县、创新驱动发展战略，突出企业主体、平台建设、人才集聚，全面激发全社会创造力和发展活力。</w:t>
      </w:r>
      <w:bookmarkStart w:id="25" w:name="_Toc60646171"/>
    </w:p>
    <w:p>
      <w:pPr>
        <w:pStyle w:val="3"/>
        <w:spacing w:before="437" w:beforeLines="100" w:after="437" w:afterLines="100" w:line="600" w:lineRule="exact"/>
        <w:rPr>
          <w:rFonts w:ascii="黑体" w:hAnsi="黑体" w:eastAsia="黑体" w:cs="黑体"/>
          <w:b w:val="0"/>
        </w:rPr>
      </w:pPr>
      <w:r>
        <w:rPr>
          <w:rFonts w:hint="eastAsia" w:ascii="黑体" w:hAnsi="黑体" w:eastAsia="黑体" w:cs="黑体"/>
          <w:b w:val="0"/>
        </w:rPr>
        <w:t xml:space="preserve">第六章 </w:t>
      </w:r>
      <w:r>
        <w:rPr>
          <w:rFonts w:ascii="黑体" w:hAnsi="黑体" w:eastAsia="黑体" w:cs="黑体"/>
          <w:b w:val="0"/>
        </w:rPr>
        <w:t xml:space="preserve"> </w:t>
      </w:r>
      <w:r>
        <w:rPr>
          <w:rFonts w:hint="eastAsia" w:ascii="黑体" w:hAnsi="黑体" w:eastAsia="黑体" w:cs="黑体"/>
          <w:b w:val="0"/>
        </w:rPr>
        <w:t>提升企业技术创新能力</w:t>
      </w:r>
      <w:bookmarkEnd w:id="25"/>
    </w:p>
    <w:p>
      <w:pPr>
        <w:spacing w:line="600" w:lineRule="exact"/>
        <w:ind w:firstLine="640"/>
        <w:rPr>
          <w:rFonts w:ascii="仿宋_GB2312" w:cs="Arial"/>
          <w:color w:val="000000"/>
          <w:spacing w:val="8"/>
          <w:kern w:val="0"/>
          <w:shd w:val="clear" w:color="auto" w:fill="FFFFFF"/>
        </w:rPr>
      </w:pPr>
      <w:r>
        <w:rPr>
          <w:rFonts w:hint="eastAsia" w:ascii="楷体_GB2312" w:hAnsi="仿宋_GB2312" w:eastAsia="楷体_GB2312"/>
          <w:bCs/>
          <w:szCs w:val="32"/>
        </w:rPr>
        <w:t>大力培育创新型企业。</w:t>
      </w:r>
      <w:r>
        <w:rPr>
          <w:rFonts w:hint="eastAsia" w:ascii="仿宋_GB2312" w:hAnsi="仿宋_GB2312"/>
          <w:bCs/>
          <w:szCs w:val="32"/>
        </w:rPr>
        <w:t>鼓励企业加大研发投入，大幅提升企业研发活动覆盖面，开展规模以上制造业企业专利“清零”行动，推动规模以上工业企业研发机构全覆盖。</w:t>
      </w:r>
      <w:r>
        <w:rPr>
          <w:rStyle w:val="26"/>
          <w:rFonts w:hint="eastAsia" w:ascii="仿宋_GB2312" w:hAnsi="仿宋_GB2312" w:eastAsia="仿宋_GB2312" w:cs="仿宋_GB2312"/>
          <w:b w:val="0"/>
          <w:bCs/>
          <w:color w:val="000000"/>
        </w:rPr>
        <w:t>实施龙头骨干企业培优行动计划，培育一批具有影响力的创新型企业。实施小微企业成长计划，培育更多制造业单项冠军、隐形冠军、专精特新、</w:t>
      </w:r>
      <w:r>
        <w:rPr>
          <w:rFonts w:hint="eastAsia" w:ascii="仿宋_GB2312" w:hAnsi="仿宋_GB2312" w:cs="Arial"/>
          <w:color w:val="000000"/>
          <w:spacing w:val="8"/>
          <w:kern w:val="0"/>
          <w:shd w:val="clear" w:color="auto" w:fill="FFFFFF"/>
        </w:rPr>
        <w:t>瞪羚企业，支持创新型中小微企业成长为创新重要发源地。实施高新技术企业培育计划，确保我县高新技术产值和高新技术企业数量实现明显增长。到</w:t>
      </w:r>
      <w:r>
        <w:rPr>
          <w:rFonts w:ascii="仿宋_GB2312" w:hAnsi="仿宋_GB2312" w:cs="Arial"/>
          <w:color w:val="000000"/>
          <w:spacing w:val="8"/>
          <w:kern w:val="0"/>
          <w:shd w:val="clear" w:color="auto" w:fill="FFFFFF"/>
        </w:rPr>
        <w:t>2025</w:t>
      </w:r>
      <w:r>
        <w:rPr>
          <w:rFonts w:hint="eastAsia" w:ascii="仿宋_GB2312" w:hAnsi="仿宋_GB2312" w:cs="Arial"/>
          <w:color w:val="000000"/>
          <w:spacing w:val="8"/>
          <w:kern w:val="0"/>
          <w:shd w:val="clear" w:color="auto" w:fill="FFFFFF"/>
        </w:rPr>
        <w:t>年，力争全县高新技术产业产值占规模以上工业总产值比重达到全市平均水平，全县高新技术企业、科技型中小微企业数量分别达到</w:t>
      </w:r>
      <w:r>
        <w:rPr>
          <w:rFonts w:ascii="仿宋_GB2312" w:hAnsi="仿宋_GB2312" w:cs="Arial"/>
          <w:color w:val="000000"/>
          <w:spacing w:val="8"/>
          <w:kern w:val="0"/>
          <w:shd w:val="clear" w:color="auto" w:fill="FFFFFF"/>
        </w:rPr>
        <w:t>40</w:t>
      </w:r>
      <w:r>
        <w:rPr>
          <w:rFonts w:hint="eastAsia" w:ascii="仿宋_GB2312" w:hAnsi="仿宋_GB2312" w:cs="Arial"/>
          <w:color w:val="000000"/>
          <w:spacing w:val="8"/>
          <w:kern w:val="0"/>
          <w:shd w:val="clear" w:color="auto" w:fill="FFFFFF"/>
        </w:rPr>
        <w:t>家和</w:t>
      </w:r>
      <w:r>
        <w:rPr>
          <w:rFonts w:ascii="仿宋_GB2312" w:hAnsi="仿宋_GB2312" w:cs="Arial"/>
          <w:color w:val="000000"/>
          <w:spacing w:val="8"/>
          <w:kern w:val="0"/>
          <w:shd w:val="clear" w:color="auto" w:fill="FFFFFF"/>
        </w:rPr>
        <w:t>50</w:t>
      </w:r>
      <w:r>
        <w:rPr>
          <w:rFonts w:hint="eastAsia" w:ascii="仿宋_GB2312" w:hAnsi="仿宋_GB2312" w:cs="Arial"/>
          <w:color w:val="000000"/>
          <w:spacing w:val="8"/>
          <w:kern w:val="0"/>
          <w:shd w:val="clear" w:color="auto" w:fill="FFFFFF"/>
        </w:rPr>
        <w:t>家左右。</w:t>
      </w:r>
    </w:p>
    <w:p>
      <w:pPr>
        <w:spacing w:line="600" w:lineRule="exact"/>
        <w:ind w:firstLine="640"/>
        <w:rPr>
          <w:rFonts w:ascii="仿宋_GB2312"/>
          <w:bCs/>
          <w:szCs w:val="32"/>
        </w:rPr>
      </w:pPr>
      <w:bookmarkStart w:id="26" w:name="_Toc60646172"/>
      <w:r>
        <w:rPr>
          <w:rFonts w:hint="eastAsia" w:ascii="楷体_GB2312" w:eastAsia="楷体_GB2312"/>
        </w:rPr>
        <w:t>推进重点产业技术创新</w:t>
      </w:r>
      <w:bookmarkEnd w:id="26"/>
      <w:r>
        <w:rPr>
          <w:rFonts w:hint="eastAsia" w:ascii="楷体_GB2312" w:eastAsia="楷体_GB2312"/>
        </w:rPr>
        <w:t>。</w:t>
      </w:r>
      <w:r>
        <w:rPr>
          <w:rFonts w:hint="eastAsia" w:ascii="仿宋_GB2312" w:hAnsi="仿宋_GB2312"/>
          <w:bCs/>
          <w:szCs w:val="32"/>
        </w:rPr>
        <w:t>围绕支柱产业升级、新兴产业培育、传统产业改造，加快科技创新，提升关键技术、共性技术和实用技术攻关能力。加快应用技术研发，在精品钢板、纺织服装、高端装备制造、农副产品加工、新材料等领域集中突破一批具有自主知识产权的技术和产品，提高创新链整体效能，加快建立产业技术创新联盟和产业共性技术研发基地。</w:t>
      </w:r>
      <w:bookmarkStart w:id="27" w:name="_Toc60646175"/>
    </w:p>
    <w:p>
      <w:pPr>
        <w:spacing w:line="600" w:lineRule="exact"/>
        <w:ind w:firstLine="640"/>
        <w:rPr>
          <w:rFonts w:ascii="仿宋_GB2312"/>
          <w:bCs/>
          <w:szCs w:val="32"/>
        </w:rPr>
      </w:pPr>
      <w:r>
        <w:rPr>
          <w:rFonts w:hint="eastAsia" w:ascii="楷体_GB2312" w:eastAsia="楷体_GB2312"/>
          <w:bCs/>
          <w:szCs w:val="32"/>
        </w:rPr>
        <w:t>加快科技成果转移转化</w:t>
      </w:r>
      <w:bookmarkEnd w:id="27"/>
      <w:r>
        <w:rPr>
          <w:rFonts w:hint="eastAsia" w:ascii="楷体_GB2312" w:eastAsia="楷体_GB2312"/>
          <w:bCs/>
          <w:szCs w:val="32"/>
        </w:rPr>
        <w:t>。</w:t>
      </w:r>
      <w:r>
        <w:rPr>
          <w:rFonts w:hint="eastAsia" w:ascii="仿宋_GB2312"/>
          <w:bCs/>
          <w:szCs w:val="32"/>
        </w:rPr>
        <w:t>推动与京津冀、省会经济圈等高校和科研院所共建校地、校企协作和技术对接网络平台。积极对接“双一流”高校，深入京津冀、长三角地区，拓宽企业与高校、科研院所精准合作渠道，以联合共建研发平台等方式，推动科技合作项目落地。进一步深化与中国科学院大学、山东农业大学、聊城大学、聊城农科院等高校、科研院所的合作交流，推动科技成果在冠县转化。</w:t>
      </w:r>
      <w:r>
        <w:rPr>
          <w:rFonts w:hint="eastAsia"/>
          <w:color w:val="000000"/>
        </w:rPr>
        <w:t>加大我县获得国家、省和市科技奖励配套资金力度，大幅提高科技成果转移转化成效。</w:t>
      </w:r>
    </w:p>
    <w:tbl>
      <w:tblPr>
        <w:tblStyle w:val="2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tabs>
                <w:tab w:val="right" w:pos="8844"/>
              </w:tabs>
              <w:spacing w:before="218" w:beforeLines="50" w:after="218" w:afterLines="50" w:line="480" w:lineRule="exact"/>
              <w:ind w:firstLine="0" w:firstLineChars="0"/>
              <w:jc w:val="center"/>
              <w:rPr>
                <w:rFonts w:ascii="黑体" w:hAnsi="黑体" w:eastAsia="黑体" w:cs="宋体"/>
                <w:color w:val="000000"/>
                <w:kern w:val="0"/>
                <w:sz w:val="30"/>
                <w:szCs w:val="28"/>
              </w:rPr>
            </w:pPr>
            <w:r>
              <w:rPr>
                <w:rFonts w:hint="eastAsia" w:ascii="黑体" w:hAnsi="黑体" w:eastAsia="黑体" w:cs="宋体"/>
                <w:color w:val="000000"/>
                <w:kern w:val="0"/>
                <w:sz w:val="30"/>
                <w:szCs w:val="28"/>
              </w:rPr>
              <w:t>专栏</w:t>
            </w:r>
            <w:r>
              <w:rPr>
                <w:rFonts w:ascii="黑体" w:hAnsi="黑体" w:eastAsia="黑体" w:cs="宋体"/>
                <w:color w:val="000000"/>
                <w:kern w:val="0"/>
                <w:sz w:val="30"/>
                <w:szCs w:val="28"/>
              </w:rPr>
              <w:t>1</w:t>
            </w:r>
            <w:r>
              <w:rPr>
                <w:rFonts w:hint="eastAsia" w:ascii="黑体" w:hAnsi="黑体" w:eastAsia="黑体" w:cs="宋体"/>
                <w:color w:val="000000"/>
                <w:kern w:val="0"/>
                <w:sz w:val="30"/>
                <w:szCs w:val="28"/>
              </w:rPr>
              <w:t>：重点产业技术创新方向</w:t>
            </w:r>
          </w:p>
          <w:p>
            <w:pPr>
              <w:tabs>
                <w:tab w:val="right" w:pos="8844"/>
              </w:tabs>
              <w:spacing w:line="480" w:lineRule="exact"/>
              <w:ind w:firstLine="560"/>
              <w:jc w:val="left"/>
              <w:rPr>
                <w:rFonts w:ascii="仿宋_GB2312" w:cs="仿宋_GB2312"/>
                <w:snapToGrid w:val="0"/>
                <w:sz w:val="28"/>
                <w:szCs w:val="28"/>
              </w:rPr>
            </w:pPr>
            <w:r>
              <w:rPr>
                <w:rFonts w:hint="eastAsia" w:ascii="楷体_GB2312" w:hAnsi="黑体" w:eastAsia="楷体_GB2312" w:cs="黑体"/>
                <w:color w:val="000000"/>
                <w:sz w:val="28"/>
                <w:szCs w:val="28"/>
              </w:rPr>
              <w:t>精品钢板：</w:t>
            </w:r>
            <w:r>
              <w:rPr>
                <w:rFonts w:hint="eastAsia" w:ascii="仿宋_GB2312" w:hAnsi="仿宋_GB2312" w:cs="仿宋_GB2312"/>
                <w:kern w:val="0"/>
                <w:sz w:val="28"/>
                <w:szCs w:val="28"/>
              </w:rPr>
              <w:t>依托冠洲集团、仁泽复合材料等企业，重点研发高强度、薄规格、高耐蚀、无铬、无铅处理环保镀层系列钢板、热镀（铝）锌钝化和耐指纹钢板等绿色环保用材。</w:t>
            </w:r>
          </w:p>
          <w:p>
            <w:pPr>
              <w:spacing w:line="480" w:lineRule="exact"/>
              <w:ind w:firstLine="560"/>
              <w:rPr>
                <w:rFonts w:ascii="仿宋_GB2312" w:cs="仿宋_GB2312"/>
                <w:color w:val="000000"/>
                <w:sz w:val="28"/>
                <w:szCs w:val="28"/>
              </w:rPr>
            </w:pPr>
            <w:r>
              <w:rPr>
                <w:rFonts w:hint="eastAsia" w:ascii="楷体_GB2312" w:hAnsi="黑体" w:eastAsia="楷体_GB2312" w:cs="黑体"/>
                <w:color w:val="000000"/>
                <w:sz w:val="28"/>
                <w:szCs w:val="28"/>
              </w:rPr>
              <w:t>纺织服装：</w:t>
            </w:r>
            <w:r>
              <w:rPr>
                <w:rFonts w:hint="eastAsia" w:ascii="仿宋_GB2312" w:hAnsi="仿宋_GB2312" w:cs="仿宋_GB2312"/>
                <w:color w:val="000000"/>
                <w:sz w:val="28"/>
                <w:szCs w:val="28"/>
              </w:rPr>
              <w:t>依托冠星集团等企业，实施技术改造，推广紧密纺、复合纺、赛络纺、喷气纺、涡流纺等新型纺纱技术以及</w:t>
            </w:r>
            <w:r>
              <w:rPr>
                <w:rFonts w:ascii="仿宋_GB2312" w:hAnsi="仿宋_GB2312" w:cs="仿宋_GB2312"/>
                <w:color w:val="000000"/>
                <w:sz w:val="28"/>
                <w:szCs w:val="28"/>
              </w:rPr>
              <w:t>ADS</w:t>
            </w:r>
            <w:r>
              <w:rPr>
                <w:rFonts w:hint="eastAsia" w:ascii="仿宋_GB2312" w:hAnsi="仿宋_GB2312" w:cs="仿宋_GB2312"/>
                <w:color w:val="000000"/>
                <w:sz w:val="28"/>
                <w:szCs w:val="28"/>
              </w:rPr>
              <w:t>自动落纱及细纱机在线监测系统等信息系统。鼓励企业应用三维数字化设计、</w:t>
            </w:r>
            <w:r>
              <w:rPr>
                <w:rFonts w:ascii="仿宋_GB2312" w:hAnsi="仿宋_GB2312" w:cs="仿宋_GB2312"/>
                <w:color w:val="000000"/>
                <w:sz w:val="28"/>
                <w:szCs w:val="28"/>
              </w:rPr>
              <w:t>3D</w:t>
            </w:r>
            <w:r>
              <w:rPr>
                <w:rFonts w:hint="eastAsia" w:ascii="仿宋_GB2312" w:hAnsi="仿宋_GB2312" w:cs="仿宋_GB2312"/>
                <w:color w:val="000000"/>
                <w:sz w:val="28"/>
                <w:szCs w:val="28"/>
              </w:rPr>
              <w:t>打印、智能裁剪、虚拟试穿等技术，发展大规模定制等新模式。</w:t>
            </w:r>
          </w:p>
          <w:p>
            <w:pPr>
              <w:ind w:firstLine="560"/>
              <w:rPr>
                <w:rFonts w:ascii="仿宋_GB2312" w:hAnsi="仿宋_GB2312" w:cs="仿宋_GB2312"/>
                <w:szCs w:val="32"/>
              </w:rPr>
            </w:pPr>
            <w:r>
              <w:rPr>
                <w:rFonts w:hint="eastAsia" w:ascii="楷体_GB2312" w:hAnsi="黑体" w:eastAsia="楷体_GB2312" w:cs="黑体"/>
                <w:color w:val="000000"/>
                <w:sz w:val="28"/>
                <w:szCs w:val="28"/>
              </w:rPr>
              <w:t>高端装备制造：</w:t>
            </w:r>
            <w:r>
              <w:rPr>
                <w:rFonts w:hint="eastAsia" w:ascii="仿宋_GB2312" w:hAnsi="仿宋_GB2312" w:cs="仿宋_GB2312"/>
                <w:color w:val="000000"/>
                <w:sz w:val="28"/>
                <w:szCs w:val="28"/>
              </w:rPr>
              <w:t xml:space="preserve">依托双力农装、肯石重工等企业，加强与中国科学院沈阳自动化研究所等科研机构合作，重点攻克动力换挡换向液压传动系统及农机核心零部件总成、工作装置及其关键零部件绿色制造关键技术，研发新型节能环保农用发动机、电控喷油泵、高压共轨喷射系统、喷油嘴等零部件产品。依托赫锐德智能科技，加强与大连理工大学的合作，重点攻克高空作业平台举升电液调平控制系统，研发安全高效、节能环保的智能化高空作业平台。依托恒祥轴承、中圆轴承等企业，重点研发自动锻造设备装置，提高轴承锻造的自动化水平，提升锻造产能。实现一体式焊接工业机器人、电磁感应加热式机械手、紧凑型四自由度并联机器人等项目研究开发的突破。 </w:t>
            </w:r>
            <w:r>
              <w:rPr>
                <w:rFonts w:hint="eastAsia" w:ascii="仿宋_GB2312" w:hAnsi="仿宋_GB2312" w:cs="仿宋_GB2312"/>
                <w:szCs w:val="32"/>
              </w:rPr>
              <w:t xml:space="preserve"> </w:t>
            </w:r>
          </w:p>
          <w:p>
            <w:pPr>
              <w:spacing w:line="480" w:lineRule="exact"/>
              <w:ind w:firstLine="560"/>
              <w:rPr>
                <w:rFonts w:ascii="仿宋_GB2312" w:cs="仿宋_GB2312"/>
                <w:color w:val="000000"/>
                <w:sz w:val="28"/>
                <w:szCs w:val="28"/>
              </w:rPr>
            </w:pPr>
            <w:r>
              <w:rPr>
                <w:rFonts w:hint="eastAsia" w:ascii="楷体_GB2312" w:hAnsi="黑体" w:eastAsia="楷体_GB2312" w:cs="黑体"/>
                <w:color w:val="000000"/>
                <w:sz w:val="28"/>
                <w:szCs w:val="28"/>
              </w:rPr>
              <w:t>农副产品加工：</w:t>
            </w:r>
            <w:r>
              <w:rPr>
                <w:rFonts w:hint="eastAsia" w:ascii="仿宋_GB2312" w:hAnsi="仿宋_GB2312" w:cs="仿宋_GB2312"/>
                <w:color w:val="000000"/>
                <w:sz w:val="28"/>
                <w:szCs w:val="28"/>
              </w:rPr>
              <w:t>依托新瑞实业，重点研发高效循环农业农产品精深加工。依托百佳食品，重点研发高品质调味料等。</w:t>
            </w:r>
          </w:p>
          <w:p>
            <w:pPr>
              <w:spacing w:line="480" w:lineRule="exact"/>
              <w:ind w:firstLine="560"/>
              <w:rPr>
                <w:rFonts w:ascii="仿宋_GB2312" w:hAnsi="黑体" w:cs="仿宋_GB2312"/>
                <w:color w:val="000000"/>
                <w:sz w:val="28"/>
                <w:szCs w:val="28"/>
              </w:rPr>
            </w:pPr>
            <w:r>
              <w:rPr>
                <w:rFonts w:hint="eastAsia" w:ascii="楷体_GB2312" w:hAnsi="黑体" w:eastAsia="楷体_GB2312" w:cs="仿宋_GB2312"/>
                <w:color w:val="000000"/>
                <w:sz w:val="28"/>
                <w:szCs w:val="28"/>
              </w:rPr>
              <w:t>现代高效农业：</w:t>
            </w:r>
            <w:r>
              <w:rPr>
                <w:rFonts w:hint="eastAsia" w:ascii="仿宋_GB2312" w:hAnsi="黑体" w:cs="仿宋_GB2312"/>
                <w:color w:val="000000"/>
                <w:sz w:val="28"/>
                <w:szCs w:val="28"/>
              </w:rPr>
              <w:t>依托冠优农业，加强与乌克兰国家农业科学院产学研合作，重点研发培育大樱桃、苹果、梨等优质新品种，进行双脱毒水果种苗繁育，建设“冠优全球”国际科研中心。</w:t>
            </w:r>
          </w:p>
          <w:p>
            <w:pPr>
              <w:spacing w:line="480" w:lineRule="exact"/>
              <w:ind w:firstLine="560"/>
              <w:rPr>
                <w:sz w:val="28"/>
                <w:szCs w:val="28"/>
              </w:rPr>
            </w:pPr>
            <w:r>
              <w:rPr>
                <w:rFonts w:hint="eastAsia" w:ascii="楷体_GB2312" w:hAnsi="黑体" w:eastAsia="楷体_GB2312" w:cs="黑体"/>
                <w:color w:val="000000"/>
                <w:sz w:val="28"/>
                <w:szCs w:val="28"/>
              </w:rPr>
              <w:t>新材料：</w:t>
            </w:r>
            <w:r>
              <w:rPr>
                <w:rFonts w:hint="eastAsia" w:ascii="仿宋_GB2312" w:hAnsi="仿宋_GB2312" w:cs="仿宋_GB2312"/>
                <w:sz w:val="28"/>
                <w:szCs w:val="28"/>
              </w:rPr>
              <w:t>支持上达稀土与北京钢铁研究总院技术合作，加强高牌号铈磁体、晶界扩散理论研究和技术突破。</w:t>
            </w:r>
            <w:r>
              <w:rPr>
                <w:rFonts w:hint="eastAsia"/>
                <w:sz w:val="28"/>
                <w:szCs w:val="28"/>
              </w:rPr>
              <w:t>支持恒晶新材料与山东大学晶体研究所合作，开展纳米级高纯氧化铝粉体制备方面的技术攻关和高纯度、细粒度、粒径分布窄、性能稳定的氮化铝粉技术研发。</w:t>
            </w:r>
          </w:p>
        </w:tc>
      </w:tr>
    </w:tbl>
    <w:p>
      <w:pPr>
        <w:pStyle w:val="3"/>
        <w:spacing w:before="437" w:beforeLines="100" w:after="437" w:afterLines="100" w:line="600" w:lineRule="exact"/>
        <w:rPr>
          <w:rFonts w:ascii="黑体" w:hAnsi="黑体" w:eastAsia="黑体" w:cs="黑体"/>
          <w:b w:val="0"/>
        </w:rPr>
      </w:pPr>
      <w:r>
        <w:rPr>
          <w:rFonts w:hint="eastAsia" w:ascii="黑体" w:hAnsi="黑体" w:eastAsia="黑体" w:cs="黑体"/>
          <w:b w:val="0"/>
        </w:rPr>
        <w:t xml:space="preserve">第七章 </w:t>
      </w:r>
      <w:r>
        <w:rPr>
          <w:rFonts w:ascii="黑体" w:hAnsi="黑体" w:eastAsia="黑体" w:cs="黑体"/>
          <w:b w:val="0"/>
        </w:rPr>
        <w:t xml:space="preserve"> </w:t>
      </w:r>
      <w:r>
        <w:rPr>
          <w:rFonts w:hint="eastAsia" w:ascii="黑体" w:hAnsi="黑体" w:eastAsia="黑体" w:cs="黑体"/>
          <w:b w:val="0"/>
        </w:rPr>
        <w:t>加快创新平台载体建设</w:t>
      </w:r>
    </w:p>
    <w:p>
      <w:pPr>
        <w:spacing w:line="600" w:lineRule="exact"/>
        <w:ind w:firstLine="640"/>
        <w:rPr>
          <w:rFonts w:ascii="仿宋_GB2312"/>
        </w:rPr>
      </w:pPr>
      <w:r>
        <w:rPr>
          <w:rFonts w:hint="eastAsia" w:ascii="楷体_GB2312" w:hAnsi="仿宋_GB2312" w:eastAsia="楷体_GB2312"/>
        </w:rPr>
        <w:t>加快建设技术创新平台。</w:t>
      </w:r>
      <w:r>
        <w:rPr>
          <w:rFonts w:hint="eastAsia" w:ascii="仿宋_GB2312" w:hAnsi="仿宋_GB2312"/>
        </w:rPr>
        <w:t>聚焦精品钢板、高端装备制造、农副产品加工、新材料等产业，布局建设重点实验室、工程实验室、技术创新中心、企业技术中心、“一企一技术”研发中心、院士工作站等创新平台，支持仁泽复合材料、赫锐德智能科技、百佳食品等优势企业创建省级重点创新平台。与聊城技师学院签订战略合作协议，建设产教融合示范县。</w:t>
      </w:r>
      <w:r>
        <w:rPr>
          <w:rStyle w:val="26"/>
          <w:rFonts w:hint="eastAsia" w:ascii="仿宋_GB2312" w:hAnsi="仿宋_GB2312" w:eastAsia="仿宋_GB2312" w:cs="仿宋_GB2312"/>
          <w:b w:val="0"/>
          <w:bCs/>
          <w:color w:val="000000"/>
        </w:rPr>
        <w:t>支持企业与高校、科研院所构建产学研协同创新体系，设立产学研合作科技创新引导资金，支持企业建设人才实训基地。</w:t>
      </w:r>
    </w:p>
    <w:p>
      <w:pPr>
        <w:spacing w:line="600" w:lineRule="exact"/>
        <w:ind w:firstLine="640"/>
        <w:rPr>
          <w:rFonts w:ascii="仿宋_GB2312"/>
        </w:rPr>
      </w:pPr>
      <w:r>
        <w:rPr>
          <w:rFonts w:hint="eastAsia" w:ascii="楷体_GB2312" w:hAnsi="仿宋_GB2312" w:eastAsia="楷体_GB2312"/>
        </w:rPr>
        <w:t>发挥省市创新平台作用。</w:t>
      </w:r>
      <w:r>
        <w:rPr>
          <w:rFonts w:hint="eastAsia" w:ascii="仿宋_GB2312" w:hAnsi="仿宋_GB2312"/>
        </w:rPr>
        <w:t>更好发挥我县</w:t>
      </w:r>
      <w:r>
        <w:rPr>
          <w:rFonts w:ascii="仿宋_GB2312" w:hAnsi="仿宋_GB2312"/>
        </w:rPr>
        <w:t>10</w:t>
      </w:r>
      <w:r>
        <w:rPr>
          <w:rFonts w:hint="eastAsia" w:ascii="仿宋_GB2312" w:hAnsi="仿宋_GB2312"/>
        </w:rPr>
        <w:t>家省级科技创新平台、</w:t>
      </w:r>
      <w:r>
        <w:rPr>
          <w:rFonts w:ascii="仿宋_GB2312" w:hAnsi="仿宋_GB2312"/>
        </w:rPr>
        <w:t>18</w:t>
      </w:r>
      <w:r>
        <w:rPr>
          <w:rFonts w:hint="eastAsia" w:ascii="仿宋_GB2312" w:hAnsi="仿宋_GB2312"/>
        </w:rPr>
        <w:t>家市级科技创新平台的支撑引领作用，增强企业自主创新能力，促进产业转型升级。依托院士工作站、工程技术研究中心、工程实验室等重点科技创新平台，进一步提升我县精品钢板、高端装备制造、新材料、农副产品加工等产业基础能力和产业链现代化水平。依托企业技术中心，鼓励引导行业骨干企业带动产业技术进步。依托众创空间，培育和扶持高新技术中小企业，打造多功能创业孵化基地。依托经济开发区科技基地项目，积极发展生物医药、新一代信息技术等新兴产业。</w:t>
      </w:r>
    </w:p>
    <w:p>
      <w:pPr>
        <w:spacing w:line="600" w:lineRule="exact"/>
        <w:ind w:firstLine="640"/>
        <w:rPr>
          <w:rStyle w:val="26"/>
          <w:rFonts w:ascii="仿宋_GB2312" w:eastAsia="仿宋_GB2312" w:cs="仿宋_GB2312"/>
          <w:b w:val="0"/>
          <w:bCs/>
          <w:color w:val="C00000"/>
        </w:rPr>
      </w:pPr>
      <w:r>
        <w:rPr>
          <w:rFonts w:hint="eastAsia" w:ascii="楷体_GB2312" w:hAnsi="仿宋_GB2312" w:eastAsia="楷体_GB2312"/>
        </w:rPr>
        <w:t>推动大众创业万众创新。</w:t>
      </w:r>
      <w:r>
        <w:rPr>
          <w:rStyle w:val="26"/>
          <w:rFonts w:hint="eastAsia" w:ascii="仿宋_GB2312" w:hAnsi="仿宋_GB2312" w:eastAsia="仿宋_GB2312" w:cs="仿宋_GB2312"/>
          <w:b w:val="0"/>
          <w:bCs/>
          <w:color w:val="000000"/>
        </w:rPr>
        <w:t>加快建设综合性创新创业服务平台，发挥中国科学院大学创新创业学院（冠县）科创中心、冠县新兴产业园等平台载体作用，积极培育科技企业孵化器、科技园区、众创空间、小微企业创业创新基地。鼓励发展网上创新工场、虚拟创新社区和数智工坊等新型孵化器。</w:t>
      </w:r>
    </w:p>
    <w:tbl>
      <w:tblPr>
        <w:tblStyle w:val="2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spacing w:before="218" w:beforeLines="50" w:after="218" w:afterLines="50" w:line="480" w:lineRule="exact"/>
              <w:ind w:firstLine="0" w:firstLineChars="0"/>
              <w:jc w:val="center"/>
              <w:rPr>
                <w:rFonts w:ascii="黑体" w:hAnsi="黑体" w:eastAsia="黑体" w:cs="宋体"/>
                <w:kern w:val="0"/>
                <w:sz w:val="30"/>
                <w:szCs w:val="28"/>
              </w:rPr>
            </w:pPr>
            <w:r>
              <w:rPr>
                <w:rFonts w:hint="eastAsia" w:ascii="黑体" w:hAnsi="黑体" w:eastAsia="黑体" w:cs="宋体"/>
                <w:kern w:val="0"/>
                <w:sz w:val="30"/>
                <w:szCs w:val="28"/>
              </w:rPr>
              <w:t>专栏</w:t>
            </w:r>
            <w:r>
              <w:rPr>
                <w:rFonts w:ascii="黑体" w:hAnsi="黑体" w:eastAsia="黑体" w:cs="宋体"/>
                <w:kern w:val="0"/>
                <w:sz w:val="30"/>
                <w:szCs w:val="28"/>
              </w:rPr>
              <w:t>2</w:t>
            </w:r>
            <w:r>
              <w:rPr>
                <w:rFonts w:hint="eastAsia" w:ascii="黑体" w:hAnsi="黑体" w:eastAsia="黑体" w:cs="宋体"/>
                <w:kern w:val="0"/>
                <w:sz w:val="30"/>
                <w:szCs w:val="28"/>
              </w:rPr>
              <w:t>：现有省市科技创新平台</w:t>
            </w:r>
          </w:p>
          <w:p>
            <w:pPr>
              <w:spacing w:line="480" w:lineRule="exact"/>
              <w:ind w:firstLine="560"/>
              <w:rPr>
                <w:rFonts w:ascii="楷体_GB2312" w:hAnsi="仿宋_GB2312" w:eastAsia="楷体_GB2312" w:cs="仿宋_GB2312"/>
                <w:sz w:val="28"/>
                <w:szCs w:val="28"/>
              </w:rPr>
            </w:pPr>
            <w:r>
              <w:rPr>
                <w:rFonts w:hint="eastAsia" w:ascii="楷体_GB2312" w:hAnsi="仿宋_GB2312" w:eastAsia="楷体_GB2312" w:cs="仿宋_GB2312"/>
                <w:sz w:val="28"/>
                <w:szCs w:val="28"/>
              </w:rPr>
              <w:t>省级院士工作站：</w:t>
            </w:r>
            <w:r>
              <w:rPr>
                <w:rFonts w:hint="eastAsia" w:ascii="仿宋_GB2312" w:hAnsi="仿宋_GB2312" w:cs="仿宋_GB2312"/>
                <w:sz w:val="28"/>
                <w:szCs w:val="28"/>
              </w:rPr>
              <w:t>冠县仁泽复合材料有限公司。</w:t>
            </w:r>
          </w:p>
          <w:p>
            <w:pPr>
              <w:spacing w:line="480" w:lineRule="exact"/>
              <w:ind w:firstLine="560"/>
              <w:rPr>
                <w:rFonts w:ascii="仿宋_GB2312" w:cs="仿宋_GB2312"/>
                <w:sz w:val="28"/>
                <w:szCs w:val="28"/>
              </w:rPr>
            </w:pPr>
            <w:r>
              <w:rPr>
                <w:rFonts w:hint="eastAsia" w:ascii="楷体_GB2312" w:hAnsi="仿宋_GB2312" w:eastAsia="楷体_GB2312" w:cs="仿宋_GB2312"/>
                <w:sz w:val="28"/>
                <w:szCs w:val="28"/>
              </w:rPr>
              <w:t>省级企业技术中心：</w:t>
            </w:r>
            <w:r>
              <w:rPr>
                <w:rFonts w:hint="eastAsia" w:ascii="仿宋_GB2312" w:hAnsi="仿宋_GB2312" w:cs="仿宋_GB2312"/>
                <w:sz w:val="28"/>
                <w:szCs w:val="28"/>
              </w:rPr>
              <w:t>山东冠洲股份有限公司、山东申士光电有限公司、山东犀牛工程机械有限公司、山东三融环保工程有限公司、山东星瀚材料股份有限公司、冠县瑞祥生物科技开发有限公司、山东双力现代农业装备有限公司。</w:t>
            </w:r>
          </w:p>
          <w:p>
            <w:pPr>
              <w:spacing w:line="480" w:lineRule="exact"/>
              <w:ind w:firstLine="560"/>
              <w:rPr>
                <w:rFonts w:ascii="仿宋_GB2312" w:cs="仿宋_GB2312"/>
                <w:sz w:val="28"/>
                <w:szCs w:val="28"/>
              </w:rPr>
            </w:pPr>
            <w:r>
              <w:rPr>
                <w:rFonts w:hint="eastAsia" w:ascii="楷体_GB2312" w:hAnsi="仿宋_GB2312" w:eastAsia="楷体_GB2312" w:cs="仿宋_GB2312"/>
                <w:sz w:val="28"/>
                <w:szCs w:val="28"/>
              </w:rPr>
              <w:t>省级众创空间：</w:t>
            </w:r>
            <w:r>
              <w:rPr>
                <w:rFonts w:hint="eastAsia" w:ascii="仿宋_GB2312" w:hAnsi="仿宋_GB2312" w:cs="仿宋_GB2312"/>
                <w:sz w:val="28"/>
                <w:szCs w:val="28"/>
              </w:rPr>
              <w:t>冠县电子商务产业园。</w:t>
            </w:r>
          </w:p>
          <w:p>
            <w:pPr>
              <w:spacing w:line="480" w:lineRule="exact"/>
              <w:ind w:firstLine="560"/>
              <w:rPr>
                <w:rFonts w:ascii="楷体_GB2312" w:hAnsi="仿宋_GB2312" w:eastAsia="楷体_GB2312" w:cs="仿宋_GB2312"/>
                <w:sz w:val="28"/>
                <w:szCs w:val="28"/>
              </w:rPr>
            </w:pPr>
            <w:r>
              <w:rPr>
                <w:rFonts w:hint="eastAsia" w:ascii="楷体_GB2312" w:hAnsi="仿宋_GB2312" w:eastAsia="楷体_GB2312" w:cs="仿宋_GB2312"/>
                <w:sz w:val="28"/>
                <w:szCs w:val="28"/>
              </w:rPr>
              <w:t>省级工程技术研究中心：</w:t>
            </w:r>
            <w:r>
              <w:rPr>
                <w:rFonts w:hint="eastAsia" w:ascii="仿宋_GB2312" w:hAnsi="仿宋_GB2312" w:cs="仿宋_GB2312"/>
                <w:sz w:val="28"/>
                <w:szCs w:val="28"/>
              </w:rPr>
              <w:t>山东三融环保工程有限公司。</w:t>
            </w:r>
          </w:p>
          <w:p>
            <w:pPr>
              <w:spacing w:line="480" w:lineRule="exact"/>
              <w:ind w:firstLine="560"/>
              <w:rPr>
                <w:rFonts w:ascii="仿宋_GB2312" w:cs="仿宋_GB2312"/>
                <w:sz w:val="28"/>
                <w:szCs w:val="28"/>
              </w:rPr>
            </w:pPr>
            <w:r>
              <w:rPr>
                <w:rFonts w:hint="eastAsia" w:ascii="楷体_GB2312" w:hAnsi="仿宋_GB2312" w:eastAsia="楷体_GB2312" w:cs="仿宋_GB2312"/>
                <w:sz w:val="28"/>
                <w:szCs w:val="28"/>
              </w:rPr>
              <w:t>市级企业技术中心：</w:t>
            </w:r>
            <w:r>
              <w:rPr>
                <w:rFonts w:hint="eastAsia" w:ascii="仿宋_GB2312" w:hAnsi="仿宋_GB2312" w:cs="仿宋_GB2312"/>
                <w:sz w:val="28"/>
                <w:szCs w:val="28"/>
              </w:rPr>
              <w:t>冠星纺织有限公司、冠县艺丰机械有限公司、山东时雨轴承有限公司、山东金冠机械有限公司、山东科良激光设备有限公司、山东百佳食品有限公司、山东家逸智能电器有限公司、山东聊工工程机械有限公司、山东孩室宝家俱有限公司、山东美安复合材料有限公司。</w:t>
            </w:r>
          </w:p>
          <w:p>
            <w:pPr>
              <w:spacing w:line="480" w:lineRule="exact"/>
              <w:ind w:firstLine="560"/>
              <w:rPr>
                <w:rFonts w:ascii="楷体_GB2312" w:hAnsi="仿宋_GB2312" w:eastAsia="楷体_GB2312" w:cs="仿宋_GB2312"/>
                <w:sz w:val="28"/>
                <w:szCs w:val="28"/>
              </w:rPr>
            </w:pPr>
            <w:r>
              <w:rPr>
                <w:rFonts w:hint="eastAsia" w:ascii="楷体_GB2312" w:hAnsi="仿宋_GB2312" w:eastAsia="楷体_GB2312" w:cs="仿宋_GB2312"/>
                <w:sz w:val="28"/>
                <w:szCs w:val="28"/>
              </w:rPr>
              <w:t>市级工程技术研究中心：</w:t>
            </w:r>
            <w:r>
              <w:rPr>
                <w:rFonts w:hint="eastAsia" w:ascii="仿宋_GB2312" w:hAnsi="仿宋"/>
                <w:sz w:val="28"/>
                <w:szCs w:val="28"/>
              </w:rPr>
              <w:t>山东冠洲股份有限公司、山东上达稀土材料有限公司、山东恒通晶体材料有限公司、山东双力现代农业装备有限公司、泰山石膏（聊城）有限公司、山东犀牛工程机械有限公司、聊城市孩室宝家具有限公司。</w:t>
            </w:r>
          </w:p>
          <w:p>
            <w:pPr>
              <w:spacing w:line="480" w:lineRule="exact"/>
              <w:ind w:firstLine="560"/>
              <w:rPr>
                <w:rFonts w:eastAsia="宋体"/>
                <w:color w:val="FF0000"/>
                <w:sz w:val="24"/>
              </w:rPr>
            </w:pPr>
            <w:r>
              <w:rPr>
                <w:rFonts w:hint="eastAsia" w:ascii="楷体_GB2312" w:hAnsi="仿宋_GB2312" w:eastAsia="楷体_GB2312" w:cs="仿宋_GB2312"/>
                <w:sz w:val="28"/>
                <w:szCs w:val="28"/>
              </w:rPr>
              <w:t>市级工程实验室：</w:t>
            </w:r>
            <w:r>
              <w:rPr>
                <w:rFonts w:hint="eastAsia" w:ascii="仿宋_GB2312" w:hAnsi="仿宋_GB2312" w:cs="仿宋_GB2312"/>
                <w:sz w:val="28"/>
                <w:szCs w:val="28"/>
              </w:rPr>
              <w:t>山东百佳食品有限公司。</w:t>
            </w:r>
          </w:p>
        </w:tc>
      </w:tr>
    </w:tbl>
    <w:p>
      <w:pPr>
        <w:pStyle w:val="3"/>
        <w:spacing w:before="437" w:beforeLines="100" w:after="437" w:afterLines="100" w:line="600" w:lineRule="exact"/>
        <w:rPr>
          <w:rFonts w:ascii="黑体" w:hAnsi="黑体" w:eastAsia="黑体" w:cs="黑体"/>
          <w:b w:val="0"/>
        </w:rPr>
      </w:pPr>
      <w:r>
        <w:rPr>
          <w:rFonts w:hint="eastAsia" w:ascii="黑体" w:hAnsi="黑体" w:eastAsia="黑体" w:cs="黑体"/>
          <w:b w:val="0"/>
        </w:rPr>
        <w:t xml:space="preserve">第八章 </w:t>
      </w:r>
      <w:r>
        <w:rPr>
          <w:rFonts w:ascii="黑体" w:hAnsi="黑体" w:eastAsia="黑体" w:cs="黑体"/>
          <w:b w:val="0"/>
        </w:rPr>
        <w:t xml:space="preserve"> </w:t>
      </w:r>
      <w:r>
        <w:rPr>
          <w:rFonts w:hint="eastAsia" w:ascii="黑体" w:hAnsi="黑体" w:eastAsia="黑体" w:cs="黑体"/>
          <w:b w:val="0"/>
        </w:rPr>
        <w:t>激发人才创新创造活力</w:t>
      </w:r>
    </w:p>
    <w:p>
      <w:pPr>
        <w:spacing w:line="620" w:lineRule="exact"/>
        <w:ind w:firstLine="640"/>
        <w:rPr>
          <w:rFonts w:ascii="仿宋_GB2312"/>
        </w:rPr>
      </w:pPr>
      <w:r>
        <w:rPr>
          <w:rFonts w:hint="eastAsia" w:ascii="楷体_GB2312" w:hAnsi="仿宋_GB2312" w:eastAsia="楷体_GB2312"/>
        </w:rPr>
        <w:t>培养一流人才队伍。</w:t>
      </w:r>
      <w:r>
        <w:rPr>
          <w:rFonts w:hint="eastAsia" w:ascii="仿宋_GB2312" w:hAnsi="仿宋_GB2312"/>
        </w:rPr>
        <w:t>面向制造业重点领域，实施知识更新工程、技能提升行动，推动职业院校与制造业企业合作，建立完善公共实训基地，壮大高水平工程师和高技能人才队伍。大力弘扬工匠精神、劳模精神，建设一批高技能人才培训基地、技能大师工作室。未来五年，每年培育技师、高级技师</w:t>
      </w:r>
      <w:r>
        <w:rPr>
          <w:rFonts w:ascii="仿宋_GB2312" w:hAnsi="仿宋_GB2312"/>
        </w:rPr>
        <w:t>30</w:t>
      </w:r>
      <w:r>
        <w:rPr>
          <w:rFonts w:hint="eastAsia" w:ascii="仿宋_GB2312" w:hAnsi="仿宋_GB2312"/>
        </w:rPr>
        <w:t>名，高级工以上基础层级高技能人才</w:t>
      </w:r>
      <w:r>
        <w:rPr>
          <w:rFonts w:ascii="仿宋_GB2312" w:hAnsi="仿宋_GB2312"/>
        </w:rPr>
        <w:t>100</w:t>
      </w:r>
      <w:r>
        <w:rPr>
          <w:rFonts w:hint="eastAsia" w:ascii="仿宋_GB2312" w:hAnsi="仿宋_GB2312"/>
        </w:rPr>
        <w:t>名。</w:t>
      </w:r>
    </w:p>
    <w:p>
      <w:pPr>
        <w:spacing w:line="620" w:lineRule="exact"/>
        <w:ind w:firstLine="640"/>
        <w:rPr>
          <w:rFonts w:ascii="仿宋_GB2312" w:cs="仿宋_GB2312"/>
          <w:color w:val="000000"/>
        </w:rPr>
      </w:pPr>
      <w:r>
        <w:rPr>
          <w:rFonts w:hint="eastAsia" w:ascii="楷体_GB2312" w:hAnsi="仿宋_GB2312" w:eastAsia="楷体_GB2312"/>
        </w:rPr>
        <w:t>大力引进高层次人才。</w:t>
      </w:r>
      <w:r>
        <w:rPr>
          <w:rFonts w:hint="eastAsia" w:ascii="仿宋_GB2312" w:hAnsi="仿宋_GB2312" w:cs="仿宋_GB2312"/>
          <w:color w:val="000000"/>
        </w:rPr>
        <w:t>坚持柔性引进，积极引进“两院院士”“万人计划”“泰山学者”“泰山产业领军人才”等高层次紧缺人才，建立冠县高层次人才数据库。积极吸引冠县籍高端人才通过总部回迁、项目回移、资金回流、技术回乡、组建返乡创业联盟等方式回乡创新创业。深入推进市场化选聘国有企业高级经营管理人才工作。“十四五”期间，每年引进高层次高技能人才</w:t>
      </w:r>
      <w:r>
        <w:rPr>
          <w:rFonts w:ascii="仿宋_GB2312" w:hAnsi="仿宋_GB2312" w:cs="仿宋_GB2312"/>
          <w:color w:val="000000"/>
        </w:rPr>
        <w:t>5</w:t>
      </w:r>
      <w:r>
        <w:rPr>
          <w:rFonts w:hint="eastAsia" w:ascii="仿宋_GB2312" w:hAnsi="仿宋_GB2312" w:cs="仿宋_GB2312"/>
          <w:color w:val="000000"/>
        </w:rPr>
        <w:t>名以上。</w:t>
      </w:r>
    </w:p>
    <w:p>
      <w:pPr>
        <w:spacing w:line="620" w:lineRule="exact"/>
        <w:ind w:firstLine="640"/>
      </w:pPr>
      <w:r>
        <w:rPr>
          <w:rFonts w:hint="eastAsia" w:ascii="楷体_GB2312" w:eastAsia="楷体_GB2312"/>
        </w:rPr>
        <w:t>优化人才发展环境。</w:t>
      </w:r>
      <w:r>
        <w:rPr>
          <w:rFonts w:hint="eastAsia"/>
        </w:rPr>
        <w:t>健全以创新能力、质量、实效、贡献为导向的科技人才评价体系，扩大医疗机构、国有企业等各类用人单位自主权。健全创新激励和保障机制，构建充分体现知识、技术等创新要素价值的收益分配制度。全面深化科技成果处置权、收益权、使用权“三权下放”，完善科研人员职务发明成果权益分享机制。改革职称制度，对有突出贡献的人才团队，政治上给待遇、经济上给激励、社会上给荣誉。完善初创扶持、科研资助、股权激励、安家补助、住房医疗、子女入学等政策体系，提供便捷高效服务。</w:t>
      </w:r>
    </w:p>
    <w:p>
      <w:pPr>
        <w:spacing w:line="620" w:lineRule="exact"/>
        <w:ind w:firstLine="0" w:firstLineChars="0"/>
        <w:rPr>
          <w:rFonts w:ascii="黑体" w:hAnsi="黑体" w:eastAsia="黑体" w:cs="黑体"/>
        </w:rPr>
      </w:pPr>
    </w:p>
    <w:p>
      <w:pPr>
        <w:spacing w:line="620" w:lineRule="exact"/>
        <w:ind w:firstLine="0" w:firstLineChars="0"/>
        <w:jc w:val="center"/>
        <w:rPr>
          <w:rFonts w:ascii="黑体" w:hAnsi="黑体" w:eastAsia="黑体" w:cs="黑体"/>
        </w:rPr>
      </w:pPr>
      <w:r>
        <w:rPr>
          <w:rFonts w:hint="eastAsia" w:ascii="黑体" w:hAnsi="黑体" w:eastAsia="黑体" w:cs="黑体"/>
        </w:rPr>
        <w:t xml:space="preserve">第九章 </w:t>
      </w:r>
      <w:r>
        <w:rPr>
          <w:rFonts w:ascii="黑体" w:hAnsi="黑体" w:eastAsia="黑体" w:cs="黑体"/>
        </w:rPr>
        <w:t xml:space="preserve"> </w:t>
      </w:r>
      <w:r>
        <w:rPr>
          <w:rFonts w:hint="eastAsia" w:ascii="黑体" w:hAnsi="黑体" w:eastAsia="黑体" w:cs="黑体"/>
        </w:rPr>
        <w:t>完善科技创新体制机制</w:t>
      </w:r>
    </w:p>
    <w:p>
      <w:pPr>
        <w:spacing w:line="620" w:lineRule="exact"/>
        <w:ind w:firstLine="0" w:firstLineChars="0"/>
        <w:rPr>
          <w:rFonts w:ascii="楷体_GB2312" w:eastAsia="楷体_GB2312"/>
        </w:rPr>
      </w:pPr>
    </w:p>
    <w:p>
      <w:pPr>
        <w:spacing w:line="620" w:lineRule="exact"/>
        <w:ind w:firstLine="640"/>
        <w:rPr>
          <w:rFonts w:ascii="黑体" w:hAnsi="黑体" w:eastAsia="黑体" w:cs="黑体"/>
        </w:rPr>
      </w:pPr>
      <w:r>
        <w:rPr>
          <w:rFonts w:hint="eastAsia" w:ascii="楷体_GB2312" w:eastAsia="楷体_GB2312"/>
        </w:rPr>
        <w:t>优化政府科技管理方式。</w:t>
      </w:r>
      <w:r>
        <w:rPr>
          <w:rFonts w:hint="eastAsia" w:ascii="仿宋_GB2312"/>
        </w:rPr>
        <w:t>进一步依靠市场机制配置科技资源，加快建设企业主导产业技术创新的体制机制，推动重点领域项目、平台、人才、资金一体化配置。健全政府投入为引导，企业投入为主体，社会投入为补充的多元化研发投入机制，全面落实企业研发投入后补助政策，提高全社会研发投入占地区生产总值的比重，力争到</w:t>
      </w:r>
      <w:r>
        <w:rPr>
          <w:rFonts w:ascii="仿宋_GB2312"/>
        </w:rPr>
        <w:t>2025</w:t>
      </w:r>
      <w:r>
        <w:rPr>
          <w:rFonts w:hint="eastAsia" w:ascii="仿宋_GB2312"/>
        </w:rPr>
        <w:t>年占比达到</w:t>
      </w:r>
      <w:r>
        <w:rPr>
          <w:rFonts w:ascii="仿宋_GB2312"/>
        </w:rPr>
        <w:t>2.5%</w:t>
      </w:r>
      <w:r>
        <w:rPr>
          <w:rFonts w:hint="eastAsia" w:ascii="仿宋_GB2312"/>
        </w:rPr>
        <w:t>。完善财政资金投入机制，加大对基础研究的支持力度。</w:t>
      </w:r>
      <w:r>
        <w:rPr>
          <w:rFonts w:hint="eastAsia" w:ascii="仿宋_GB2312" w:cs="仿宋_GB2312"/>
          <w:color w:val="000000"/>
        </w:rPr>
        <w:t>继续实行企业科技创新奖励资助，探索建立重大技术攻关奖励办法。继续推行科技特派员制度，开展科技下乡活动。</w:t>
      </w:r>
    </w:p>
    <w:p>
      <w:pPr>
        <w:spacing w:line="580" w:lineRule="exact"/>
        <w:ind w:firstLine="640"/>
        <w:rPr>
          <w:rFonts w:ascii="仿宋_GB2312"/>
        </w:rPr>
      </w:pPr>
      <w:r>
        <w:rPr>
          <w:rFonts w:hint="eastAsia" w:ascii="楷体_GB2312" w:eastAsia="楷体_GB2312"/>
        </w:rPr>
        <w:t>加强知识产权保护利用。</w:t>
      </w:r>
      <w:r>
        <w:rPr>
          <w:rFonts w:hint="eastAsia" w:ascii="仿宋_GB2312" w:hAnsi="仿宋_GB2312"/>
        </w:rPr>
        <w:t>加大对有效发明专利的资助和保护力度，不断提升全县专利申请数量和质量。支持装备制造、新材料等领域的自主知识产权市场化运营。健全符合科技创新规律和市场规律的科技成果转移转化体系。发展科技金融，通过“政府搭台、企业唱戏”方式促进技术和资本对接。</w:t>
      </w:r>
    </w:p>
    <w:p>
      <w:pPr>
        <w:spacing w:line="600" w:lineRule="exact"/>
        <w:ind w:firstLine="640"/>
        <w:rPr>
          <w:rFonts w:ascii="仿宋_GB2312"/>
        </w:rPr>
      </w:pPr>
      <w:r>
        <w:rPr>
          <w:rFonts w:hint="eastAsia" w:ascii="楷体_GB2312" w:eastAsia="楷体_GB2312"/>
        </w:rPr>
        <w:t>健全市场激励创新机制。</w:t>
      </w:r>
      <w:r>
        <w:rPr>
          <w:rFonts w:hint="eastAsia" w:ascii="仿宋_GB2312" w:hAnsi="仿宋_GB2312"/>
        </w:rPr>
        <w:t>深化国有单位职务科技成果权属制度改革，探索赋予科研人员科技成果所有权或长期使用权。全面推行高层次人才年薪制、协议工资制、项目工资制。深化科技领域社会信用体系建设，扩大科研诚信评价结果使用范围。</w:t>
      </w:r>
      <w:bookmarkStart w:id="28" w:name="_Toc60646180"/>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spacing w:line="600" w:lineRule="exact"/>
        <w:ind w:firstLine="198" w:firstLineChars="62"/>
        <w:jc w:val="center"/>
        <w:rPr>
          <w:rFonts w:ascii="方正小标宋简体" w:hAnsi="宋体" w:eastAsia="方正小标宋简体" w:cs="宋体"/>
        </w:rPr>
      </w:pPr>
    </w:p>
    <w:p>
      <w:pPr>
        <w:pStyle w:val="3"/>
        <w:spacing w:beforeLines="0" w:after="218" w:line="600" w:lineRule="exact"/>
        <w:rPr>
          <w:rFonts w:ascii="方正小标宋简体" w:hAnsi="方正小标宋简体" w:eastAsia="方正小标宋简体" w:cs="方正小标宋简体"/>
          <w:b w:val="0"/>
          <w:sz w:val="36"/>
          <w:szCs w:val="36"/>
        </w:rPr>
      </w:pPr>
      <w:r>
        <w:rPr>
          <w:rFonts w:hint="eastAsia" w:ascii="方正小标宋简体" w:hAnsi="方正小标宋简体" w:eastAsia="方正小标宋简体" w:cs="方正小标宋简体"/>
          <w:b w:val="0"/>
          <w:sz w:val="36"/>
          <w:szCs w:val="36"/>
        </w:rPr>
        <w:t xml:space="preserve">第三篇 </w:t>
      </w:r>
      <w:r>
        <w:rPr>
          <w:rFonts w:ascii="方正小标宋简体" w:hAnsi="方正小标宋简体" w:eastAsia="方正小标宋简体" w:cs="方正小标宋简体"/>
          <w:b w:val="0"/>
          <w:sz w:val="36"/>
          <w:szCs w:val="36"/>
        </w:rPr>
        <w:t xml:space="preserve"> </w:t>
      </w:r>
      <w:r>
        <w:rPr>
          <w:rFonts w:hint="eastAsia" w:ascii="方正小标宋简体" w:hAnsi="方正小标宋简体" w:eastAsia="方正小标宋简体" w:cs="方正小标宋简体"/>
          <w:b w:val="0"/>
          <w:sz w:val="36"/>
          <w:szCs w:val="36"/>
        </w:rPr>
        <w:t>构建现代产业新体系</w:t>
      </w:r>
    </w:p>
    <w:bookmarkEnd w:id="28"/>
    <w:p>
      <w:pPr>
        <w:spacing w:line="620" w:lineRule="exact"/>
        <w:ind w:firstLine="640"/>
        <w:rPr>
          <w:color w:val="000000"/>
        </w:rPr>
      </w:pPr>
      <w:r>
        <w:rPr>
          <w:rFonts w:hint="eastAsia" w:ascii="仿宋_GB2312"/>
          <w:color w:val="000000"/>
        </w:rPr>
        <w:t>以新发展理念为引领、以高质量发展为导向，坚持把发展经济着力点放在实体经济上，实施产业突破工程，加大建链、补链、延链、融链、强链力度，着力推动传统产业提质量、新兴产业壮规模、现代服务业强品质，不断强化园区支撑，推进产业基础高级化、产业链现代化，提高经济质量效益和核心竞争力。</w:t>
      </w:r>
    </w:p>
    <w:p>
      <w:pPr>
        <w:pStyle w:val="3"/>
        <w:spacing w:before="437" w:beforeLines="100" w:after="437" w:afterLines="100" w:line="600" w:lineRule="exact"/>
        <w:rPr>
          <w:rFonts w:ascii="黑体" w:hAnsi="黑体" w:eastAsia="黑体" w:cs="黑体"/>
          <w:b w:val="0"/>
        </w:rPr>
      </w:pPr>
      <w:bookmarkStart w:id="29" w:name="_Toc60646181"/>
      <w:r>
        <w:rPr>
          <w:rFonts w:hint="eastAsia" w:ascii="黑体" w:hAnsi="黑体" w:eastAsia="黑体" w:cs="黑体"/>
          <w:b w:val="0"/>
        </w:rPr>
        <w:t xml:space="preserve">第十章 </w:t>
      </w:r>
      <w:r>
        <w:rPr>
          <w:rFonts w:ascii="黑体" w:hAnsi="黑体" w:eastAsia="黑体" w:cs="黑体"/>
          <w:b w:val="0"/>
        </w:rPr>
        <w:t xml:space="preserve"> </w:t>
      </w:r>
      <w:r>
        <w:rPr>
          <w:rFonts w:hint="eastAsia" w:ascii="黑体" w:hAnsi="黑体" w:eastAsia="黑体" w:cs="黑体"/>
          <w:b w:val="0"/>
        </w:rPr>
        <w:t>发展先进制造业</w:t>
      </w:r>
      <w:bookmarkEnd w:id="29"/>
    </w:p>
    <w:p>
      <w:pPr>
        <w:spacing w:line="620" w:lineRule="exact"/>
        <w:ind w:firstLine="640"/>
        <w:rPr>
          <w:rFonts w:ascii="仿宋_GB2312" w:cs="仿宋_GB2312"/>
          <w:color w:val="000000"/>
        </w:rPr>
      </w:pPr>
      <w:bookmarkStart w:id="30" w:name="_Toc60646182"/>
      <w:r>
        <w:rPr>
          <w:rStyle w:val="69"/>
          <w:rFonts w:hint="eastAsia" w:ascii="仿宋_GB2312"/>
          <w:b w:val="0"/>
          <w:bCs/>
          <w:color w:val="000000"/>
          <w:szCs w:val="32"/>
        </w:rPr>
        <w:t>深入实施制造业强县战略，大力发展智能制造、绿色制造、服务型制造等先进制造业。</w:t>
      </w:r>
      <w:r>
        <w:rPr>
          <w:rFonts w:hint="eastAsia" w:ascii="仿宋_GB2312"/>
          <w:color w:val="000000"/>
        </w:rPr>
        <w:t>重点培育壮大精品钢板、纺织服装、新材料等先进制造业产业集群，实施“有中出新、无中生有”“腾笼换鸟”“机器换人”、园区提升、创新引领、品牌打造、名企名家培育、生产性服务业协同八大行动计划，大力推进新建一批制造业项目、实施一批制造业技改项目、招商引进一批制造业项目、实施一批重大课题攻关项目、实施一批重大科技成果转化项目、新增一批规模以上制造业企业“六个一批工程”，完善组织、服务、要素、政策四大保障。</w:t>
      </w:r>
      <w:r>
        <w:rPr>
          <w:rFonts w:hint="eastAsia" w:ascii="仿宋_GB2312" w:hAnsi="仿宋_GB2312" w:cs="仿宋_GB2312"/>
          <w:color w:val="000000"/>
        </w:rPr>
        <w:t>到</w:t>
      </w:r>
      <w:r>
        <w:rPr>
          <w:rFonts w:ascii="仿宋_GB2312" w:hAnsi="仿宋_GB2312" w:cs="仿宋_GB2312"/>
          <w:color w:val="000000"/>
        </w:rPr>
        <w:t>2025</w:t>
      </w:r>
      <w:r>
        <w:rPr>
          <w:rFonts w:hint="eastAsia" w:ascii="仿宋_GB2312" w:hAnsi="仿宋_GB2312" w:cs="仿宋_GB2312"/>
          <w:color w:val="000000"/>
        </w:rPr>
        <w:t>年，力争全县规模以上制造业企业营业收入突破</w:t>
      </w:r>
      <w:r>
        <w:rPr>
          <w:rFonts w:ascii="仿宋_GB2312" w:hAnsi="仿宋_GB2312" w:cs="仿宋_GB2312"/>
          <w:color w:val="000000"/>
        </w:rPr>
        <w:t>500</w:t>
      </w:r>
      <w:r>
        <w:rPr>
          <w:rFonts w:hint="eastAsia" w:ascii="仿宋_GB2312" w:hAnsi="仿宋_GB2312" w:cs="仿宋_GB2312"/>
          <w:color w:val="000000"/>
        </w:rPr>
        <w:t>亿元，质量效益追赶全国先进水平，智能制造迈上新台阶，服务型制造取得显著成效，制造业强县基本实现。</w:t>
      </w:r>
      <w:bookmarkEnd w:id="30"/>
    </w:p>
    <w:p>
      <w:pPr>
        <w:pStyle w:val="3"/>
        <w:spacing w:before="218" w:after="218" w:line="600" w:lineRule="exact"/>
        <w:rPr>
          <w:rFonts w:ascii="楷体_GB2312" w:hAnsi="楷体_GB2312" w:eastAsia="楷体_GB2312" w:cs="楷体_GB2312"/>
          <w:b w:val="0"/>
        </w:rPr>
      </w:pPr>
      <w:r>
        <w:rPr>
          <w:rFonts w:hint="eastAsia" w:ascii="楷体_GB2312" w:hAnsi="楷体_GB2312" w:eastAsia="楷体_GB2312" w:cs="楷体_GB2312"/>
          <w:b w:val="0"/>
        </w:rPr>
        <w:t xml:space="preserve">第一节 </w:t>
      </w:r>
      <w:r>
        <w:rPr>
          <w:rFonts w:ascii="楷体_GB2312" w:hAnsi="楷体_GB2312" w:eastAsia="楷体_GB2312" w:cs="楷体_GB2312"/>
          <w:b w:val="0"/>
        </w:rPr>
        <w:t xml:space="preserve"> </w:t>
      </w:r>
      <w:r>
        <w:rPr>
          <w:rFonts w:hint="eastAsia" w:ascii="楷体_GB2312" w:hAnsi="楷体_GB2312" w:eastAsia="楷体_GB2312" w:cs="楷体_GB2312"/>
          <w:b w:val="0"/>
        </w:rPr>
        <w:t>改造提升传统制造业</w:t>
      </w:r>
    </w:p>
    <w:p>
      <w:pPr>
        <w:spacing w:line="600" w:lineRule="exact"/>
        <w:ind w:firstLine="643"/>
        <w:rPr>
          <w:rFonts w:ascii="仿宋_GB2312" w:cs="仿宋"/>
          <w:kern w:val="0"/>
          <w:szCs w:val="32"/>
        </w:rPr>
      </w:pPr>
      <w:r>
        <w:rPr>
          <w:rFonts w:hint="eastAsia" w:ascii="仿宋_GB2312" w:hAnsi="仿宋_GB2312"/>
          <w:b/>
          <w:bCs/>
        </w:rPr>
        <w:t>精品钢板。</w:t>
      </w:r>
      <w:r>
        <w:rPr>
          <w:rFonts w:hint="eastAsia" w:ascii="仿宋_GB2312" w:hAnsi="仿宋_GB2312" w:cs="仿宋"/>
          <w:kern w:val="0"/>
          <w:szCs w:val="32"/>
        </w:rPr>
        <w:t>以冠洲集团为龙头，仁泽复合材料、富沃德等企业为骨干，带动全县精品钢板深加工产业集群发展。以汽车板、家电板、高档建筑板为主，完善精品钢板深加工产业链，形成热轧卷板、冷轧薄板、镀锌（铝硅</w:t>
      </w:r>
      <w:r>
        <w:rPr>
          <w:rFonts w:ascii="仿宋_GB2312" w:hAnsi="仿宋_GB2312" w:cs="仿宋"/>
          <w:kern w:val="0"/>
          <w:szCs w:val="32"/>
        </w:rPr>
        <w:t>)</w:t>
      </w:r>
      <w:r>
        <w:rPr>
          <w:rFonts w:hint="eastAsia" w:ascii="仿宋_GB2312" w:hAnsi="仿宋_GB2312" w:cs="仿宋"/>
          <w:kern w:val="0"/>
          <w:szCs w:val="32"/>
        </w:rPr>
        <w:t>板、铝锌镁、锌铝镁、彩涂板、印花板等精品板材的生产、剪切、加工、成型于一体的产业链。在现有产品的基础上，重点发展热板直镀，针对环境友好型家电用板需求，研发高强度、超深冲、薄规格、高耐蚀、无铬、无铅环保镀层系列绿色板材，彩涂板的品种。提高印花板及深加工剪切板、太阳能板、装饰门板等在包装业、装饰业、医疗、军工等多领域用板材产品比重。到</w:t>
      </w:r>
      <w:r>
        <w:rPr>
          <w:rFonts w:ascii="仿宋_GB2312" w:hAnsi="仿宋_GB2312" w:cs="仿宋"/>
          <w:kern w:val="0"/>
          <w:szCs w:val="32"/>
        </w:rPr>
        <w:t>2025</w:t>
      </w:r>
      <w:r>
        <w:rPr>
          <w:rFonts w:hint="eastAsia" w:ascii="仿宋_GB2312" w:hAnsi="仿宋_GB2312" w:cs="仿宋"/>
          <w:kern w:val="0"/>
          <w:szCs w:val="32"/>
        </w:rPr>
        <w:t>年，精品钢板产业营业收入力争达到</w:t>
      </w:r>
      <w:r>
        <w:rPr>
          <w:rFonts w:ascii="仿宋_GB2312" w:hAnsi="仿宋_GB2312" w:cs="仿宋"/>
          <w:kern w:val="0"/>
          <w:szCs w:val="32"/>
        </w:rPr>
        <w:t>210</w:t>
      </w:r>
      <w:r>
        <w:rPr>
          <w:rFonts w:hint="eastAsia" w:ascii="仿宋_GB2312" w:hAnsi="仿宋_GB2312" w:cs="仿宋"/>
          <w:kern w:val="0"/>
          <w:szCs w:val="32"/>
        </w:rPr>
        <w:t>亿元。</w:t>
      </w:r>
    </w:p>
    <w:p>
      <w:pPr>
        <w:spacing w:line="600" w:lineRule="exact"/>
        <w:ind w:firstLine="643"/>
        <w:rPr>
          <w:rFonts w:ascii="仿宋_GB2312" w:cs="仿宋"/>
          <w:bCs/>
        </w:rPr>
      </w:pPr>
      <w:r>
        <w:rPr>
          <w:rFonts w:hint="eastAsia" w:ascii="仿宋_GB2312" w:hAnsi="仿宋" w:cs="仿宋"/>
          <w:b/>
          <w:bCs/>
          <w:kern w:val="0"/>
          <w:szCs w:val="32"/>
        </w:rPr>
        <w:t>纺织服装。</w:t>
      </w:r>
      <w:r>
        <w:rPr>
          <w:rFonts w:hint="eastAsia" w:ascii="仿宋_GB2312" w:hAnsi="仿宋_GB2312" w:cs="仿宋"/>
          <w:szCs w:val="32"/>
        </w:rPr>
        <w:t>以冠星集团为龙头，新元纺织等企业为骨干，顺应世界纺织工业连续化、高效化、自动化、智能化及高精细、绿色健康、环保方向发展的趋势，采用先进工艺技术，优化结构，提高传统产品技术含量和档次，采取“龙头带动、品牌立业、集群发展”战略，搞好生产要素资源的整合，加大改革创新力度，探索以产权为纽带、以骨干企业为龙头的兼并联合，以大企业的管理和品牌带动效应有效促进产业整体升级。积极扩大纺织产业规模，实现量的扩张。有资金、有条件的企业在新建纺织企业时要立足高起点、高科技，一步到位，建成中高档的新型纺织企业；引导现有纺织企业加快实施技术改造，重点发展喷气、喷水织机，增加产品附加值。同时，引导纺织企业向纺织工业园集中，形成聚集效应，逐步形成以纺织加工为主导产业，积极发展中高支纱线、高档面料、产业用纺织品、高档家纺以及服装等行业，打造集纺纱、织布、印染、服装于一体的纺织服装完整产业链条。到</w:t>
      </w:r>
      <w:r>
        <w:rPr>
          <w:rFonts w:ascii="仿宋_GB2312" w:hAnsi="仿宋_GB2312" w:cs="仿宋"/>
          <w:szCs w:val="32"/>
        </w:rPr>
        <w:t>2025</w:t>
      </w:r>
      <w:r>
        <w:rPr>
          <w:rFonts w:hint="eastAsia" w:ascii="仿宋_GB2312" w:hAnsi="仿宋_GB2312" w:cs="仿宋"/>
          <w:szCs w:val="32"/>
        </w:rPr>
        <w:t>年，纺织服装产业营业收入力争达到</w:t>
      </w:r>
      <w:r>
        <w:rPr>
          <w:rFonts w:ascii="仿宋_GB2312" w:hAnsi="仿宋_GB2312" w:cs="仿宋"/>
          <w:szCs w:val="32"/>
        </w:rPr>
        <w:t>60</w:t>
      </w:r>
      <w:r>
        <w:rPr>
          <w:rFonts w:hint="eastAsia" w:ascii="仿宋_GB2312" w:hAnsi="仿宋_GB2312" w:cs="仿宋"/>
          <w:szCs w:val="32"/>
        </w:rPr>
        <w:t>亿元。</w:t>
      </w:r>
    </w:p>
    <w:p>
      <w:pPr>
        <w:spacing w:line="600" w:lineRule="exact"/>
        <w:ind w:firstLine="643"/>
        <w:rPr>
          <w:rFonts w:ascii="仿宋_GB2312" w:cs="仿宋"/>
          <w:szCs w:val="32"/>
        </w:rPr>
      </w:pPr>
      <w:bookmarkStart w:id="31" w:name="_Toc60646184"/>
      <w:r>
        <w:rPr>
          <w:rFonts w:hint="eastAsia" w:ascii="仿宋_GB2312" w:hAnsi="仿宋_GB2312"/>
          <w:b/>
          <w:szCs w:val="32"/>
        </w:rPr>
        <w:t>农副产品加工</w:t>
      </w:r>
      <w:bookmarkEnd w:id="31"/>
      <w:r>
        <w:rPr>
          <w:rFonts w:hint="eastAsia" w:ascii="仿宋_GB2312" w:hAnsi="仿宋_GB2312"/>
          <w:b/>
          <w:szCs w:val="32"/>
        </w:rPr>
        <w:t>。</w:t>
      </w:r>
      <w:r>
        <w:rPr>
          <w:rFonts w:hint="eastAsia"/>
        </w:rPr>
        <w:t>依托新瑞实业、百佳食品等骨干企业，以现代精深加工技术为支撑，以品牌营销为抓手，向多元化、高端化布局方向发展。依托朝阳制粉、鑫恒祥面业等企业，</w:t>
      </w:r>
      <w:r>
        <w:rPr>
          <w:rFonts w:hint="eastAsia" w:ascii="仿宋_GB2312" w:hAnsi="仿宋_GB2312" w:cs="仿宋_GB2312"/>
          <w:snapToGrid w:val="0"/>
          <w:szCs w:val="32"/>
        </w:rPr>
        <w:t>以粮油产加销全产业链发展为核心，积极推进绿色高质高效种植、精深加工和产业融合发展，培育精品粮油加工产业。积极发展实施高标准智能温室建设项目、蔬菜产销一体化示范项目、果蔬精深加工项目等重大项目，做强绿色蔬菜和生态林果加工产业。推广“龙头企业＋基地＋农户”模式，促进畜牧业全面转型升级，实施育种（苗）养殖加工一体化建设工程项目，助力健康畜禽、水产加工产业发展。</w:t>
      </w:r>
      <w:r>
        <w:rPr>
          <w:rFonts w:hint="eastAsia" w:ascii="仿宋_GB2312" w:hAnsi="仿宋_GB2312" w:cs="仿宋"/>
          <w:szCs w:val="32"/>
        </w:rPr>
        <w:t>到</w:t>
      </w:r>
      <w:r>
        <w:rPr>
          <w:rFonts w:ascii="仿宋_GB2312" w:hAnsi="仿宋_GB2312" w:cs="仿宋"/>
          <w:szCs w:val="32"/>
        </w:rPr>
        <w:t>2025</w:t>
      </w:r>
      <w:r>
        <w:rPr>
          <w:rFonts w:hint="eastAsia" w:ascii="仿宋_GB2312" w:hAnsi="仿宋_GB2312" w:cs="仿宋"/>
          <w:szCs w:val="32"/>
        </w:rPr>
        <w:t>年，农副产品加工业营业收入力争达到</w:t>
      </w:r>
      <w:r>
        <w:rPr>
          <w:rFonts w:ascii="仿宋_GB2312" w:hAnsi="仿宋_GB2312" w:cs="仿宋"/>
          <w:szCs w:val="32"/>
        </w:rPr>
        <w:t>25</w:t>
      </w:r>
      <w:r>
        <w:rPr>
          <w:rFonts w:hint="eastAsia" w:ascii="仿宋_GB2312" w:hAnsi="仿宋_GB2312" w:cs="仿宋"/>
          <w:szCs w:val="32"/>
        </w:rPr>
        <w:t>亿元。</w:t>
      </w:r>
    </w:p>
    <w:p>
      <w:pPr>
        <w:pStyle w:val="3"/>
        <w:spacing w:before="218" w:after="218" w:line="600" w:lineRule="exact"/>
        <w:rPr>
          <w:rFonts w:ascii="楷体_GB2312" w:hAnsi="楷体_GB2312" w:eastAsia="楷体_GB2312" w:cs="楷体_GB2312"/>
          <w:b w:val="0"/>
        </w:rPr>
      </w:pPr>
      <w:r>
        <w:rPr>
          <w:rFonts w:hint="eastAsia" w:ascii="楷体_GB2312" w:hAnsi="楷体_GB2312" w:eastAsia="楷体_GB2312" w:cs="楷体_GB2312"/>
          <w:b w:val="0"/>
        </w:rPr>
        <w:t xml:space="preserve">第二节 </w:t>
      </w:r>
      <w:r>
        <w:rPr>
          <w:rFonts w:ascii="楷体_GB2312" w:hAnsi="楷体_GB2312" w:eastAsia="楷体_GB2312" w:cs="楷体_GB2312"/>
          <w:b w:val="0"/>
        </w:rPr>
        <w:t xml:space="preserve"> </w:t>
      </w:r>
      <w:r>
        <w:rPr>
          <w:rFonts w:hint="eastAsia" w:ascii="楷体_GB2312" w:hAnsi="楷体_GB2312" w:eastAsia="楷体_GB2312" w:cs="楷体_GB2312"/>
          <w:b w:val="0"/>
        </w:rPr>
        <w:t>培育壮大新兴制造业</w:t>
      </w:r>
    </w:p>
    <w:p>
      <w:pPr>
        <w:tabs>
          <w:tab w:val="right" w:pos="8844"/>
        </w:tabs>
        <w:spacing w:line="600" w:lineRule="exact"/>
        <w:ind w:firstLine="643"/>
        <w:rPr>
          <w:rFonts w:ascii="仿宋_GB2312" w:cs="仿宋_GB2312"/>
          <w:szCs w:val="32"/>
        </w:rPr>
      </w:pPr>
      <w:r>
        <w:rPr>
          <w:rFonts w:hint="eastAsia" w:ascii="仿宋_GB2312"/>
          <w:b/>
          <w:bCs/>
          <w:color w:val="000000"/>
        </w:rPr>
        <w:t>高端装备制造。</w:t>
      </w:r>
      <w:r>
        <w:rPr>
          <w:rFonts w:hint="eastAsia" w:ascii="仿宋_GB2312" w:hAnsi="仿宋_GB2312" w:cs="仿宋_GB2312"/>
          <w:szCs w:val="32"/>
        </w:rPr>
        <w:t>依托双力农装、肯石重工、赫锐德智能科技等重点企业，发展高性能农业机械、工程机械、智能高空作业平台等高端装备制造产业。重点发展自动化智能化拖拉机、粮食烘干机及自行走剪叉式、直臂式、曲臂式等高空作业车。依托恒祥轴承、中圆轴承等企业，大力发展轴承锻造产业，以研发自动锻造设备装置为主攻方向，提高轴承锻造的自动化水平，提升锻造产能，逐步形成锻造</w:t>
      </w:r>
      <w:r>
        <w:rPr>
          <w:rFonts w:ascii="仿宋_GB2312" w:cs="仿宋_GB2312"/>
          <w:szCs w:val="32"/>
        </w:rPr>
        <w:t>-</w:t>
      </w:r>
      <w:r>
        <w:rPr>
          <w:rFonts w:hint="eastAsia" w:ascii="仿宋_GB2312" w:hAnsi="仿宋_GB2312" w:cs="仿宋_GB2312"/>
          <w:szCs w:val="32"/>
        </w:rPr>
        <w:t>褪火</w:t>
      </w:r>
      <w:r>
        <w:rPr>
          <w:rFonts w:ascii="仿宋_GB2312" w:cs="仿宋_GB2312"/>
          <w:szCs w:val="32"/>
        </w:rPr>
        <w:t>-</w:t>
      </w:r>
      <w:r>
        <w:rPr>
          <w:rFonts w:hint="eastAsia" w:ascii="仿宋_GB2312" w:hAnsi="仿宋_GB2312" w:cs="仿宋_GB2312"/>
          <w:szCs w:val="32"/>
        </w:rPr>
        <w:t>数控车床加工</w:t>
      </w:r>
      <w:r>
        <w:rPr>
          <w:rFonts w:ascii="仿宋_GB2312" w:cs="仿宋_GB2312"/>
          <w:szCs w:val="32"/>
        </w:rPr>
        <w:t>-</w:t>
      </w:r>
      <w:r>
        <w:rPr>
          <w:rFonts w:hint="eastAsia" w:ascii="仿宋_GB2312" w:hAnsi="仿宋_GB2312" w:cs="仿宋_GB2312"/>
          <w:szCs w:val="32"/>
        </w:rPr>
        <w:t>磨床</w:t>
      </w:r>
      <w:r>
        <w:rPr>
          <w:rFonts w:ascii="仿宋_GB2312" w:cs="仿宋_GB2312"/>
          <w:szCs w:val="32"/>
        </w:rPr>
        <w:t>-</w:t>
      </w:r>
      <w:r>
        <w:rPr>
          <w:rFonts w:hint="eastAsia" w:ascii="仿宋_GB2312" w:hAnsi="仿宋_GB2312" w:cs="仿宋_GB2312"/>
          <w:szCs w:val="32"/>
        </w:rPr>
        <w:t>组装产业链，做大做强农机轴承、机电轴承、汽车轴承、高精密轴承、商用轮毂单元轴承等产品，提高产品附加值。实现一体式焊接工</w:t>
      </w:r>
      <w:r>
        <w:rPr>
          <w:rFonts w:hint="eastAsia" w:ascii="仿宋_GB2312" w:hAnsi="仿宋_GB2312" w:cs="仿宋_GB2312"/>
          <w:snapToGrid w:val="0"/>
          <w:szCs w:val="32"/>
        </w:rPr>
        <w:t>业机器人、电磁感应加热式机械手、紧凑型四自由度并联机器人等项目研究开发的突破，推动产品的系列化、高端化和智能化。</w:t>
      </w:r>
      <w:r>
        <w:rPr>
          <w:rFonts w:hint="eastAsia" w:ascii="仿宋_GB2312" w:hAnsi="仿宋_GB2312" w:cs="仿宋_GB2312"/>
          <w:szCs w:val="32"/>
        </w:rPr>
        <w:t>到</w:t>
      </w:r>
      <w:r>
        <w:rPr>
          <w:rFonts w:ascii="仿宋_GB2312" w:hAnsi="仿宋_GB2312" w:cs="仿宋_GB2312"/>
          <w:szCs w:val="32"/>
        </w:rPr>
        <w:t>2025</w:t>
      </w:r>
      <w:r>
        <w:rPr>
          <w:rFonts w:hint="eastAsia" w:ascii="仿宋_GB2312" w:hAnsi="仿宋_GB2312" w:cs="仿宋_GB2312"/>
          <w:szCs w:val="32"/>
        </w:rPr>
        <w:t>年，高端装备制造产业营业收入力争达到</w:t>
      </w:r>
      <w:r>
        <w:rPr>
          <w:rFonts w:ascii="仿宋_GB2312" w:hAnsi="仿宋_GB2312" w:cs="仿宋_GB2312"/>
          <w:szCs w:val="32"/>
        </w:rPr>
        <w:t>60</w:t>
      </w:r>
      <w:r>
        <w:rPr>
          <w:rFonts w:hint="eastAsia" w:ascii="仿宋_GB2312" w:hAnsi="仿宋_GB2312" w:cs="仿宋_GB2312"/>
          <w:szCs w:val="32"/>
        </w:rPr>
        <w:t>亿元。</w:t>
      </w:r>
    </w:p>
    <w:p>
      <w:pPr>
        <w:spacing w:line="600" w:lineRule="exact"/>
        <w:ind w:firstLine="643"/>
        <w:rPr>
          <w:rFonts w:ascii="仿宋_GB2312"/>
          <w:color w:val="000000"/>
        </w:rPr>
      </w:pPr>
      <w:r>
        <w:rPr>
          <w:rFonts w:hint="eastAsia" w:ascii="仿宋_GB2312" w:hAnsi="仿宋_GB2312"/>
          <w:b/>
          <w:bCs/>
        </w:rPr>
        <w:t>新材料。</w:t>
      </w:r>
      <w:r>
        <w:rPr>
          <w:rFonts w:hint="eastAsia" w:ascii="仿宋_GB2312" w:hAnsi="仿宋_GB2312" w:cs="仿宋"/>
          <w:kern w:val="0"/>
          <w:szCs w:val="32"/>
        </w:rPr>
        <w:t>依托上达稀土、精创磁性材料等企业，发展稀土高性能永磁新材料；依托恒晶新材料、国纳新材料、冠晶光电等企业，发展高纯氧化铝、人工晶体功能材料；依托泰山石膏、美安住工、鹏程绿建等企业，发展纸面石膏板、装配式建筑构件等新型建筑材料。</w:t>
      </w:r>
      <w:r>
        <w:rPr>
          <w:rFonts w:hint="eastAsia"/>
        </w:rPr>
        <w:t>拓宽新材料产品供应领域，推动重点企业新材料产品与军工、航天、核电、电子电气、精密仪器等领域需求对接，促进新材料与高端装备制造产业融合发展。</w:t>
      </w:r>
      <w:r>
        <w:rPr>
          <w:rFonts w:hint="eastAsia" w:ascii="仿宋_GB2312"/>
          <w:color w:val="000000"/>
        </w:rPr>
        <w:t>到</w:t>
      </w:r>
      <w:r>
        <w:rPr>
          <w:rFonts w:ascii="仿宋_GB2312"/>
          <w:color w:val="000000"/>
        </w:rPr>
        <w:t>2025</w:t>
      </w:r>
      <w:r>
        <w:rPr>
          <w:rFonts w:hint="eastAsia" w:ascii="仿宋_GB2312"/>
          <w:color w:val="000000"/>
        </w:rPr>
        <w:t>年，新材料产业营业收入力争达到</w:t>
      </w:r>
      <w:r>
        <w:rPr>
          <w:rFonts w:ascii="仿宋_GB2312"/>
          <w:color w:val="000000"/>
        </w:rPr>
        <w:t>110</w:t>
      </w:r>
      <w:r>
        <w:rPr>
          <w:rFonts w:hint="eastAsia" w:ascii="仿宋_GB2312"/>
          <w:color w:val="000000"/>
        </w:rPr>
        <w:t>亿元。</w:t>
      </w:r>
    </w:p>
    <w:p>
      <w:pPr>
        <w:spacing w:line="600" w:lineRule="exact"/>
        <w:ind w:firstLine="643"/>
        <w:rPr>
          <w:rFonts w:ascii="仿宋_GB2312"/>
        </w:rPr>
      </w:pPr>
      <w:bookmarkStart w:id="32" w:name="_Toc60646188"/>
      <w:r>
        <w:rPr>
          <w:rFonts w:hint="eastAsia" w:ascii="仿宋_GB2312" w:hAnsi="仿宋_GB2312" w:cs="仿宋"/>
          <w:b/>
          <w:bCs/>
          <w:kern w:val="0"/>
          <w:szCs w:val="32"/>
        </w:rPr>
        <w:t>生物医药。</w:t>
      </w:r>
      <w:r>
        <w:rPr>
          <w:rFonts w:hint="eastAsia" w:ascii="仿宋_GB2312" w:hAnsi="仿宋_GB2312" w:cs="仿宋"/>
          <w:kern w:val="0"/>
          <w:szCs w:val="32"/>
        </w:rPr>
        <w:t>依托汉药</w:t>
      </w:r>
      <w:r>
        <w:rPr>
          <w:rFonts w:ascii="仿宋_GB2312" w:hAnsi="仿宋_GB2312" w:cs="仿宋"/>
          <w:kern w:val="0"/>
          <w:szCs w:val="32"/>
        </w:rPr>
        <w:t>(</w:t>
      </w:r>
      <w:r>
        <w:rPr>
          <w:rFonts w:hint="eastAsia" w:ascii="仿宋_GB2312" w:hAnsi="仿宋_GB2312" w:cs="仿宋"/>
          <w:kern w:val="0"/>
          <w:szCs w:val="32"/>
        </w:rPr>
        <w:t>山东</w:t>
      </w:r>
      <w:r>
        <w:rPr>
          <w:rFonts w:ascii="仿宋_GB2312" w:hAnsi="仿宋_GB2312" w:cs="仿宋"/>
          <w:kern w:val="0"/>
          <w:szCs w:val="32"/>
        </w:rPr>
        <w:t>)</w:t>
      </w:r>
      <w:r>
        <w:rPr>
          <w:rFonts w:hint="eastAsia" w:ascii="仿宋_GB2312" w:hAnsi="仿宋_GB2312" w:cs="仿宋"/>
          <w:kern w:val="0"/>
          <w:szCs w:val="32"/>
        </w:rPr>
        <w:t>生物科技、中芝堂药业等企业，发展软胶囊、硬胶囊制剂、粉剂、颗粒剂、片剂和破壁灵芝孢子粉、灵芝孢子油，以县域灵芝产业产品为原料进行技术开发和研究，应用于新型抗癌药物、心脑血管及神经系统用药领域的技术开发和生产。</w:t>
      </w:r>
      <w:r>
        <w:rPr>
          <w:rFonts w:hint="eastAsia" w:ascii="仿宋_GB2312"/>
        </w:rPr>
        <w:t>到</w:t>
      </w:r>
      <w:r>
        <w:rPr>
          <w:rFonts w:ascii="仿宋_GB2312"/>
        </w:rPr>
        <w:t>2025</w:t>
      </w:r>
      <w:r>
        <w:rPr>
          <w:rFonts w:hint="eastAsia" w:ascii="仿宋_GB2312"/>
        </w:rPr>
        <w:t>年，生物医药产业营业收入力争达到</w:t>
      </w:r>
      <w:r>
        <w:rPr>
          <w:rFonts w:ascii="仿宋_GB2312"/>
        </w:rPr>
        <w:t>10</w:t>
      </w:r>
      <w:r>
        <w:rPr>
          <w:rFonts w:hint="eastAsia" w:ascii="仿宋_GB2312"/>
        </w:rPr>
        <w:t>亿元。</w:t>
      </w:r>
    </w:p>
    <w:p>
      <w:pPr>
        <w:spacing w:line="540" w:lineRule="exact"/>
        <w:ind w:firstLine="643"/>
        <w:rPr>
          <w:rFonts w:ascii="仿宋_GB2312" w:cs="仿宋"/>
          <w:kern w:val="0"/>
          <w:szCs w:val="32"/>
        </w:rPr>
      </w:pPr>
      <w:r>
        <w:rPr>
          <w:rFonts w:hint="eastAsia" w:ascii="仿宋_GB2312" w:hAnsi="仿宋_GB2312" w:cs="仿宋"/>
          <w:b/>
          <w:bCs/>
          <w:kern w:val="0"/>
          <w:szCs w:val="32"/>
        </w:rPr>
        <w:t>新一代信息技术。</w:t>
      </w:r>
      <w:r>
        <w:rPr>
          <w:rFonts w:hint="eastAsia" w:ascii="仿宋_GB2312" w:hAnsi="仿宋_GB2312" w:cs="仿宋"/>
          <w:kern w:val="0"/>
          <w:szCs w:val="32"/>
        </w:rPr>
        <w:t>依托铭医帮云科技、海鲁智慧科技等企业，发展医疗软件开发、智能照明。推进互联网场景应用、人工智能产业发展。到</w:t>
      </w:r>
      <w:r>
        <w:rPr>
          <w:rFonts w:ascii="仿宋_GB2312" w:hAnsi="仿宋_GB2312" w:cs="仿宋"/>
          <w:kern w:val="0"/>
          <w:szCs w:val="32"/>
        </w:rPr>
        <w:t>2025</w:t>
      </w:r>
      <w:r>
        <w:rPr>
          <w:rFonts w:hint="eastAsia" w:ascii="仿宋_GB2312" w:hAnsi="仿宋_GB2312" w:cs="仿宋"/>
          <w:kern w:val="0"/>
          <w:szCs w:val="32"/>
        </w:rPr>
        <w:t>年，新一代信息技术产业营业收入力争达到</w:t>
      </w:r>
      <w:r>
        <w:rPr>
          <w:rFonts w:ascii="仿宋_GB2312" w:hAnsi="仿宋_GB2312" w:cs="仿宋"/>
          <w:kern w:val="0"/>
          <w:szCs w:val="32"/>
        </w:rPr>
        <w:t>15</w:t>
      </w:r>
      <w:r>
        <w:rPr>
          <w:rFonts w:hint="eastAsia" w:ascii="仿宋_GB2312" w:hAnsi="仿宋_GB2312" w:cs="仿宋"/>
          <w:kern w:val="0"/>
          <w:szCs w:val="32"/>
        </w:rPr>
        <w:t>亿元。</w:t>
      </w:r>
    </w:p>
    <w:p>
      <w:pPr>
        <w:pStyle w:val="3"/>
        <w:spacing w:before="218" w:after="218" w:line="540" w:lineRule="exact"/>
        <w:rPr>
          <w:rFonts w:ascii="楷体_GB2312" w:hAnsi="楷体_GB2312" w:eastAsia="楷体_GB2312" w:cs="楷体_GB2312"/>
          <w:b w:val="0"/>
        </w:rPr>
      </w:pPr>
      <w:r>
        <w:rPr>
          <w:rFonts w:hint="eastAsia" w:ascii="楷体_GB2312" w:hAnsi="楷体_GB2312" w:eastAsia="楷体_GB2312" w:cs="楷体_GB2312"/>
          <w:b w:val="0"/>
        </w:rPr>
        <w:t xml:space="preserve">第三节 </w:t>
      </w:r>
      <w:r>
        <w:rPr>
          <w:rFonts w:ascii="楷体_GB2312" w:hAnsi="楷体_GB2312" w:eastAsia="楷体_GB2312" w:cs="楷体_GB2312"/>
          <w:b w:val="0"/>
        </w:rPr>
        <w:t xml:space="preserve"> </w:t>
      </w:r>
      <w:r>
        <w:rPr>
          <w:rFonts w:hint="eastAsia" w:ascii="楷体_GB2312" w:hAnsi="楷体_GB2312" w:eastAsia="楷体_GB2312" w:cs="楷体_GB2312"/>
          <w:b w:val="0"/>
        </w:rPr>
        <w:t>坚决淘汰落后产能</w:t>
      </w:r>
    </w:p>
    <w:p>
      <w:pPr>
        <w:spacing w:line="540" w:lineRule="exact"/>
        <w:ind w:firstLine="640"/>
        <w:rPr>
          <w:rFonts w:ascii="仿宋_GB2312"/>
          <w:color w:val="000000"/>
        </w:rPr>
      </w:pPr>
      <w:r>
        <w:rPr>
          <w:rFonts w:hint="eastAsia" w:ascii="仿宋_GB2312"/>
          <w:color w:val="000000"/>
        </w:rPr>
        <w:t>严格落实环保、质量、能耗、安全等国家行业标准和产业政策，依法依规倒逼落后产能加速退出，严控新增过剩产能。继续实行企业“亩产效益”评价，持续整治“散乱污”企业，推动高耗能低产出企业有序退出。鼓励企业通过产能置换、指标交易、股权合作等方式兼并重组，引导企业转型升级、环保搬迁和梯度转移。</w:t>
      </w:r>
    </w:p>
    <w:p>
      <w:pPr>
        <w:pStyle w:val="3"/>
        <w:spacing w:before="437" w:beforeLines="100" w:after="437" w:afterLines="100" w:line="540" w:lineRule="exact"/>
        <w:rPr>
          <w:rFonts w:ascii="黑体" w:hAnsi="黑体" w:eastAsia="黑体" w:cs="黑体"/>
          <w:b w:val="0"/>
        </w:rPr>
      </w:pPr>
      <w:r>
        <w:rPr>
          <w:rFonts w:hint="eastAsia" w:ascii="黑体" w:hAnsi="黑体" w:eastAsia="黑体" w:cs="黑体"/>
          <w:b w:val="0"/>
        </w:rPr>
        <w:t xml:space="preserve">第十一章 </w:t>
      </w:r>
      <w:r>
        <w:rPr>
          <w:rFonts w:ascii="黑体" w:hAnsi="黑体" w:eastAsia="黑体" w:cs="黑体"/>
          <w:b w:val="0"/>
        </w:rPr>
        <w:t xml:space="preserve"> </w:t>
      </w:r>
      <w:r>
        <w:rPr>
          <w:rFonts w:hint="eastAsia" w:ascii="黑体" w:hAnsi="黑体" w:eastAsia="黑体" w:cs="黑体"/>
          <w:b w:val="0"/>
        </w:rPr>
        <w:t>发展现代服务业</w:t>
      </w:r>
      <w:bookmarkEnd w:id="32"/>
    </w:p>
    <w:p>
      <w:pPr>
        <w:spacing w:line="540" w:lineRule="exact"/>
        <w:ind w:firstLine="640"/>
      </w:pPr>
      <w:r>
        <w:rPr>
          <w:rFonts w:hint="eastAsia"/>
        </w:rPr>
        <w:t>深入推进服务业供给侧结构性改革，做大做强现代物流、文化旅游、医养健康三大特色优势服务业。推动生产性服务业向专业化和价值链高端延伸，生活性服务业向高品质和多样化升级，加强公益性、基础性服务业供给，推进服务业数字化、标准化、品牌化建设，加快构建优质高效、布局优化、竞争力强的服务产业新体系，不断满足产业转型升级需求和人民美好生活需要。</w:t>
      </w:r>
    </w:p>
    <w:p>
      <w:pPr>
        <w:pStyle w:val="3"/>
        <w:spacing w:before="218" w:after="218" w:line="600" w:lineRule="exact"/>
        <w:rPr>
          <w:rFonts w:ascii="楷体_GB2312" w:hAnsi="楷体_GB2312" w:eastAsia="楷体_GB2312" w:cs="楷体_GB2312"/>
          <w:b w:val="0"/>
        </w:rPr>
      </w:pPr>
      <w:r>
        <w:rPr>
          <w:rFonts w:hint="eastAsia" w:ascii="楷体_GB2312" w:hAnsi="楷体_GB2312" w:eastAsia="楷体_GB2312" w:cs="楷体_GB2312"/>
          <w:b w:val="0"/>
        </w:rPr>
        <w:t xml:space="preserve">第一节 </w:t>
      </w:r>
      <w:r>
        <w:rPr>
          <w:rFonts w:ascii="楷体_GB2312" w:hAnsi="楷体_GB2312" w:eastAsia="楷体_GB2312" w:cs="楷体_GB2312"/>
          <w:b w:val="0"/>
        </w:rPr>
        <w:t xml:space="preserve"> </w:t>
      </w:r>
      <w:r>
        <w:rPr>
          <w:rFonts w:hint="eastAsia" w:ascii="楷体_GB2312" w:hAnsi="楷体_GB2312" w:eastAsia="楷体_GB2312" w:cs="楷体_GB2312"/>
          <w:b w:val="0"/>
        </w:rPr>
        <w:t>做大做强特色优势服务业</w:t>
      </w:r>
    </w:p>
    <w:p>
      <w:pPr>
        <w:tabs>
          <w:tab w:val="right" w:pos="8844"/>
        </w:tabs>
        <w:spacing w:line="600" w:lineRule="exact"/>
        <w:ind w:firstLine="643"/>
        <w:rPr>
          <w:rFonts w:ascii="仿宋_GB2312"/>
          <w:color w:val="C00000"/>
        </w:rPr>
      </w:pPr>
      <w:r>
        <w:rPr>
          <w:rFonts w:hint="eastAsia"/>
          <w:b/>
          <w:bCs/>
        </w:rPr>
        <w:t>现代物流。</w:t>
      </w:r>
      <w:r>
        <w:rPr>
          <w:rFonts w:hint="eastAsia" w:ascii="仿宋_GB2312" w:hAnsi="仿宋_GB2312"/>
          <w:color w:val="000000"/>
        </w:rPr>
        <w:t>规划建设智慧物流园区和内陆港建设，</w:t>
      </w:r>
      <w:r>
        <w:rPr>
          <w:rFonts w:hint="eastAsia" w:ascii="仿宋_GB2312" w:hAnsi="仿宋_GB2312" w:cs="仿宋_GB2312"/>
          <w:snapToGrid w:val="0"/>
          <w:color w:val="000000"/>
          <w:szCs w:val="32"/>
        </w:rPr>
        <w:t>总体打造“两港两园三区”（两港：公路港、铁路港；两园：大宗商品物流产业园、现代农业物流产业园；三区：智能物流仓储区、流通加工区、配套商务区），建成冀鲁豫三省交界区域性综合物流园区。</w:t>
      </w:r>
      <w:r>
        <w:rPr>
          <w:rFonts w:hint="eastAsia" w:ascii="仿宋_GB2312" w:hAnsi="仿宋_GB2312"/>
        </w:rPr>
        <w:t>依托振飞物流、盛德物流等企业，促进“互联网</w:t>
      </w:r>
      <w:r>
        <w:rPr>
          <w:rFonts w:ascii="仿宋_GB2312" w:hAnsi="仿宋_GB2312"/>
        </w:rPr>
        <w:t>+</w:t>
      </w:r>
      <w:r>
        <w:rPr>
          <w:rFonts w:hint="eastAsia" w:ascii="仿宋_GB2312" w:hAnsi="仿宋_GB2312"/>
        </w:rPr>
        <w:t>物流”新业态、新模式发展，鼓励引导“互联网</w:t>
      </w:r>
      <w:r>
        <w:rPr>
          <w:rFonts w:ascii="仿宋_GB2312" w:hAnsi="仿宋_GB2312"/>
        </w:rPr>
        <w:t>+</w:t>
      </w:r>
      <w:r>
        <w:rPr>
          <w:rFonts w:hint="eastAsia" w:ascii="仿宋_GB2312" w:hAnsi="仿宋_GB2312"/>
        </w:rPr>
        <w:t>车货匹配”“互联网</w:t>
      </w:r>
      <w:r>
        <w:rPr>
          <w:rFonts w:ascii="仿宋_GB2312" w:hAnsi="仿宋_GB2312"/>
        </w:rPr>
        <w:t>+</w:t>
      </w:r>
      <w:r>
        <w:rPr>
          <w:rFonts w:hint="eastAsia" w:ascii="仿宋_GB2312" w:hAnsi="仿宋_GB2312"/>
        </w:rPr>
        <w:t>专线整合”“互联网</w:t>
      </w:r>
      <w:r>
        <w:rPr>
          <w:rFonts w:ascii="仿宋_GB2312" w:hAnsi="仿宋_GB2312"/>
        </w:rPr>
        <w:t>+</w:t>
      </w:r>
      <w:r>
        <w:rPr>
          <w:rFonts w:hint="eastAsia" w:ascii="仿宋_GB2312" w:hAnsi="仿宋_GB2312"/>
        </w:rPr>
        <w:t>大车队”管理等新模式、新服务，全面提升物流全流程智能化水平。改造提升农贸市场和专业市场，优化城市配送网络，鼓励统一配送和共同配送，推进农产品、药品、快速消费品等重点领域标准化托盘循环共用。发挥我县农副产品产业优势，加强产销衔接、农超对接，建设农产品骨干式冷链物流基地、区域性产地、乡镇田头和村级仓储冷链物流设施，发展冷链物流。</w:t>
      </w:r>
    </w:p>
    <w:p>
      <w:pPr>
        <w:spacing w:line="600" w:lineRule="exact"/>
        <w:ind w:firstLine="643"/>
        <w:rPr>
          <w:rFonts w:ascii="仿宋_GB2312" w:cs="仿宋_GB2312"/>
          <w:color w:val="000000"/>
        </w:rPr>
      </w:pPr>
      <w:r>
        <w:rPr>
          <w:rFonts w:hint="eastAsia"/>
          <w:b/>
          <w:bCs/>
        </w:rPr>
        <w:t>文化旅游。</w:t>
      </w:r>
      <w:r>
        <w:rPr>
          <w:rFonts w:hint="eastAsia" w:ascii="仿宋_GB2312" w:hAnsi="Arial" w:cs="Arial"/>
          <w:color w:val="000000"/>
          <w:spacing w:val="8"/>
          <w:kern w:val="0"/>
          <w:shd w:val="clear" w:color="auto" w:fill="FFFFFF"/>
        </w:rPr>
        <w:t>坚持“文旅融合、以文促旅、以旅彰文、和合共生”的原则，积极弘扬历史文化、红色文化，培育新型文化企业、文化业态、文化消费模式。串联</w:t>
      </w:r>
      <w:r>
        <w:rPr>
          <w:rFonts w:hint="eastAsia" w:ascii="仿宋_GB2312" w:hAnsi="仿宋_GB2312" w:cs="仿宋_GB2312"/>
          <w:color w:val="000000"/>
        </w:rPr>
        <w:t>中华第一梨园、温泉、萧城遗址、灵芝产业园、武训纪念馆等景区，打响“黄河故道、鸭梨之乡、温泉养生、千年兵城、灵芝小镇、武训故里”品牌，建成冀鲁豫交界地区具有一定影响力的综合性旅游目的地。整合中共鲁西北地委旧址、王村支部旧址、六十二烈士墓等为代表的红色文化资源，打造红色文化旅游产业，推进爱国主义教育基地建设；挖掘开发以晓春亭遗址公园、冉子祠、元好问故居等为代表的历史文化资源；依托清泉河风景区，规划建设游客集散中心，开发水上健身娱乐等旅游产品，推进龙舟及游泳比赛等体育赛事；大力发展东冠生态园、烟庄玫瑰园、金叶生态园、冠优农谷田园综合体等现代特色乡村旅游。依托冠县</w:t>
      </w:r>
      <w:r>
        <w:rPr>
          <w:rFonts w:ascii="仿宋_GB2312" w:hAnsi="仿宋_GB2312" w:cs="仿宋_GB2312"/>
          <w:color w:val="000000"/>
        </w:rPr>
        <w:t>A</w:t>
      </w:r>
      <w:r>
        <w:rPr>
          <w:rFonts w:hint="eastAsia" w:ascii="仿宋_GB2312" w:hAnsi="仿宋_GB2312" w:cs="仿宋_GB2312"/>
          <w:color w:val="000000"/>
        </w:rPr>
        <w:t>级景区，发展智慧旅游，积极打造智慧景区。</w:t>
      </w:r>
    </w:p>
    <w:p>
      <w:pPr>
        <w:spacing w:line="620" w:lineRule="exact"/>
        <w:ind w:firstLine="643"/>
      </w:pPr>
      <w:r>
        <w:rPr>
          <w:rStyle w:val="26"/>
          <w:rFonts w:hint="eastAsia" w:ascii="仿宋_GB2312" w:hAnsi="仿宋_GB2312" w:eastAsia="仿宋_GB2312"/>
        </w:rPr>
        <w:t>医养健康。</w:t>
      </w:r>
      <w:r>
        <w:rPr>
          <w:rStyle w:val="26"/>
          <w:rFonts w:hint="eastAsia" w:ascii="仿宋_GB2312" w:hAnsi="仿宋_GB2312" w:eastAsia="仿宋_GB2312"/>
          <w:b w:val="0"/>
          <w:bCs/>
        </w:rPr>
        <w:t>发挥温泉疗养、灵芝养生等资源优势，培育和发展健康休闲、健康管理、中医药养生保健。</w:t>
      </w:r>
      <w:r>
        <w:rPr>
          <w:rFonts w:hint="eastAsia"/>
        </w:rPr>
        <w:t>依托新华康复医养院，着力打造以医促养、医养结合的特色医养健康产业，布局医养健康产业链。全力推进灵芝“药食同源”试点落户冠县，加强灵芝类药品、灵芝保健品开发，依托乡村振兴发展集团</w:t>
      </w:r>
      <w:r>
        <w:rPr>
          <w:rFonts w:hint="eastAsia" w:ascii="仿宋_GB2312" w:hAnsi="仿宋_GB2312" w:cs="仿宋_GB2312"/>
          <w:szCs w:val="32"/>
        </w:rPr>
        <w:t>，</w:t>
      </w:r>
      <w:r>
        <w:rPr>
          <w:rFonts w:hint="eastAsia"/>
        </w:rPr>
        <w:t>打造灵芝全链条医养健康项目。改造提升天沐温泉旅游度假区、马颊河森林度假村，积极打造森林康养基地。延伸养老、康复、养生等服务，支持有条件的养老机构设置医疗机构，并纳入医保定点范围。</w:t>
      </w:r>
    </w:p>
    <w:p>
      <w:pPr>
        <w:pStyle w:val="3"/>
        <w:spacing w:before="218" w:after="218" w:line="600" w:lineRule="exact"/>
        <w:rPr>
          <w:rFonts w:ascii="楷体_GB2312" w:hAnsi="楷体_GB2312" w:eastAsia="楷体_GB2312" w:cs="楷体_GB2312"/>
          <w:b w:val="0"/>
        </w:rPr>
      </w:pPr>
      <w:r>
        <w:rPr>
          <w:rFonts w:hint="eastAsia" w:ascii="楷体_GB2312" w:hAnsi="楷体_GB2312" w:eastAsia="楷体_GB2312" w:cs="楷体_GB2312"/>
          <w:b w:val="0"/>
        </w:rPr>
        <w:t xml:space="preserve">第二节 </w:t>
      </w:r>
      <w:r>
        <w:rPr>
          <w:rFonts w:ascii="楷体_GB2312" w:hAnsi="楷体_GB2312" w:eastAsia="楷体_GB2312" w:cs="楷体_GB2312"/>
          <w:b w:val="0"/>
        </w:rPr>
        <w:t xml:space="preserve"> </w:t>
      </w:r>
      <w:r>
        <w:rPr>
          <w:rFonts w:hint="eastAsia" w:ascii="楷体_GB2312" w:hAnsi="楷体_GB2312" w:eastAsia="楷体_GB2312" w:cs="楷体_GB2312"/>
          <w:b w:val="0"/>
        </w:rPr>
        <w:t>培育和发展生产性服务业</w:t>
      </w:r>
    </w:p>
    <w:p>
      <w:pPr>
        <w:spacing w:line="600" w:lineRule="exact"/>
        <w:ind w:firstLine="643"/>
      </w:pPr>
      <w:r>
        <w:rPr>
          <w:rStyle w:val="26"/>
          <w:rFonts w:hint="eastAsia" w:ascii="仿宋_GB2312" w:hAnsi="仿宋_GB2312" w:eastAsia="仿宋_GB2312"/>
        </w:rPr>
        <w:t>现代金融。</w:t>
      </w:r>
      <w:r>
        <w:rPr>
          <w:rFonts w:hint="eastAsia"/>
        </w:rPr>
        <w:t>以强化金融服务功能、优化资源配置为重点，积极引进各类金融机构，加快发展金融新业态，提高金融风险防范能力，推动全县政金企合作向更深层次、更高水平发展，为全县高质量发展提供强有力的金融支撑。加快金融供给侧结构性改革，以市场需求为导向，健全金融组织体系、市场体系，着力引进一批银行、保险、基金、证券、信托等各类金融机构，加快发展产业基金、创投基金等，创新农村金融产品和服务，提升金融市场规模和能级。探索金融服务模式创新，推进“金融辅导员”制度落实落地。积极发展金融新业态，借鉴邮储银行设立蓝天环保贷的创新思路，大力发展普惠金融、绿色金融，规范发展大数据金融、互联网金融、供应链金融、区块链金融等新金融。严格落实促进企业上市挂牌扶持政策，健全优质企业后备资源库，鼓励企业积极对接多层次资本市场。鼓励金融机构面向高新技术企业、科技型中小企业创新金融产品和服务，提供科技保险、科技担保、知识产权质押等服务，支持企业技术创新。</w:t>
      </w:r>
    </w:p>
    <w:p>
      <w:pPr>
        <w:spacing w:line="600" w:lineRule="exact"/>
        <w:ind w:firstLine="643"/>
      </w:pPr>
      <w:r>
        <w:rPr>
          <w:rStyle w:val="26"/>
          <w:rFonts w:hint="eastAsia" w:ascii="仿宋_GB2312" w:hAnsi="仿宋_GB2312" w:eastAsia="仿宋_GB2312"/>
        </w:rPr>
        <w:t>电子商务。</w:t>
      </w:r>
      <w:r>
        <w:rPr>
          <w:rFonts w:hint="eastAsia"/>
        </w:rPr>
        <w:t>以国家电子商务进农村综合示范县为抓手，加快优质农产品交易平台、农村电子商务产业园建设，扶持发展网店建设、仓储管理、营销推广和代运营等电子商务服务业，招引落地一批优质电商服务商，为电商发展提供“一站式”服务，构建电子商务经济发展生态体系，不断做大做强县域电商经济。发挥电商引领作用，进一步深化与阿里巴巴、京东、苏宁等电商企业的合作力度，优化提升邮政集团“买卖惠”电子商务平台功能布局，完善农村电商</w:t>
      </w:r>
      <w:r>
        <w:rPr>
          <w:rFonts w:hint="eastAsia" w:ascii="仿宋_GB2312"/>
        </w:rPr>
        <w:t>“县</w:t>
      </w:r>
      <w:r>
        <w:rPr>
          <w:rFonts w:ascii="仿宋_GB2312"/>
        </w:rPr>
        <w:t>-</w:t>
      </w:r>
      <w:r>
        <w:rPr>
          <w:rFonts w:hint="eastAsia" w:ascii="仿宋_GB2312"/>
        </w:rPr>
        <w:t>乡镇</w:t>
      </w:r>
      <w:r>
        <w:rPr>
          <w:rFonts w:ascii="仿宋_GB2312"/>
        </w:rPr>
        <w:t>-</w:t>
      </w:r>
      <w:r>
        <w:rPr>
          <w:rFonts w:hint="eastAsia" w:ascii="仿宋_GB2312"/>
        </w:rPr>
        <w:t>村”</w:t>
      </w:r>
      <w:r>
        <w:rPr>
          <w:rFonts w:hint="eastAsia"/>
        </w:rPr>
        <w:t>三级服务体系，建设一批“电商村”“电商镇”。推动新经济和复合型业态聚集发展，进一步加大网络直播行业的扶持力度，推动网络新经济、直播网红经济融入到乡村振兴等领域，充分发挥直播带货的市场潜力。</w:t>
      </w:r>
    </w:p>
    <w:p>
      <w:pPr>
        <w:spacing w:line="580" w:lineRule="exact"/>
        <w:ind w:firstLine="643"/>
      </w:pPr>
      <w:r>
        <w:rPr>
          <w:rStyle w:val="26"/>
          <w:rFonts w:hint="eastAsia" w:ascii="仿宋_GB2312" w:hAnsi="仿宋_GB2312" w:eastAsia="仿宋_GB2312"/>
        </w:rPr>
        <w:t>其他生产性服务业。</w:t>
      </w:r>
      <w:r>
        <w:rPr>
          <w:rFonts w:hint="eastAsia"/>
        </w:rPr>
        <w:t>发展研发设计服务、知识产权服务、检验检测服务、信息技术服务和数字内容服务，促进冠县高技术产业发展。聚焦冠县先进制造业，重点发展工业设计、融资租赁、节能环保、商务咨询、服务外包、售后服务、人力资源和品牌建设等服务，推动生产性服务业向专业化和价值链高端延伸。</w:t>
      </w:r>
    </w:p>
    <w:p>
      <w:pPr>
        <w:pStyle w:val="3"/>
        <w:spacing w:before="218" w:after="218" w:line="580" w:lineRule="exact"/>
        <w:rPr>
          <w:rFonts w:ascii="楷体_GB2312" w:hAnsi="楷体_GB2312" w:eastAsia="楷体_GB2312" w:cs="楷体_GB2312"/>
          <w:b w:val="0"/>
        </w:rPr>
      </w:pPr>
      <w:bookmarkStart w:id="33" w:name="_Toc60646190"/>
      <w:r>
        <w:rPr>
          <w:rFonts w:hint="eastAsia" w:ascii="楷体_GB2312" w:hAnsi="楷体_GB2312" w:eastAsia="楷体_GB2312" w:cs="楷体_GB2312"/>
          <w:b w:val="0"/>
        </w:rPr>
        <w:t xml:space="preserve">第三节 </w:t>
      </w:r>
      <w:r>
        <w:rPr>
          <w:rFonts w:ascii="楷体_GB2312" w:hAnsi="楷体_GB2312" w:eastAsia="楷体_GB2312" w:cs="楷体_GB2312"/>
          <w:b w:val="0"/>
        </w:rPr>
        <w:t xml:space="preserve"> </w:t>
      </w:r>
      <w:r>
        <w:rPr>
          <w:rFonts w:hint="eastAsia" w:ascii="楷体_GB2312" w:hAnsi="楷体_GB2312" w:eastAsia="楷体_GB2312" w:cs="楷体_GB2312"/>
          <w:b w:val="0"/>
        </w:rPr>
        <w:t>促进生活性服务业提品质</w:t>
      </w:r>
      <w:bookmarkEnd w:id="33"/>
    </w:p>
    <w:p>
      <w:pPr>
        <w:spacing w:line="580" w:lineRule="exact"/>
        <w:ind w:firstLine="643"/>
        <w:rPr>
          <w:rStyle w:val="26"/>
          <w:rFonts w:ascii="仿宋_GB2312" w:eastAsia="仿宋_GB2312"/>
        </w:rPr>
      </w:pPr>
      <w:r>
        <w:rPr>
          <w:rStyle w:val="26"/>
          <w:rFonts w:hint="eastAsia" w:ascii="仿宋_GB2312" w:hAnsi="仿宋_GB2312" w:eastAsia="仿宋_GB2312"/>
        </w:rPr>
        <w:t>批发零售业。</w:t>
      </w:r>
      <w:r>
        <w:rPr>
          <w:rStyle w:val="26"/>
          <w:rFonts w:hint="eastAsia" w:ascii="仿宋_GB2312" w:hAnsi="仿宋_GB2312" w:eastAsia="仿宋_GB2312"/>
          <w:b w:val="0"/>
          <w:bCs/>
        </w:rPr>
        <w:t>推进批发业由商品流通向实物流通转型，推动批零一体化发展。持续做好京优客等零售企业，培育一批商贸流通骨干企业。完善市场体系建设，优化城市商业网点布局，打造“十分钟”便民服务体系。依托和平路、兴贸东路、南部新城，建设一批有特色的、有品位的商业步行街。</w:t>
      </w:r>
    </w:p>
    <w:p>
      <w:pPr>
        <w:spacing w:line="580" w:lineRule="exact"/>
        <w:ind w:firstLine="643"/>
      </w:pPr>
      <w:r>
        <w:rPr>
          <w:rStyle w:val="26"/>
          <w:rFonts w:hint="eastAsia" w:ascii="仿宋_GB2312" w:hAnsi="仿宋_GB2312" w:eastAsia="仿宋_GB2312"/>
        </w:rPr>
        <w:t>居住服务业。</w:t>
      </w:r>
      <w:r>
        <w:rPr>
          <w:rFonts w:hint="eastAsia"/>
        </w:rPr>
        <w:t>坚持房子是用来住的、不是用来炒的定位，优化商品房供应结构，有效增加保障性住房供给，促进房地产市场平稳健康发展。探索支持利用集体建设用地按照规划建设租赁住房，完善长租房政策，扩大保障性租赁住房供给。支持商业综合体建设，发展产业地产、楼宇经济。发展房产租赁市场，规范房产中介服务。</w:t>
      </w:r>
    </w:p>
    <w:p>
      <w:pPr>
        <w:spacing w:line="580" w:lineRule="exact"/>
        <w:ind w:firstLine="643"/>
      </w:pPr>
      <w:r>
        <w:rPr>
          <w:rStyle w:val="26"/>
          <w:rFonts w:hint="eastAsia" w:ascii="仿宋_GB2312" w:hAnsi="仿宋_GB2312" w:eastAsia="仿宋_GB2312"/>
        </w:rPr>
        <w:t>餐饮业。</w:t>
      </w:r>
      <w:r>
        <w:rPr>
          <w:rFonts w:hint="eastAsia"/>
        </w:rPr>
        <w:t>鼓励有条件的企业开展中央厨房建设，推广冠县美食，培育一批名师、名菜、名点、名店。推动餐饮企业向集约化、特色化、标准化、信息化和多元化发展，支持龙头企业打造集食品销售、餐饮连锁经营、便民生活服务于一体的多元化健康饮食及餐饮服务提供商。</w:t>
      </w:r>
    </w:p>
    <w:p>
      <w:pPr>
        <w:spacing w:line="620" w:lineRule="exact"/>
        <w:ind w:firstLine="643"/>
      </w:pPr>
      <w:r>
        <w:rPr>
          <w:rStyle w:val="26"/>
          <w:rFonts w:hint="eastAsia" w:ascii="仿宋_GB2312" w:hAnsi="仿宋_GB2312" w:eastAsia="仿宋_GB2312"/>
        </w:rPr>
        <w:t>其他生活性服务业。</w:t>
      </w:r>
      <w:r>
        <w:rPr>
          <w:rFonts w:hint="eastAsia"/>
        </w:rPr>
        <w:t>完善养老服务体系，重点发展适合老年人特点的文化娱乐、体育健身、健康服务等。加快发展家庭保洁、幼儿服务、照料陪护等各种传统家政服务，大力发展代理服务、家庭保健等新兴服务业态，完善卫生、娱乐、治安、绿化、社会保障等社区公共服务。</w:t>
      </w:r>
    </w:p>
    <w:p>
      <w:pPr>
        <w:pStyle w:val="3"/>
        <w:spacing w:before="437" w:beforeLines="100" w:after="437" w:afterLines="100" w:line="620" w:lineRule="exact"/>
        <w:rPr>
          <w:rFonts w:ascii="黑体" w:hAnsi="黑体" w:eastAsia="黑体" w:cs="黑体"/>
          <w:b w:val="0"/>
        </w:rPr>
      </w:pPr>
      <w:bookmarkStart w:id="34" w:name="_Toc60646191"/>
      <w:r>
        <w:rPr>
          <w:rFonts w:hint="eastAsia" w:ascii="黑体" w:hAnsi="黑体" w:eastAsia="黑体" w:cs="黑体"/>
          <w:b w:val="0"/>
        </w:rPr>
        <w:t xml:space="preserve">第十二章 </w:t>
      </w:r>
      <w:r>
        <w:rPr>
          <w:rFonts w:ascii="黑体" w:hAnsi="黑体" w:eastAsia="黑体" w:cs="黑体"/>
          <w:b w:val="0"/>
        </w:rPr>
        <w:t xml:space="preserve"> </w:t>
      </w:r>
      <w:r>
        <w:rPr>
          <w:rFonts w:hint="eastAsia" w:ascii="黑体" w:hAnsi="黑体" w:eastAsia="黑体" w:cs="黑体"/>
          <w:b w:val="0"/>
        </w:rPr>
        <w:t>提升产业链现代化水平</w:t>
      </w:r>
      <w:bookmarkEnd w:id="34"/>
    </w:p>
    <w:p>
      <w:pPr>
        <w:tabs>
          <w:tab w:val="right" w:pos="8844"/>
        </w:tabs>
        <w:spacing w:line="620" w:lineRule="exact"/>
        <w:ind w:firstLine="640"/>
        <w:rPr>
          <w:rFonts w:ascii="仿宋_GB2312" w:cs="仿宋_GB2312"/>
          <w:snapToGrid w:val="0"/>
          <w:szCs w:val="32"/>
        </w:rPr>
      </w:pPr>
      <w:r>
        <w:rPr>
          <w:rFonts w:hint="eastAsia" w:ascii="仿宋_GB2312" w:hAnsi="仿宋_GB2312" w:cs="仿宋_GB2312"/>
          <w:snapToGrid w:val="0"/>
          <w:szCs w:val="32"/>
        </w:rPr>
        <w:t>突出创新链引领、产业链延伸，建立产业链链长制，集中力量主攻优势产业链，实现集中化、专业化、精细化发展，培育形成一批在国内、国际具有一定影响力的产业集聚区，努力推动产业基础高级化、产业链现代化。</w:t>
      </w:r>
    </w:p>
    <w:p>
      <w:pPr>
        <w:pStyle w:val="3"/>
        <w:spacing w:before="218" w:after="218" w:line="620" w:lineRule="exact"/>
        <w:rPr>
          <w:rFonts w:ascii="楷体_GB2312" w:hAnsi="楷体_GB2312" w:eastAsia="楷体_GB2312" w:cs="楷体_GB2312"/>
          <w:b w:val="0"/>
        </w:rPr>
      </w:pPr>
      <w:bookmarkStart w:id="35" w:name="_Toc60646192"/>
      <w:r>
        <w:rPr>
          <w:rFonts w:hint="eastAsia" w:ascii="楷体_GB2312" w:hAnsi="楷体_GB2312" w:eastAsia="楷体_GB2312" w:cs="楷体_GB2312"/>
          <w:b w:val="0"/>
        </w:rPr>
        <w:t xml:space="preserve">第一节 </w:t>
      </w:r>
      <w:r>
        <w:rPr>
          <w:rFonts w:ascii="楷体_GB2312" w:hAnsi="楷体_GB2312" w:eastAsia="楷体_GB2312" w:cs="楷体_GB2312"/>
          <w:b w:val="0"/>
        </w:rPr>
        <w:t xml:space="preserve"> </w:t>
      </w:r>
      <w:r>
        <w:rPr>
          <w:rFonts w:hint="eastAsia" w:ascii="楷体_GB2312" w:hAnsi="楷体_GB2312" w:eastAsia="楷体_GB2312" w:cs="楷体_GB2312"/>
          <w:b w:val="0"/>
        </w:rPr>
        <w:t>实施产业链链长制</w:t>
      </w:r>
      <w:bookmarkEnd w:id="35"/>
    </w:p>
    <w:p>
      <w:pPr>
        <w:spacing w:line="620" w:lineRule="exact"/>
        <w:ind w:firstLine="640"/>
      </w:pPr>
      <w:r>
        <w:rPr>
          <w:rFonts w:hint="eastAsia" w:ascii="仿宋_GB2312" w:hAnsi="仿宋_GB2312"/>
        </w:rPr>
        <w:t>围绕精品钢板、纺织服装、高端装备制造、农副产品加工、新能源新材料、现代物流、文化旅游、医养健康、现代高效农业等</w:t>
      </w:r>
      <w:r>
        <w:rPr>
          <w:rFonts w:ascii="仿宋_GB2312" w:hAnsi="仿宋_GB2312"/>
        </w:rPr>
        <w:t>9</w:t>
      </w:r>
      <w:r>
        <w:rPr>
          <w:rFonts w:hint="eastAsia" w:ascii="仿宋_GB2312" w:hAnsi="仿宋_GB2312"/>
        </w:rPr>
        <w:t>个产业，按照一条产业链“一位县级领导、一个牵头部门、一个工作方案”的工作模式，协力推进产业链发展。</w:t>
      </w:r>
      <w:r>
        <w:rPr>
          <w:rFonts w:hint="eastAsia"/>
        </w:rPr>
        <w:t>制定产业链图、技术路线图、应用领域图、区域分布图，实施制造业产业链“四图”作业。加大“建链、延链、补链、强链”力度，努力解决产业链中关键配件、集成部件配套问题，纾解产业链“卡脖子”难题，拉长产业链条。推动各产业集聚集约发展，促进产业集群能级提升，打造一批在全省、全市有优势、有竞争力的特色产业集群。</w:t>
      </w:r>
    </w:p>
    <w:p>
      <w:pPr>
        <w:pStyle w:val="3"/>
        <w:spacing w:before="218" w:after="218" w:line="600" w:lineRule="exact"/>
        <w:rPr>
          <w:rFonts w:ascii="楷体_GB2312" w:hAnsi="楷体_GB2312" w:eastAsia="楷体_GB2312" w:cs="楷体_GB2312"/>
          <w:b w:val="0"/>
        </w:rPr>
      </w:pPr>
      <w:r>
        <w:rPr>
          <w:rFonts w:hint="eastAsia" w:ascii="楷体_GB2312" w:hAnsi="楷体_GB2312" w:eastAsia="楷体_GB2312" w:cs="楷体_GB2312"/>
          <w:b w:val="0"/>
        </w:rPr>
        <w:t>第二节</w:t>
      </w:r>
      <w:bookmarkStart w:id="36" w:name="_Toc60646193"/>
      <w:r>
        <w:rPr>
          <w:rFonts w:hint="eastAsia" w:ascii="楷体_GB2312" w:hAnsi="楷体_GB2312" w:eastAsia="楷体_GB2312" w:cs="楷体_GB2312"/>
          <w:b w:val="0"/>
        </w:rPr>
        <w:t xml:space="preserve"> </w:t>
      </w:r>
      <w:r>
        <w:rPr>
          <w:rFonts w:ascii="楷体_GB2312" w:hAnsi="楷体_GB2312" w:eastAsia="楷体_GB2312" w:cs="楷体_GB2312"/>
          <w:b w:val="0"/>
        </w:rPr>
        <w:t xml:space="preserve"> </w:t>
      </w:r>
      <w:r>
        <w:rPr>
          <w:rFonts w:hint="eastAsia" w:ascii="楷体_GB2312" w:hAnsi="楷体_GB2312" w:eastAsia="楷体_GB2312" w:cs="楷体_GB2312"/>
          <w:b w:val="0"/>
        </w:rPr>
        <w:t>塑造一流产业生态</w:t>
      </w:r>
      <w:bookmarkEnd w:id="36"/>
    </w:p>
    <w:p>
      <w:pPr>
        <w:spacing w:line="600" w:lineRule="exact"/>
        <w:ind w:firstLine="640"/>
        <w:rPr>
          <w:rFonts w:ascii="仿宋_GB2312" w:hAnsi="仿宋" w:cs="仿宋_GB2312"/>
          <w:szCs w:val="32"/>
        </w:rPr>
      </w:pPr>
      <w:r>
        <w:rPr>
          <w:rFonts w:hint="eastAsia" w:ascii="仿宋_GB2312" w:hAnsi="仿宋_GB2312"/>
        </w:rPr>
        <w:t>推进企业梯次培育，遴选各产业链中的骨干企业，支持其做强主业，通过并购、参股等方式，对上下游配套企业进行改造升级；培育更多国家级和省级专精特新“小巨人”企业、单项冠军、隐形冠军、“瞪羚”企业。</w:t>
      </w:r>
      <w:r>
        <w:rPr>
          <w:rFonts w:hint="eastAsia" w:ascii="仿宋_GB2312" w:hAnsi="仿宋" w:cs="仿宋_GB2312"/>
          <w:szCs w:val="32"/>
        </w:rPr>
        <w:t>围绕我县制造业产业，每年优选</w:t>
      </w:r>
      <w:r>
        <w:rPr>
          <w:rFonts w:ascii="仿宋_GB2312" w:hAnsi="仿宋" w:cs="仿宋_GB2312"/>
          <w:szCs w:val="32"/>
        </w:rPr>
        <w:t>10</w:t>
      </w:r>
      <w:r>
        <w:rPr>
          <w:rFonts w:hint="eastAsia" w:ascii="仿宋_GB2312" w:hAnsi="仿宋" w:cs="仿宋_GB2312"/>
          <w:szCs w:val="32"/>
        </w:rPr>
        <w:t>个投资规模大、发展前景好、具备引领作用的制造业新建项目，进行重点支持，形成有效投资，充分发挥制造业项目在促进产业发展的引领、示范和支撑作用。</w:t>
      </w:r>
      <w:r>
        <w:rPr>
          <w:rFonts w:hint="eastAsia" w:ascii="仿宋_GB2312" w:hAnsi="仿宋_GB2312" w:cs="仿宋_GB2312"/>
          <w:szCs w:val="32"/>
        </w:rPr>
        <w:t>每年实施</w:t>
      </w:r>
      <w:r>
        <w:rPr>
          <w:rFonts w:ascii="仿宋_GB2312" w:hAnsi="仿宋_GB2312" w:cs="仿宋_GB2312"/>
          <w:szCs w:val="32"/>
        </w:rPr>
        <w:t>30</w:t>
      </w:r>
      <w:r>
        <w:rPr>
          <w:rFonts w:hint="eastAsia" w:ascii="仿宋_GB2312" w:hAnsi="仿宋_GB2312" w:cs="仿宋_GB2312"/>
          <w:szCs w:val="32"/>
        </w:rPr>
        <w:t>个以上投资</w:t>
      </w:r>
      <w:r>
        <w:rPr>
          <w:rFonts w:ascii="仿宋_GB2312" w:hAnsi="仿宋_GB2312" w:cs="仿宋_GB2312"/>
          <w:szCs w:val="32"/>
        </w:rPr>
        <w:t>500</w:t>
      </w:r>
      <w:r>
        <w:rPr>
          <w:rFonts w:hint="eastAsia" w:ascii="仿宋_GB2312" w:hAnsi="仿宋_GB2312" w:cs="仿宋_GB2312"/>
          <w:szCs w:val="32"/>
        </w:rPr>
        <w:t>万元以上的技术改造项目，持续引导企业加大技改投入，力争用３年时间对重点规模以上制造业企业进行智能化、绿色化技术改造，促进质量效率提升、成本能耗降低。聚焦京津冀、长三角、珠三角及海外重点区域，积极对接央企、</w:t>
      </w:r>
      <w:r>
        <w:rPr>
          <w:rFonts w:ascii="仿宋_GB2312" w:hAnsi="仿宋_GB2312" w:cs="仿宋_GB2312"/>
          <w:szCs w:val="32"/>
        </w:rPr>
        <w:t>500</w:t>
      </w:r>
      <w:r>
        <w:rPr>
          <w:rFonts w:hint="eastAsia" w:ascii="仿宋_GB2312" w:hAnsi="仿宋_GB2312" w:cs="仿宋_GB2312"/>
          <w:szCs w:val="32"/>
        </w:rPr>
        <w:t>强、行业领军企业，开展“精准招商”，每年招商引进</w:t>
      </w:r>
      <w:r>
        <w:rPr>
          <w:rFonts w:ascii="仿宋_GB2312" w:hAnsi="仿宋_GB2312" w:cs="仿宋_GB2312"/>
          <w:szCs w:val="32"/>
        </w:rPr>
        <w:t>3-5</w:t>
      </w:r>
      <w:r>
        <w:rPr>
          <w:rFonts w:hint="eastAsia" w:ascii="仿宋_GB2312" w:hAnsi="仿宋_GB2312" w:cs="仿宋_GB2312"/>
          <w:szCs w:val="32"/>
        </w:rPr>
        <w:t>个制造业项目，建设上下游配套完整的产业集群。</w:t>
      </w:r>
      <w:r>
        <w:rPr>
          <w:rFonts w:hint="eastAsia" w:ascii="仿宋_GB2312" w:hAnsi="仿宋" w:cs="仿宋_GB2312"/>
          <w:szCs w:val="32"/>
        </w:rPr>
        <w:t>围绕破解制约制造业高质量发展的关键共性技术、前沿引领技术、现代工程技术课题等，每年筛选优秀重大课题攻关项目，集中攻克一批具有前瞻性、颠覆性、引领性的技术创新成果。</w:t>
      </w:r>
      <w:r>
        <w:rPr>
          <w:rFonts w:hint="eastAsia" w:ascii="仿宋_GB2312" w:hAnsi="仿宋_GB2312" w:cs="仿宋_GB2312"/>
          <w:szCs w:val="32"/>
        </w:rPr>
        <w:t>围绕我县经济和科技创新领域正处于中试熟化、试生产、产业化初始阶段或者正在引进的高新科技成果，从中筛选优质科技成果，加快科技成果推广力度，促进科技成果转化为综合效益。加大制造业企业“个转企”“小升规”培育力度，引导企业创新创业、加强投资、做大做强、形成规模，持续推进升规纳统，每年新增</w:t>
      </w:r>
      <w:r>
        <w:rPr>
          <w:rFonts w:ascii="仿宋_GB2312" w:hAnsi="仿宋_GB2312" w:cs="仿宋_GB2312"/>
          <w:szCs w:val="32"/>
        </w:rPr>
        <w:t>10</w:t>
      </w:r>
      <w:r>
        <w:rPr>
          <w:rFonts w:hint="eastAsia" w:ascii="仿宋_GB2312" w:hAnsi="仿宋_GB2312" w:cs="仿宋_GB2312"/>
          <w:szCs w:val="32"/>
        </w:rPr>
        <w:t>家规模以上制造业企业。</w:t>
      </w:r>
      <w:r>
        <w:rPr>
          <w:rFonts w:hint="eastAsia" w:ascii="仿宋_GB2312" w:hAnsi="仿宋_GB2312"/>
        </w:rPr>
        <w:t>推广数字技术在产业中的应用，促进数字技术与产业链深度融合，推动产业链向高端化、智能化迈进。推动生产性服务业与各产业协同发展，提高产业链细分领域集中度和跨链融合度。</w:t>
      </w:r>
    </w:p>
    <w:p>
      <w:pPr>
        <w:pStyle w:val="3"/>
        <w:spacing w:before="437" w:beforeLines="100" w:after="437" w:afterLines="100" w:line="600" w:lineRule="exact"/>
        <w:rPr>
          <w:rFonts w:ascii="黑体" w:hAnsi="黑体" w:eastAsia="黑体" w:cs="黑体"/>
          <w:b w:val="0"/>
        </w:rPr>
      </w:pPr>
      <w:bookmarkStart w:id="37" w:name="_Toc60646195"/>
      <w:r>
        <w:rPr>
          <w:rFonts w:hint="eastAsia" w:ascii="黑体" w:hAnsi="黑体" w:eastAsia="黑体" w:cs="黑体"/>
          <w:b w:val="0"/>
        </w:rPr>
        <w:t xml:space="preserve">第十三章 </w:t>
      </w:r>
      <w:r>
        <w:rPr>
          <w:rFonts w:ascii="黑体" w:hAnsi="黑体" w:eastAsia="黑体" w:cs="黑体"/>
          <w:b w:val="0"/>
        </w:rPr>
        <w:t xml:space="preserve"> </w:t>
      </w:r>
      <w:r>
        <w:rPr>
          <w:rFonts w:hint="eastAsia" w:ascii="黑体" w:hAnsi="黑体" w:eastAsia="黑体" w:cs="黑体"/>
          <w:b w:val="0"/>
        </w:rPr>
        <w:t>强化园区发展支撑</w:t>
      </w:r>
      <w:bookmarkEnd w:id="37"/>
    </w:p>
    <w:p>
      <w:pPr>
        <w:spacing w:line="600" w:lineRule="exact"/>
        <w:ind w:firstLine="640"/>
      </w:pPr>
      <w:r>
        <w:rPr>
          <w:rFonts w:hint="eastAsia"/>
        </w:rPr>
        <w:t>按照“产业集约化、工业园区化、布局专业化、机制市场化”的原则，加快推进工业园区平台建设和创新，加快建设“鲁西数字产城融合发展新区”，全力打造冀鲁豫三省交界新兴产业集聚区、新旧动能转换区、生态发展循环经济示范区、智慧园区。</w:t>
      </w:r>
    </w:p>
    <w:p>
      <w:pPr>
        <w:spacing w:line="600" w:lineRule="exact"/>
        <w:ind w:firstLine="640"/>
      </w:pPr>
      <w:r>
        <w:rPr>
          <w:rStyle w:val="26"/>
          <w:rFonts w:hint="eastAsia" w:ascii="楷体_GB2312" w:eastAsia="楷体_GB2312"/>
          <w:b w:val="0"/>
          <w:bCs/>
        </w:rPr>
        <w:t>提高园区承载能力。</w:t>
      </w:r>
      <w:r>
        <w:rPr>
          <w:rFonts w:hint="eastAsia"/>
        </w:rPr>
        <w:t>理顺经济开发区管理体制，抓好乡镇（街道）工业集聚区建设，完善基础配套设施，全面提高承载能力。加强孵化、投融资、人才服务等平台的建设和管理，建立冠县产业技术、政产学研用、高新技术成果转化等平台，高起点推进“鲁西智慧新产城”建设，加快推进“新兴产业园”二期工程建设，更好服务园区长远发展。推动工业园区统筹供排水、水处理及循环利用设施建设，推动创建资源节约型园区。以建设新型智慧园区和智能工厂为重点，建设一批全面感知、设备互联、数据集成、智能管控的行业智能工厂、智能车间。</w:t>
      </w:r>
    </w:p>
    <w:p>
      <w:pPr>
        <w:spacing w:line="600" w:lineRule="exact"/>
        <w:ind w:firstLine="640"/>
      </w:pPr>
      <w:r>
        <w:rPr>
          <w:rStyle w:val="26"/>
          <w:rFonts w:hint="eastAsia" w:ascii="楷体_GB2312" w:eastAsia="楷体_GB2312"/>
          <w:b w:val="0"/>
          <w:bCs/>
        </w:rPr>
        <w:t>加快推进产城融合。</w:t>
      </w:r>
      <w:r>
        <w:rPr>
          <w:rFonts w:hint="eastAsia"/>
        </w:rPr>
        <w:t>积极推行“以产兴城、以城促产”的产城融合发展新模式，建成冀鲁豫三省交界产城融合示范区。加快建设鲁西数字产城融合发展新区，完善园区商贸文体综合配套，建设污水处理厂、医院、文化广场等，加强园区人才职工住房保障，加快文化、卫生、食品等各项社会事业发展，建成综合性、全方位、多功能的综合配套服务体系，构建宜居宜业的园区营商环境。</w:t>
      </w:r>
    </w:p>
    <w:p>
      <w:pPr>
        <w:spacing w:line="620" w:lineRule="exact"/>
        <w:ind w:firstLine="640"/>
      </w:pPr>
      <w:r>
        <w:rPr>
          <w:rStyle w:val="26"/>
          <w:rFonts w:hint="eastAsia" w:ascii="楷体_GB2312" w:eastAsia="楷体_GB2312"/>
          <w:b w:val="0"/>
          <w:bCs/>
        </w:rPr>
        <w:t>提高土地供给水平。</w:t>
      </w:r>
      <w:r>
        <w:rPr>
          <w:rFonts w:hint="eastAsia"/>
        </w:rPr>
        <w:t>实施“腾笼换鸟”行动计划，坚持以供为主、以用为先、供撤结合，全力争取土地指标支持，依法处置“僵尸企业”，盘活低效闲置土地，切实保障项目用地。继续实施“亩产效益”评价，采取差别化纳税、用地、用电、用水等政策，提高企业用地准入标准。继续实施标准地改革、标准厂房建设，提高土地利用效率。提供弹性土地使用方式，切实保障高新技术项目、新兴产业项目、重点招商引资项目用地需求。管控区外工业用地，鼓励发展“飞地工业”。</w:t>
      </w:r>
    </w:p>
    <w:p>
      <w:pPr>
        <w:spacing w:line="620" w:lineRule="exact"/>
        <w:ind w:firstLine="640"/>
      </w:pPr>
      <w:r>
        <w:rPr>
          <w:rStyle w:val="26"/>
          <w:rFonts w:hint="eastAsia"/>
          <w:b w:val="0"/>
          <w:bCs/>
        </w:rPr>
        <w:t>深化园区改革创新。</w:t>
      </w:r>
      <w:r>
        <w:rPr>
          <w:rFonts w:hint="eastAsia"/>
        </w:rPr>
        <w:t>深化开发区体制机制改革，完善“管委会</w:t>
      </w:r>
      <w:r>
        <w:t>+</w:t>
      </w:r>
      <w:r>
        <w:rPr>
          <w:rFonts w:hint="eastAsia"/>
        </w:rPr>
        <w:t>公司”体制，实行“大部制、扁平化”管理，打造精简高效管理体制；“轻装上阵”聚焦经济发展、双招双引等主责主业，推动产业发展提档升级；创新薪酬激励机制，完善金融、人才、科技等配套政策。创新招商引资方式，与省内外招商机构建立产业结构差异化互补信息共享机制，常态化赴长三角、珠三角等地进行招商活动，实行网络招商、以商招商、委托招商、产业链招商。建立联系企业制度、项目帮包制度和银企洽谈机制，实行“驻厂员”全覆盖指导。探索建立差异化、多元化的考核评价体系。</w:t>
      </w:r>
    </w:p>
    <w:p>
      <w:pPr>
        <w:spacing w:line="620" w:lineRule="exact"/>
        <w:ind w:firstLine="640"/>
      </w:pPr>
    </w:p>
    <w:tbl>
      <w:tblPr>
        <w:tblStyle w:val="2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spacing w:before="218" w:beforeLines="50" w:after="218" w:afterLines="50" w:line="480" w:lineRule="exact"/>
              <w:ind w:firstLine="0" w:firstLineChars="0"/>
              <w:jc w:val="center"/>
              <w:rPr>
                <w:rFonts w:ascii="黑体" w:hAnsi="黑体" w:eastAsia="黑体" w:cs="黑体"/>
                <w:bCs/>
                <w:sz w:val="30"/>
              </w:rPr>
            </w:pPr>
            <w:r>
              <w:rPr>
                <w:rFonts w:hint="eastAsia" w:ascii="黑体" w:hAnsi="黑体" w:eastAsia="黑体" w:cs="黑体"/>
                <w:bCs/>
                <w:sz w:val="30"/>
              </w:rPr>
              <w:t>专栏</w:t>
            </w:r>
            <w:r>
              <w:rPr>
                <w:rFonts w:ascii="黑体" w:hAnsi="黑体" w:eastAsia="黑体" w:cs="黑体"/>
                <w:bCs/>
                <w:sz w:val="30"/>
              </w:rPr>
              <w:t>3</w:t>
            </w:r>
            <w:r>
              <w:rPr>
                <w:rFonts w:hint="eastAsia" w:ascii="黑体" w:hAnsi="黑体" w:eastAsia="黑体" w:cs="黑体"/>
                <w:bCs/>
                <w:sz w:val="30"/>
              </w:rPr>
              <w:t>：先进制造业重点项目</w:t>
            </w:r>
          </w:p>
          <w:p>
            <w:pPr>
              <w:spacing w:line="480" w:lineRule="exact"/>
              <w:ind w:firstLine="560"/>
              <w:rPr>
                <w:rFonts w:ascii="仿宋_GB2312" w:cs="仿宋_GB2312"/>
                <w:sz w:val="28"/>
                <w:szCs w:val="28"/>
              </w:rPr>
            </w:pPr>
            <w:r>
              <w:rPr>
                <w:rFonts w:hint="eastAsia" w:ascii="楷体_GB2312" w:hAnsi="黑体" w:eastAsia="楷体_GB2312" w:cs="黑体"/>
                <w:sz w:val="28"/>
                <w:szCs w:val="28"/>
              </w:rPr>
              <w:t>精品钢板：</w:t>
            </w: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w:t>
            </w:r>
            <w:r>
              <w:rPr>
                <w:rFonts w:hint="eastAsia" w:ascii="仿宋_GB2312" w:hAnsi="黑体" w:cs="黑体"/>
                <w:sz w:val="28"/>
                <w:szCs w:val="28"/>
              </w:rPr>
              <w:t>山东冠洲鼎鑫板材科技有限公司彩涂板项目。</w:t>
            </w:r>
            <w:r>
              <w:rPr>
                <w:rFonts w:hint="eastAsia" w:ascii="仿宋_GB2312" w:hAnsi="仿宋_GB2312" w:cs="仿宋_GB2312"/>
                <w:sz w:val="28"/>
                <w:szCs w:val="28"/>
              </w:rPr>
              <w:t>（</w:t>
            </w:r>
            <w:r>
              <w:rPr>
                <w:rFonts w:ascii="仿宋_GB2312" w:hAnsi="仿宋_GB2312" w:cs="仿宋_GB2312"/>
                <w:sz w:val="28"/>
                <w:szCs w:val="28"/>
              </w:rPr>
              <w:t>2</w:t>
            </w:r>
            <w:r>
              <w:rPr>
                <w:rFonts w:hint="eastAsia" w:ascii="仿宋_GB2312" w:hAnsi="仿宋_GB2312" w:cs="仿宋_GB2312"/>
                <w:sz w:val="28"/>
                <w:szCs w:val="28"/>
              </w:rPr>
              <w:t>）冠县仁泽复合材料有限公司冷轧生产线及铝锌镁生产线项目。（</w:t>
            </w:r>
            <w:r>
              <w:rPr>
                <w:rFonts w:ascii="仿宋_GB2312" w:hAnsi="仿宋_GB2312" w:cs="仿宋_GB2312"/>
                <w:sz w:val="28"/>
                <w:szCs w:val="28"/>
              </w:rPr>
              <w:t>3</w:t>
            </w:r>
            <w:r>
              <w:rPr>
                <w:rFonts w:hint="eastAsia" w:ascii="仿宋_GB2312" w:hAnsi="仿宋_GB2312" w:cs="仿宋_GB2312"/>
                <w:sz w:val="28"/>
                <w:szCs w:val="28"/>
              </w:rPr>
              <w:t>）山东瑞丰复合材料有限公司优特钢冷轧工程及钢材仓储配送中心项目。（</w:t>
            </w:r>
            <w:r>
              <w:rPr>
                <w:rFonts w:ascii="仿宋_GB2312" w:hAnsi="仿宋_GB2312" w:cs="仿宋_GB2312"/>
                <w:sz w:val="28"/>
                <w:szCs w:val="28"/>
              </w:rPr>
              <w:t>4</w:t>
            </w:r>
            <w:r>
              <w:rPr>
                <w:rFonts w:hint="eastAsia" w:ascii="仿宋_GB2312" w:hAnsi="仿宋_GB2312" w:cs="仿宋_GB2312"/>
                <w:sz w:val="28"/>
                <w:szCs w:val="28"/>
              </w:rPr>
              <w:t>）山东科兹曼复合材料有限公司自动愈合镀铝锌镁板项目。（</w:t>
            </w:r>
            <w:r>
              <w:rPr>
                <w:rFonts w:ascii="仿宋_GB2312" w:hAnsi="仿宋_GB2312" w:cs="仿宋_GB2312"/>
                <w:sz w:val="28"/>
                <w:szCs w:val="28"/>
              </w:rPr>
              <w:t>5</w:t>
            </w:r>
            <w:r>
              <w:rPr>
                <w:rFonts w:hint="eastAsia" w:ascii="仿宋_GB2312" w:hAnsi="仿宋_GB2312" w:cs="仿宋_GB2312"/>
                <w:sz w:val="28"/>
                <w:szCs w:val="28"/>
              </w:rPr>
              <w:t>）山东标航交通设施有限公司热镀锌板、交通设施及配件、标志杆、标识牌项目。（</w:t>
            </w:r>
            <w:r>
              <w:rPr>
                <w:rFonts w:ascii="仿宋_GB2312" w:hAnsi="仿宋_GB2312" w:cs="仿宋_GB2312"/>
                <w:sz w:val="28"/>
                <w:szCs w:val="28"/>
              </w:rPr>
              <w:t>6</w:t>
            </w:r>
            <w:r>
              <w:rPr>
                <w:rFonts w:hint="eastAsia" w:ascii="仿宋_GB2312" w:hAnsi="仿宋_GB2312" w:cs="仿宋_GB2312"/>
                <w:sz w:val="28"/>
                <w:szCs w:val="28"/>
              </w:rPr>
              <w:t>）冠县玖能管业有限公司钢管、热镀锌板及交通设施项目。（</w:t>
            </w:r>
            <w:r>
              <w:rPr>
                <w:rFonts w:ascii="仿宋_GB2312" w:hAnsi="仿宋_GB2312" w:cs="仿宋_GB2312"/>
                <w:sz w:val="28"/>
                <w:szCs w:val="28"/>
              </w:rPr>
              <w:t>7</w:t>
            </w:r>
            <w:r>
              <w:rPr>
                <w:rFonts w:hint="eastAsia" w:ascii="仿宋_GB2312" w:hAnsi="仿宋_GB2312" w:cs="仿宋_GB2312"/>
                <w:sz w:val="28"/>
                <w:szCs w:val="28"/>
              </w:rPr>
              <w:t>）山东华恒新材料有限公司热镀锌板、彩涂板、热镀铝锌硅钢板、冷轧钢板及冷轧薄板、交通设施及配件、瓦楞板项目。</w:t>
            </w:r>
          </w:p>
          <w:p>
            <w:pPr>
              <w:spacing w:line="480" w:lineRule="exact"/>
              <w:ind w:firstLine="560"/>
              <w:rPr>
                <w:rFonts w:ascii="仿宋_GB2312" w:cs="仿宋_GB2312"/>
                <w:sz w:val="28"/>
                <w:szCs w:val="28"/>
              </w:rPr>
            </w:pPr>
            <w:r>
              <w:rPr>
                <w:rFonts w:hint="eastAsia" w:ascii="楷体_GB2312" w:hAnsi="黑体" w:eastAsia="楷体_GB2312" w:cs="黑体"/>
                <w:sz w:val="28"/>
                <w:szCs w:val="28"/>
              </w:rPr>
              <w:t>纺织服装：</w:t>
            </w: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）冠星纺织集团总公司优化升级提质增效项目。（</w:t>
            </w:r>
            <w:r>
              <w:rPr>
                <w:rFonts w:ascii="仿宋_GB2312" w:hAnsi="仿宋_GB2312" w:cs="仿宋_GB2312"/>
                <w:sz w:val="28"/>
                <w:szCs w:val="28"/>
              </w:rPr>
              <w:t>2</w:t>
            </w:r>
            <w:r>
              <w:rPr>
                <w:rFonts w:hint="eastAsia" w:ascii="仿宋_GB2312" w:hAnsi="仿宋_GB2312" w:cs="仿宋_GB2312"/>
                <w:sz w:val="28"/>
                <w:szCs w:val="28"/>
              </w:rPr>
              <w:t>）冠坤纺织有限责任公司无纺布项目。</w:t>
            </w:r>
          </w:p>
          <w:p>
            <w:pPr>
              <w:spacing w:line="480" w:lineRule="exact"/>
              <w:ind w:firstLine="560"/>
              <w:rPr>
                <w:rFonts w:ascii="仿宋_GB2312" w:cs="仿宋_GB2312"/>
                <w:sz w:val="28"/>
                <w:szCs w:val="28"/>
              </w:rPr>
            </w:pPr>
            <w:r>
              <w:rPr>
                <w:rFonts w:hint="eastAsia" w:ascii="楷体_GB2312" w:hAnsi="黑体" w:eastAsia="楷体_GB2312" w:cs="黑体"/>
                <w:sz w:val="28"/>
                <w:szCs w:val="28"/>
              </w:rPr>
              <w:t>农副产品加工：</w:t>
            </w: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）聊城温氏晶益食品有限公司温氏生猪屠宰及深加工项目。（</w:t>
            </w:r>
            <w:r>
              <w:rPr>
                <w:rFonts w:ascii="仿宋_GB2312" w:hAnsi="仿宋_GB2312" w:cs="仿宋_GB2312"/>
                <w:sz w:val="28"/>
                <w:szCs w:val="28"/>
              </w:rPr>
              <w:t>2</w:t>
            </w:r>
            <w:r>
              <w:rPr>
                <w:rFonts w:hint="eastAsia" w:ascii="仿宋_GB2312" w:hAnsi="仿宋_GB2312" w:cs="仿宋_GB2312"/>
                <w:sz w:val="28"/>
                <w:szCs w:val="28"/>
              </w:rPr>
              <w:t>）山东百佳食品有限公司调味品产业园、果品基地建设及果蔬食品深加工项目。（</w:t>
            </w:r>
            <w:r>
              <w:rPr>
                <w:rFonts w:ascii="仿宋_GB2312" w:hAnsi="仿宋_GB2312" w:cs="仿宋_GB2312"/>
                <w:sz w:val="28"/>
                <w:szCs w:val="28"/>
              </w:rPr>
              <w:t>3</w:t>
            </w:r>
            <w:r>
              <w:rPr>
                <w:rFonts w:hint="eastAsia" w:ascii="仿宋_GB2312" w:hAnsi="仿宋_GB2312" w:cs="仿宋_GB2312"/>
                <w:sz w:val="28"/>
                <w:szCs w:val="28"/>
              </w:rPr>
              <w:t>）冠县穆德屠宰加工冷链一体化项目。（</w:t>
            </w:r>
            <w:r>
              <w:rPr>
                <w:rFonts w:ascii="仿宋_GB2312" w:hAnsi="仿宋_GB2312" w:cs="仿宋_GB2312"/>
                <w:sz w:val="28"/>
                <w:szCs w:val="28"/>
              </w:rPr>
              <w:t>4</w:t>
            </w:r>
            <w:r>
              <w:rPr>
                <w:rFonts w:hint="eastAsia" w:ascii="仿宋_GB2312" w:hAnsi="仿宋_GB2312" w:cs="仿宋_GB2312"/>
                <w:sz w:val="28"/>
                <w:szCs w:val="28"/>
              </w:rPr>
              <w:t>）冠县温氏畜牧有限公司年产饲料加工厂项目。（</w:t>
            </w:r>
            <w:r>
              <w:rPr>
                <w:rFonts w:ascii="仿宋_GB2312" w:hAnsi="仿宋_GB2312" w:cs="仿宋_GB2312"/>
                <w:sz w:val="28"/>
                <w:szCs w:val="28"/>
              </w:rPr>
              <w:t>5</w:t>
            </w:r>
            <w:r>
              <w:rPr>
                <w:rFonts w:hint="eastAsia" w:ascii="仿宋_GB2312" w:hAnsi="仿宋_GB2312" w:cs="仿宋_GB2312"/>
                <w:sz w:val="28"/>
                <w:szCs w:val="28"/>
              </w:rPr>
              <w:t>）冠县新瑞实业有限公司高效循环农业农产品精深加工建设项目。（</w:t>
            </w:r>
            <w:r>
              <w:rPr>
                <w:rFonts w:ascii="仿宋_GB2312" w:hAnsi="仿宋_GB2312" w:cs="仿宋_GB2312"/>
                <w:sz w:val="28"/>
                <w:szCs w:val="28"/>
              </w:rPr>
              <w:t>6</w:t>
            </w:r>
            <w:r>
              <w:rPr>
                <w:rFonts w:hint="eastAsia" w:ascii="仿宋_GB2312" w:hAnsi="仿宋_GB2312" w:cs="仿宋_GB2312"/>
                <w:sz w:val="28"/>
                <w:szCs w:val="28"/>
              </w:rPr>
              <w:t>）优然牧业奶牛养殖及产品深加工项目。</w:t>
            </w:r>
          </w:p>
          <w:p>
            <w:pPr>
              <w:spacing w:line="480" w:lineRule="exact"/>
              <w:ind w:firstLine="560"/>
              <w:rPr>
                <w:rFonts w:ascii="仿宋" w:hAnsi="仿宋" w:eastAsia="仿宋" w:cs="仿宋"/>
                <w:b/>
                <w:bCs/>
                <w:sz w:val="36"/>
                <w:szCs w:val="36"/>
              </w:rPr>
            </w:pPr>
            <w:r>
              <w:rPr>
                <w:rFonts w:hint="eastAsia" w:ascii="楷体_GB2312" w:hAnsi="黑体" w:eastAsia="楷体_GB2312" w:cs="黑体"/>
                <w:sz w:val="28"/>
                <w:szCs w:val="28"/>
              </w:rPr>
              <w:t>高端装备制造：</w:t>
            </w: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）山东美页自动化科技有限公司智能家居关键零部件项目。（</w:t>
            </w:r>
            <w:r>
              <w:rPr>
                <w:rFonts w:ascii="仿宋_GB2312" w:hAnsi="仿宋_GB2312" w:cs="仿宋_GB2312"/>
                <w:sz w:val="28"/>
                <w:szCs w:val="28"/>
              </w:rPr>
              <w:t>2</w:t>
            </w:r>
            <w:r>
              <w:rPr>
                <w:rFonts w:hint="eastAsia" w:ascii="仿宋_GB2312" w:hAnsi="仿宋_GB2312" w:cs="仿宋_GB2312"/>
                <w:sz w:val="28"/>
                <w:szCs w:val="28"/>
              </w:rPr>
              <w:t>）山东冠东专用车辆有限公司工业自动化装备项目。（</w:t>
            </w:r>
            <w:r>
              <w:rPr>
                <w:rFonts w:ascii="仿宋_GB2312" w:hAnsi="仿宋_GB2312" w:cs="仿宋_GB2312"/>
                <w:sz w:val="28"/>
                <w:szCs w:val="28"/>
              </w:rPr>
              <w:t>3</w:t>
            </w:r>
            <w:r>
              <w:rPr>
                <w:rFonts w:hint="eastAsia" w:ascii="仿宋_GB2312" w:hAnsi="仿宋_GB2312" w:cs="仿宋_GB2312"/>
                <w:sz w:val="28"/>
                <w:szCs w:val="28"/>
              </w:rPr>
              <w:t>）冠县华超金属科技有限公司农机配件项目。（</w:t>
            </w:r>
            <w:r>
              <w:rPr>
                <w:rFonts w:ascii="仿宋_GB2312" w:hAnsi="仿宋_GB2312" w:cs="仿宋_GB2312"/>
                <w:sz w:val="28"/>
                <w:szCs w:val="28"/>
              </w:rPr>
              <w:t>4</w:t>
            </w:r>
            <w:r>
              <w:rPr>
                <w:rFonts w:hint="eastAsia" w:ascii="仿宋_GB2312" w:hAnsi="仿宋_GB2312" w:cs="仿宋_GB2312"/>
                <w:sz w:val="28"/>
                <w:szCs w:val="28"/>
              </w:rPr>
              <w:t>）聊城神州房车有限公司房车项目。（</w:t>
            </w:r>
            <w:r>
              <w:rPr>
                <w:rFonts w:ascii="仿宋_GB2312" w:hAnsi="仿宋_GB2312" w:cs="仿宋_GB2312"/>
                <w:sz w:val="28"/>
                <w:szCs w:val="28"/>
              </w:rPr>
              <w:t>5</w:t>
            </w:r>
            <w:r>
              <w:rPr>
                <w:rFonts w:hint="eastAsia" w:ascii="仿宋_GB2312" w:hAnsi="仿宋_GB2312" w:cs="仿宋_GB2312"/>
                <w:sz w:val="28"/>
                <w:szCs w:val="28"/>
              </w:rPr>
              <w:t>）山东济冠机电设备有限公司智能机电设备项目。（</w:t>
            </w:r>
            <w:r>
              <w:rPr>
                <w:rFonts w:ascii="仿宋_GB2312" w:hAnsi="仿宋_GB2312" w:cs="仿宋_GB2312"/>
                <w:sz w:val="28"/>
                <w:szCs w:val="28"/>
              </w:rPr>
              <w:t>6</w:t>
            </w:r>
            <w:r>
              <w:rPr>
                <w:rFonts w:hint="eastAsia" w:ascii="仿宋_GB2312" w:hAnsi="仿宋_GB2312" w:cs="仿宋_GB2312"/>
                <w:sz w:val="28"/>
                <w:szCs w:val="28"/>
              </w:rPr>
              <w:t>）冠县东弘机械配件有限公司薄片产品项目。（</w:t>
            </w:r>
            <w:r>
              <w:rPr>
                <w:rFonts w:ascii="仿宋_GB2312" w:hAnsi="仿宋_GB2312" w:cs="仿宋_GB2312"/>
                <w:sz w:val="28"/>
                <w:szCs w:val="28"/>
              </w:rPr>
              <w:t>7</w:t>
            </w:r>
            <w:r>
              <w:rPr>
                <w:rFonts w:hint="eastAsia" w:ascii="仿宋_GB2312" w:hAnsi="仿宋_GB2312" w:cs="仿宋_GB2312"/>
                <w:sz w:val="28"/>
                <w:szCs w:val="28"/>
              </w:rPr>
              <w:t>）山东普菲克金属制品有限公司高强度平垫圈项目。（</w:t>
            </w:r>
            <w:r>
              <w:rPr>
                <w:rFonts w:ascii="仿宋_GB2312" w:hAnsi="仿宋_GB2312" w:cs="仿宋_GB2312"/>
                <w:sz w:val="28"/>
                <w:szCs w:val="28"/>
              </w:rPr>
              <w:t>8</w:t>
            </w:r>
            <w:r>
              <w:rPr>
                <w:rFonts w:hint="eastAsia" w:ascii="仿宋_GB2312" w:hAnsi="仿宋_GB2312" w:cs="仿宋_GB2312"/>
                <w:sz w:val="28"/>
                <w:szCs w:val="28"/>
              </w:rPr>
              <w:t>）山东博众交通设施有限公司交通设施及配件项目。（</w:t>
            </w:r>
            <w:r>
              <w:rPr>
                <w:rFonts w:ascii="仿宋_GB2312" w:hAnsi="仿宋_GB2312" w:cs="仿宋_GB2312"/>
                <w:sz w:val="28"/>
                <w:szCs w:val="28"/>
              </w:rPr>
              <w:t>9</w:t>
            </w:r>
            <w:r>
              <w:rPr>
                <w:rFonts w:hint="eastAsia" w:ascii="仿宋_GB2312" w:hAnsi="仿宋_GB2312" w:cs="仿宋_GB2312"/>
                <w:sz w:val="28"/>
                <w:szCs w:val="28"/>
              </w:rPr>
              <w:t>）冠县润丰新材料有限公司交通设施及配件项目。（</w:t>
            </w:r>
            <w:r>
              <w:rPr>
                <w:rFonts w:ascii="仿宋_GB2312" w:hAnsi="仿宋_GB2312" w:cs="仿宋_GB2312"/>
                <w:sz w:val="28"/>
                <w:szCs w:val="28"/>
              </w:rPr>
              <w:t>10</w:t>
            </w:r>
            <w:r>
              <w:rPr>
                <w:rFonts w:hint="eastAsia" w:ascii="仿宋_GB2312" w:hAnsi="仿宋_GB2312" w:cs="仿宋_GB2312"/>
                <w:sz w:val="28"/>
                <w:szCs w:val="28"/>
              </w:rPr>
              <w:t>）冠县鼎恒金属材料有限公司交通设施及配件、标志杆、标识牌项目。（</w:t>
            </w:r>
            <w:r>
              <w:rPr>
                <w:rFonts w:ascii="仿宋_GB2312" w:hAnsi="仿宋_GB2312" w:cs="仿宋_GB2312"/>
                <w:sz w:val="28"/>
                <w:szCs w:val="28"/>
              </w:rPr>
              <w:t>11</w:t>
            </w:r>
            <w:r>
              <w:rPr>
                <w:rFonts w:hint="eastAsia" w:ascii="仿宋_GB2312" w:hAnsi="仿宋_GB2312" w:cs="仿宋_GB2312"/>
                <w:sz w:val="28"/>
                <w:szCs w:val="28"/>
              </w:rPr>
              <w:t>）冠县亿鑫交通设施有限公司交通护栏及配件项目。（</w:t>
            </w:r>
            <w:r>
              <w:rPr>
                <w:rFonts w:ascii="仿宋_GB2312" w:hAnsi="仿宋_GB2312" w:cs="仿宋_GB2312"/>
                <w:sz w:val="28"/>
                <w:szCs w:val="28"/>
              </w:rPr>
              <w:t>12</w:t>
            </w:r>
            <w:r>
              <w:rPr>
                <w:rFonts w:hint="eastAsia" w:ascii="仿宋_GB2312" w:hAnsi="仿宋_GB2312" w:cs="仿宋_GB2312"/>
                <w:sz w:val="28"/>
                <w:szCs w:val="28"/>
              </w:rPr>
              <w:t>）冠县润恒交通设施有限公司交通设施及配件项目。（</w:t>
            </w:r>
            <w:r>
              <w:rPr>
                <w:rFonts w:ascii="仿宋_GB2312" w:hAnsi="仿宋_GB2312" w:cs="仿宋_GB2312"/>
                <w:sz w:val="28"/>
                <w:szCs w:val="28"/>
              </w:rPr>
              <w:t>13</w:t>
            </w:r>
            <w:r>
              <w:rPr>
                <w:rFonts w:hint="eastAsia" w:ascii="仿宋_GB2312" w:hAnsi="仿宋_GB2312" w:cs="仿宋_GB2312"/>
                <w:sz w:val="28"/>
                <w:szCs w:val="28"/>
              </w:rPr>
              <w:t>）山东星发交通设施有限公司交通设施及配件项目。（</w:t>
            </w:r>
            <w:r>
              <w:rPr>
                <w:rFonts w:ascii="仿宋_GB2312" w:hAnsi="仿宋_GB2312" w:cs="仿宋_GB2312"/>
                <w:sz w:val="28"/>
                <w:szCs w:val="28"/>
              </w:rPr>
              <w:t>14</w:t>
            </w:r>
            <w:r>
              <w:rPr>
                <w:rFonts w:hint="eastAsia" w:ascii="仿宋_GB2312" w:hAnsi="仿宋_GB2312" w:cs="仿宋_GB2312"/>
                <w:sz w:val="28"/>
                <w:szCs w:val="28"/>
              </w:rPr>
              <w:t>）冠县润力交通设施有限公司交通设施及配件项目。（</w:t>
            </w:r>
            <w:r>
              <w:rPr>
                <w:rFonts w:ascii="仿宋_GB2312" w:hAnsi="仿宋_GB2312" w:cs="仿宋_GB2312"/>
                <w:sz w:val="28"/>
                <w:szCs w:val="28"/>
              </w:rPr>
              <w:t>15</w:t>
            </w:r>
            <w:r>
              <w:rPr>
                <w:rFonts w:hint="eastAsia" w:ascii="仿宋_GB2312" w:hAnsi="仿宋_GB2312" w:cs="仿宋_GB2312"/>
                <w:sz w:val="28"/>
                <w:szCs w:val="28"/>
              </w:rPr>
              <w:t>）山东京汇航交通设施有限公司交通设施及配套零部件加工、销售及展示展览服务项目。（</w:t>
            </w:r>
            <w:r>
              <w:rPr>
                <w:rFonts w:ascii="仿宋_GB2312" w:hAnsi="仿宋_GB2312" w:cs="仿宋_GB2312"/>
                <w:sz w:val="28"/>
                <w:szCs w:val="28"/>
              </w:rPr>
              <w:t>16</w:t>
            </w:r>
            <w:r>
              <w:rPr>
                <w:rFonts w:hint="eastAsia" w:ascii="仿宋_GB2312" w:hAnsi="仿宋_GB2312" w:cs="仿宋_GB2312"/>
                <w:sz w:val="28"/>
                <w:szCs w:val="28"/>
              </w:rPr>
              <w:t>）山东冠太新材料有限公司新型精密轴承和非晶态金属线材项目（非酸性碳钢）。（</w:t>
            </w:r>
            <w:r>
              <w:rPr>
                <w:rFonts w:ascii="仿宋_GB2312" w:hAnsi="仿宋_GB2312" w:cs="仿宋_GB2312"/>
                <w:sz w:val="28"/>
                <w:szCs w:val="28"/>
              </w:rPr>
              <w:t>17</w:t>
            </w:r>
            <w:r>
              <w:rPr>
                <w:rFonts w:hint="eastAsia" w:ascii="仿宋_GB2312" w:hAnsi="仿宋_GB2312" w:cs="仿宋_GB2312"/>
                <w:sz w:val="28"/>
                <w:szCs w:val="28"/>
              </w:rPr>
              <w:t>）冠县顺泰轴承有限公司精密轴承项目。（</w:t>
            </w:r>
            <w:r>
              <w:rPr>
                <w:rFonts w:ascii="仿宋_GB2312" w:hAnsi="仿宋_GB2312" w:cs="仿宋_GB2312"/>
                <w:sz w:val="28"/>
                <w:szCs w:val="28"/>
              </w:rPr>
              <w:t>18</w:t>
            </w:r>
            <w:r>
              <w:rPr>
                <w:rFonts w:hint="eastAsia" w:ascii="仿宋_GB2312" w:hAnsi="仿宋_GB2312" w:cs="仿宋_GB2312"/>
                <w:sz w:val="28"/>
                <w:szCs w:val="28"/>
              </w:rPr>
              <w:t>）冠县智拓轴承有限公司轴承配件、精密电机轴承项目。（</w:t>
            </w:r>
            <w:r>
              <w:rPr>
                <w:rFonts w:ascii="仿宋_GB2312" w:hAnsi="仿宋_GB2312" w:cs="仿宋_GB2312"/>
                <w:sz w:val="28"/>
                <w:szCs w:val="28"/>
              </w:rPr>
              <w:t>19</w:t>
            </w:r>
            <w:r>
              <w:rPr>
                <w:rFonts w:hint="eastAsia" w:ascii="仿宋_GB2312" w:hAnsi="仿宋_GB2312" w:cs="仿宋_GB2312"/>
                <w:sz w:val="28"/>
                <w:szCs w:val="28"/>
              </w:rPr>
              <w:t>）山东晖昭钢管有限公司轴承钢管及轴承套圈项目。（</w:t>
            </w:r>
            <w:r>
              <w:rPr>
                <w:rFonts w:ascii="仿宋_GB2312" w:hAnsi="仿宋_GB2312" w:cs="仿宋_GB2312"/>
                <w:sz w:val="28"/>
                <w:szCs w:val="28"/>
              </w:rPr>
              <w:t>20</w:t>
            </w:r>
            <w:r>
              <w:rPr>
                <w:rFonts w:hint="eastAsia" w:ascii="仿宋_GB2312" w:hAnsi="仿宋_GB2312" w:cs="仿宋_GB2312"/>
                <w:sz w:val="28"/>
                <w:szCs w:val="28"/>
              </w:rPr>
              <w:t>）聊城冠和新能源科技有限公司游艇电磁泵轴连轴承项目。（</w:t>
            </w:r>
            <w:r>
              <w:rPr>
                <w:rFonts w:ascii="仿宋_GB2312" w:hAnsi="仿宋_GB2312" w:cs="仿宋_GB2312"/>
                <w:sz w:val="28"/>
                <w:szCs w:val="28"/>
              </w:rPr>
              <w:t>21</w:t>
            </w:r>
            <w:r>
              <w:rPr>
                <w:rFonts w:hint="eastAsia" w:ascii="仿宋_GB2312" w:hAnsi="仿宋_GB2312" w:cs="仿宋_GB2312"/>
                <w:sz w:val="28"/>
                <w:szCs w:val="28"/>
              </w:rPr>
              <w:t>）山东山冶重工科技有限公司能源勘探开采装备及风电设备生产与制造项目。（</w:t>
            </w:r>
            <w:r>
              <w:rPr>
                <w:rFonts w:ascii="仿宋_GB2312" w:hAnsi="仿宋_GB2312" w:cs="仿宋_GB2312"/>
                <w:sz w:val="28"/>
                <w:szCs w:val="28"/>
              </w:rPr>
              <w:t>22</w:t>
            </w:r>
            <w:r>
              <w:rPr>
                <w:rFonts w:hint="eastAsia" w:ascii="仿宋_GB2312" w:hAnsi="仿宋_GB2312" w:cs="仿宋_GB2312"/>
                <w:sz w:val="28"/>
                <w:szCs w:val="28"/>
              </w:rPr>
              <w:t>）聊城尚敖超硬材料有限公司克拉宝石级人造钻石项目。（</w:t>
            </w:r>
            <w:r>
              <w:rPr>
                <w:rFonts w:ascii="仿宋_GB2312" w:hAnsi="仿宋_GB2312" w:cs="仿宋_GB2312"/>
                <w:sz w:val="28"/>
                <w:szCs w:val="28"/>
              </w:rPr>
              <w:t>23</w:t>
            </w:r>
            <w:r>
              <w:rPr>
                <w:rFonts w:hint="eastAsia" w:ascii="仿宋_GB2312" w:hAnsi="仿宋_GB2312" w:cs="仿宋_GB2312"/>
                <w:sz w:val="28"/>
                <w:szCs w:val="28"/>
              </w:rPr>
              <w:t>）聊城拯卫机械科技有限公司新型建筑构件项目。</w:t>
            </w:r>
            <w:r>
              <w:rPr>
                <w:rFonts w:hint="eastAsia" w:ascii="仿宋_GB2312" w:hAnsi="仿宋" w:cs="仿宋"/>
                <w:bCs/>
                <w:sz w:val="28"/>
                <w:szCs w:val="28"/>
              </w:rPr>
              <w:t>（</w:t>
            </w:r>
            <w:r>
              <w:rPr>
                <w:rFonts w:ascii="仿宋_GB2312" w:hAnsi="仿宋" w:cs="仿宋"/>
                <w:bCs/>
                <w:sz w:val="28"/>
                <w:szCs w:val="28"/>
              </w:rPr>
              <w:t>24</w:t>
            </w:r>
            <w:r>
              <w:rPr>
                <w:rFonts w:hint="eastAsia" w:ascii="仿宋_GB2312" w:hAnsi="仿宋" w:cs="仿宋"/>
                <w:bCs/>
                <w:sz w:val="28"/>
                <w:szCs w:val="28"/>
              </w:rPr>
              <w:t>）</w:t>
            </w:r>
            <w:r>
              <w:rPr>
                <w:rFonts w:hint="eastAsia" w:ascii="仿宋_GB2312" w:hAnsi="仿宋_GB2312" w:cs="仿宋_GB2312"/>
                <w:bCs/>
                <w:kern w:val="0"/>
                <w:sz w:val="28"/>
                <w:szCs w:val="28"/>
              </w:rPr>
              <w:t>冠县顺长专用车制造有限公司专用汽车建设项目。（</w:t>
            </w:r>
            <w:r>
              <w:rPr>
                <w:rFonts w:ascii="仿宋_GB2312" w:hAnsi="仿宋_GB2312" w:cs="仿宋_GB2312"/>
                <w:bCs/>
                <w:kern w:val="0"/>
                <w:sz w:val="28"/>
                <w:szCs w:val="28"/>
              </w:rPr>
              <w:t>25</w:t>
            </w:r>
            <w:r>
              <w:rPr>
                <w:rFonts w:hint="eastAsia" w:ascii="仿宋_GB2312" w:hAnsi="仿宋_GB2312" w:cs="仿宋_GB2312"/>
                <w:bCs/>
                <w:kern w:val="0"/>
                <w:sz w:val="28"/>
                <w:szCs w:val="28"/>
              </w:rPr>
              <w:t>）</w:t>
            </w:r>
            <w:r>
              <w:rPr>
                <w:rFonts w:hint="eastAsia" w:ascii="仿宋_GB2312" w:hAnsi="仿宋_GB2312" w:cs="仿宋_GB2312"/>
                <w:sz w:val="28"/>
                <w:szCs w:val="28"/>
              </w:rPr>
              <w:t>冠县风廷金属表面处理有限公司交通设施及配件、无缝钢管镀锌件项目。（</w:t>
            </w:r>
            <w:r>
              <w:rPr>
                <w:rFonts w:ascii="仿宋_GB2312" w:hAnsi="仿宋_GB2312" w:cs="仿宋_GB2312"/>
                <w:sz w:val="28"/>
                <w:szCs w:val="28"/>
              </w:rPr>
              <w:t>26</w:t>
            </w:r>
            <w:r>
              <w:rPr>
                <w:rFonts w:hint="eastAsia" w:ascii="仿宋_GB2312" w:hAnsi="仿宋_GB2312" w:cs="仿宋_GB2312"/>
                <w:sz w:val="28"/>
                <w:szCs w:val="28"/>
              </w:rPr>
              <w:t>）</w:t>
            </w:r>
            <w:r>
              <w:rPr>
                <w:rFonts w:hint="eastAsia" w:ascii="仿宋_GB2312" w:hAnsi="宋体" w:cs="宋体"/>
                <w:sz w:val="28"/>
                <w:szCs w:val="28"/>
              </w:rPr>
              <w:t>赫锐德智能科技有限公司高空作业平台二期建设项目。（</w:t>
            </w:r>
            <w:r>
              <w:rPr>
                <w:rFonts w:ascii="仿宋_GB2312" w:hAnsi="宋体" w:cs="宋体"/>
                <w:sz w:val="28"/>
                <w:szCs w:val="28"/>
              </w:rPr>
              <w:t>27</w:t>
            </w:r>
            <w:r>
              <w:rPr>
                <w:rFonts w:hint="eastAsia" w:ascii="仿宋_GB2312" w:hAnsi="宋体" w:cs="宋体"/>
                <w:sz w:val="28"/>
                <w:szCs w:val="28"/>
              </w:rPr>
              <w:t>）聊城冠辰轴承科技有限公司精密轴承项目。</w:t>
            </w:r>
          </w:p>
          <w:p>
            <w:pPr>
              <w:spacing w:line="480" w:lineRule="exact"/>
              <w:ind w:firstLine="560"/>
              <w:rPr>
                <w:rFonts w:ascii="仿宋_GB2312" w:cs="仿宋_GB2312"/>
                <w:color w:val="C00000"/>
                <w:sz w:val="28"/>
                <w:szCs w:val="28"/>
              </w:rPr>
            </w:pPr>
            <w:r>
              <w:rPr>
                <w:rFonts w:hint="eastAsia" w:ascii="楷体_GB2312" w:hAnsi="黑体" w:eastAsia="楷体_GB2312" w:cs="黑体"/>
                <w:sz w:val="28"/>
                <w:szCs w:val="28"/>
              </w:rPr>
              <w:t>新材料：</w:t>
            </w:r>
            <w:r>
              <w:rPr>
                <w:rFonts w:hint="eastAsia" w:ascii="楷体_GB2312" w:hAnsi="仿宋_GB2312" w:eastAsia="楷体_GB2312" w:cs="仿宋_GB2312"/>
                <w:bCs/>
                <w:sz w:val="28"/>
                <w:szCs w:val="28"/>
              </w:rPr>
              <w:t>（</w:t>
            </w:r>
            <w:r>
              <w:rPr>
                <w:rFonts w:ascii="仿宋_GB2312" w:hAnsi="仿宋_GB2312" w:cs="仿宋_GB2312"/>
                <w:bCs/>
                <w:sz w:val="28"/>
                <w:szCs w:val="28"/>
              </w:rPr>
              <w:t>1</w:t>
            </w:r>
            <w:r>
              <w:rPr>
                <w:rFonts w:hint="eastAsia" w:ascii="仿宋_GB2312" w:hAnsi="仿宋_GB2312" w:cs="仿宋_GB2312"/>
                <w:bCs/>
                <w:sz w:val="28"/>
                <w:szCs w:val="28"/>
              </w:rPr>
              <w:t>）</w:t>
            </w:r>
            <w:r>
              <w:rPr>
                <w:rFonts w:hint="eastAsia" w:ascii="仿宋_GB2312" w:hAnsi="黑体" w:cs="黑体"/>
                <w:sz w:val="28"/>
                <w:szCs w:val="28"/>
              </w:rPr>
              <w:t>山东上达稀土材料有限公司高性能钕铁硼稀土永磁材料项目。</w:t>
            </w:r>
            <w:r>
              <w:rPr>
                <w:rFonts w:hint="eastAsia" w:ascii="仿宋_GB2312" w:hAnsi="仿宋_GB2312" w:cs="仿宋_GB2312"/>
                <w:sz w:val="28"/>
                <w:szCs w:val="28"/>
              </w:rPr>
              <w:t>（</w:t>
            </w:r>
            <w:r>
              <w:rPr>
                <w:rFonts w:ascii="仿宋_GB2312" w:hAnsi="仿宋_GB2312" w:cs="仿宋_GB2312"/>
                <w:sz w:val="28"/>
                <w:szCs w:val="28"/>
              </w:rPr>
              <w:t>2</w:t>
            </w:r>
            <w:r>
              <w:rPr>
                <w:rFonts w:hint="eastAsia" w:ascii="仿宋_GB2312" w:hAnsi="仿宋_GB2312" w:cs="仿宋_GB2312"/>
                <w:sz w:val="28"/>
                <w:szCs w:val="28"/>
              </w:rPr>
              <w:t>）山东冠县美复合材料有限公司二期项目。（</w:t>
            </w:r>
            <w:r>
              <w:rPr>
                <w:rFonts w:ascii="仿宋_GB2312" w:hAnsi="仿宋_GB2312" w:cs="仿宋_GB2312"/>
                <w:sz w:val="28"/>
                <w:szCs w:val="28"/>
              </w:rPr>
              <w:t>3</w:t>
            </w:r>
            <w:r>
              <w:rPr>
                <w:rFonts w:hint="eastAsia" w:ascii="仿宋_GB2312" w:hAnsi="仿宋_GB2312" w:cs="仿宋_GB2312"/>
                <w:sz w:val="28"/>
                <w:szCs w:val="28"/>
              </w:rPr>
              <w:t>）聊城瑞鑫瑞铂高分子材料有限公司特种胶制品生产项目。</w:t>
            </w:r>
          </w:p>
          <w:p>
            <w:pPr>
              <w:spacing w:line="480" w:lineRule="exact"/>
              <w:ind w:firstLine="560"/>
              <w:rPr>
                <w:rFonts w:ascii="仿宋_GB2312" w:cs="仿宋_GB2312"/>
                <w:sz w:val="28"/>
                <w:szCs w:val="28"/>
              </w:rPr>
            </w:pPr>
            <w:r>
              <w:rPr>
                <w:rFonts w:hint="eastAsia" w:ascii="楷体_GB2312" w:hAnsi="黑体" w:eastAsia="楷体_GB2312" w:cs="黑体"/>
                <w:sz w:val="28"/>
                <w:szCs w:val="28"/>
              </w:rPr>
              <w:t>生物医药：</w:t>
            </w: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）中芝堂药业（山东）有限公司破壁灵芝孢子粉、灵芝油项目。（</w:t>
            </w:r>
            <w:r>
              <w:rPr>
                <w:rFonts w:ascii="仿宋_GB2312" w:hAnsi="仿宋_GB2312" w:cs="仿宋_GB2312"/>
                <w:sz w:val="28"/>
                <w:szCs w:val="28"/>
              </w:rPr>
              <w:t>2</w:t>
            </w:r>
            <w:r>
              <w:rPr>
                <w:rFonts w:hint="eastAsia" w:ascii="仿宋_GB2312" w:hAnsi="仿宋_GB2312" w:cs="仿宋_GB2312"/>
                <w:sz w:val="28"/>
                <w:szCs w:val="28"/>
              </w:rPr>
              <w:t>）山东安特博迪生物工程有限公司蛋黄抗体溶菌酶项目。（</w:t>
            </w:r>
            <w:r>
              <w:rPr>
                <w:rFonts w:ascii="仿宋_GB2312" w:hAnsi="仿宋_GB2312" w:cs="仿宋_GB2312"/>
                <w:sz w:val="28"/>
                <w:szCs w:val="28"/>
              </w:rPr>
              <w:t>3</w:t>
            </w:r>
            <w:r>
              <w:rPr>
                <w:rFonts w:hint="eastAsia" w:ascii="仿宋_GB2312" w:hAnsi="仿宋_GB2312" w:cs="仿宋_GB2312"/>
                <w:sz w:val="28"/>
                <w:szCs w:val="28"/>
              </w:rPr>
              <w:t>）汉药</w:t>
            </w:r>
            <w:r>
              <w:rPr>
                <w:rFonts w:ascii="仿宋_GB2312" w:hAnsi="仿宋_GB2312" w:cs="仿宋_GB2312"/>
                <w:sz w:val="28"/>
                <w:szCs w:val="28"/>
              </w:rPr>
              <w:t>(</w:t>
            </w:r>
            <w:r>
              <w:rPr>
                <w:rFonts w:hint="eastAsia" w:ascii="仿宋_GB2312" w:hAnsi="仿宋_GB2312" w:cs="仿宋_GB2312"/>
                <w:sz w:val="28"/>
                <w:szCs w:val="28"/>
              </w:rPr>
              <w:t>山东</w:t>
            </w:r>
            <w:r>
              <w:rPr>
                <w:rFonts w:ascii="仿宋_GB2312" w:hAnsi="仿宋_GB2312" w:cs="仿宋_GB2312"/>
                <w:sz w:val="28"/>
                <w:szCs w:val="28"/>
              </w:rPr>
              <w:t>)</w:t>
            </w:r>
            <w:r>
              <w:rPr>
                <w:rFonts w:hint="eastAsia" w:ascii="仿宋_GB2312" w:hAnsi="仿宋_GB2312" w:cs="仿宋_GB2312"/>
                <w:sz w:val="28"/>
                <w:szCs w:val="28"/>
              </w:rPr>
              <w:t>生物科技有限公司保健食品研发和生产项目。</w:t>
            </w:r>
          </w:p>
          <w:p>
            <w:pPr>
              <w:spacing w:line="480" w:lineRule="exact"/>
              <w:ind w:firstLine="560"/>
              <w:rPr>
                <w:rFonts w:ascii="仿宋_GB2312" w:cs="仿宋_GB2312"/>
                <w:b/>
                <w:bCs/>
                <w:sz w:val="24"/>
              </w:rPr>
            </w:pPr>
            <w:r>
              <w:rPr>
                <w:rFonts w:hint="eastAsia" w:ascii="楷体_GB2312" w:hAnsi="黑体" w:eastAsia="楷体_GB2312" w:cs="黑体"/>
                <w:sz w:val="28"/>
                <w:szCs w:val="28"/>
              </w:rPr>
              <w:t>新一代信息技术：</w:t>
            </w:r>
            <w:r>
              <w:rPr>
                <w:rFonts w:hint="eastAsia" w:ascii="仿宋_GB2312" w:hAnsi="仿宋_GB2312" w:cs="仿宋_GB2312"/>
                <w:sz w:val="28"/>
                <w:szCs w:val="28"/>
              </w:rPr>
              <w:t>山东省海鲁智慧科技有限公司高效节能电光源项目</w:t>
            </w:r>
          </w:p>
        </w:tc>
      </w:tr>
    </w:tbl>
    <w:p>
      <w:pPr>
        <w:ind w:firstLine="640"/>
      </w:pPr>
    </w:p>
    <w:tbl>
      <w:tblPr>
        <w:tblStyle w:val="2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spacing w:before="218" w:beforeLines="50" w:after="218" w:afterLines="50" w:line="480" w:lineRule="exact"/>
              <w:ind w:firstLine="0" w:firstLineChars="0"/>
              <w:jc w:val="center"/>
              <w:rPr>
                <w:rFonts w:ascii="黑体" w:hAnsi="黑体" w:eastAsia="黑体" w:cs="黑体"/>
                <w:bCs/>
                <w:sz w:val="30"/>
              </w:rPr>
            </w:pPr>
            <w:r>
              <w:rPr>
                <w:rFonts w:hint="eastAsia" w:ascii="黑体" w:hAnsi="黑体" w:eastAsia="黑体" w:cs="黑体"/>
                <w:bCs/>
                <w:sz w:val="30"/>
              </w:rPr>
              <w:t>专栏</w:t>
            </w:r>
            <w:r>
              <w:rPr>
                <w:rFonts w:ascii="黑体" w:hAnsi="黑体" w:eastAsia="黑体" w:cs="黑体"/>
                <w:bCs/>
                <w:sz w:val="30"/>
              </w:rPr>
              <w:t>4</w:t>
            </w:r>
            <w:r>
              <w:rPr>
                <w:rFonts w:hint="eastAsia" w:ascii="黑体" w:hAnsi="黑体" w:eastAsia="黑体" w:cs="黑体"/>
                <w:bCs/>
                <w:sz w:val="30"/>
              </w:rPr>
              <w:t>：现代服务业重点项目</w:t>
            </w:r>
          </w:p>
          <w:p>
            <w:pPr>
              <w:spacing w:line="480" w:lineRule="exact"/>
              <w:ind w:firstLine="560"/>
              <w:rPr>
                <w:rFonts w:ascii="仿宋_GB2312" w:cs="仿宋_GB2312"/>
                <w:sz w:val="28"/>
                <w:szCs w:val="28"/>
              </w:rPr>
            </w:pPr>
            <w:r>
              <w:rPr>
                <w:rFonts w:hint="eastAsia" w:ascii="楷体_GB2312" w:hAnsi="黑体" w:eastAsia="楷体_GB2312" w:cs="黑体"/>
                <w:sz w:val="28"/>
                <w:szCs w:val="28"/>
              </w:rPr>
              <w:t>医养健康：</w:t>
            </w: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）冠县灵芝大健康项目。（</w:t>
            </w:r>
            <w:r>
              <w:rPr>
                <w:rFonts w:ascii="仿宋_GB2312" w:hAnsi="仿宋_GB2312" w:cs="仿宋_GB2312"/>
                <w:sz w:val="28"/>
                <w:szCs w:val="28"/>
              </w:rPr>
              <w:t>2</w:t>
            </w:r>
            <w:r>
              <w:rPr>
                <w:rFonts w:hint="eastAsia" w:ascii="仿宋_GB2312" w:hAnsi="仿宋_GB2312" w:cs="仿宋_GB2312"/>
                <w:sz w:val="28"/>
                <w:szCs w:val="28"/>
              </w:rPr>
              <w:t>）马颊河森林康养基地项目。</w:t>
            </w:r>
          </w:p>
          <w:p>
            <w:pPr>
              <w:spacing w:line="480" w:lineRule="exact"/>
              <w:ind w:firstLine="560"/>
              <w:rPr>
                <w:rFonts w:ascii="仿宋_GB2312" w:cs="仿宋_GB2312"/>
                <w:sz w:val="28"/>
                <w:szCs w:val="28"/>
              </w:rPr>
            </w:pPr>
            <w:r>
              <w:rPr>
                <w:rFonts w:hint="eastAsia" w:ascii="楷体_GB2312" w:hAnsi="黑体" w:eastAsia="楷体_GB2312" w:cs="黑体"/>
                <w:sz w:val="28"/>
                <w:szCs w:val="28"/>
              </w:rPr>
              <w:t>现代物流：</w:t>
            </w: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）冠县内陆港项目。（</w:t>
            </w:r>
            <w:r>
              <w:rPr>
                <w:rFonts w:ascii="仿宋_GB2312" w:hAnsi="仿宋_GB2312" w:cs="仿宋_GB2312"/>
                <w:sz w:val="28"/>
                <w:szCs w:val="28"/>
              </w:rPr>
              <w:t>2</w:t>
            </w:r>
            <w:r>
              <w:rPr>
                <w:rFonts w:hint="eastAsia" w:ascii="仿宋_GB2312" w:hAnsi="仿宋_GB2312" w:cs="仿宋_GB2312"/>
                <w:sz w:val="28"/>
                <w:szCs w:val="28"/>
              </w:rPr>
              <w:t>）德信能源商贸冷链物流及加油站建设项目。（</w:t>
            </w:r>
            <w:r>
              <w:rPr>
                <w:rFonts w:ascii="仿宋_GB2312" w:hAnsi="仿宋_GB2312" w:cs="仿宋_GB2312"/>
                <w:sz w:val="28"/>
                <w:szCs w:val="28"/>
              </w:rPr>
              <w:t>3</w:t>
            </w:r>
            <w:r>
              <w:rPr>
                <w:rFonts w:hint="eastAsia" w:ascii="仿宋_GB2312" w:hAnsi="仿宋_GB2312" w:cs="仿宋_GB2312"/>
                <w:sz w:val="28"/>
                <w:szCs w:val="28"/>
              </w:rPr>
              <w:t>）</w:t>
            </w:r>
            <w:r>
              <w:rPr>
                <w:rFonts w:hint="eastAsia" w:ascii="仿宋_GB2312" w:hAnsi="仿宋_GB2312" w:cs="仿宋_GB2312"/>
                <w:bCs/>
                <w:sz w:val="28"/>
                <w:szCs w:val="28"/>
              </w:rPr>
              <w:t>山东盛德物流有限公司冠县分公司物流建设项目。（</w:t>
            </w:r>
            <w:r>
              <w:rPr>
                <w:rFonts w:ascii="仿宋_GB2312" w:hAnsi="仿宋_GB2312" w:cs="仿宋_GB2312"/>
                <w:bCs/>
                <w:sz w:val="28"/>
                <w:szCs w:val="28"/>
              </w:rPr>
              <w:t>4</w:t>
            </w:r>
            <w:r>
              <w:rPr>
                <w:rFonts w:hint="eastAsia" w:ascii="仿宋_GB2312" w:hAnsi="仿宋_GB2312" w:cs="仿宋_GB2312"/>
                <w:bCs/>
                <w:sz w:val="28"/>
                <w:szCs w:val="28"/>
              </w:rPr>
              <w:t>）振飞智慧物流项目。</w:t>
            </w:r>
          </w:p>
          <w:p>
            <w:pPr>
              <w:spacing w:line="480" w:lineRule="exact"/>
              <w:ind w:firstLine="560"/>
              <w:rPr>
                <w:rFonts w:ascii="仿宋_GB2312" w:cs="仿宋_GB2312"/>
                <w:color w:val="C00000"/>
                <w:sz w:val="28"/>
                <w:szCs w:val="28"/>
              </w:rPr>
            </w:pPr>
            <w:r>
              <w:rPr>
                <w:rFonts w:hint="eastAsia" w:ascii="楷体_GB2312" w:hAnsi="黑体" w:eastAsia="楷体_GB2312" w:cs="黑体"/>
                <w:sz w:val="28"/>
                <w:szCs w:val="28"/>
              </w:rPr>
              <w:t>电子商务：</w:t>
            </w:r>
            <w:r>
              <w:rPr>
                <w:rFonts w:hint="eastAsia" w:ascii="仿宋_GB2312" w:hAnsi="黑体" w:cs="黑体"/>
                <w:sz w:val="28"/>
                <w:szCs w:val="28"/>
              </w:rPr>
              <w:t>（1）</w:t>
            </w:r>
            <w:r>
              <w:rPr>
                <w:rFonts w:hint="eastAsia" w:ascii="仿宋_GB2312"/>
                <w:sz w:val="28"/>
                <w:szCs w:val="28"/>
              </w:rPr>
              <w:t>优质农产品交易平台。（2）农村电子商务产业园。</w:t>
            </w:r>
          </w:p>
          <w:p>
            <w:pPr>
              <w:spacing w:line="480" w:lineRule="exact"/>
              <w:ind w:firstLine="560"/>
              <w:rPr>
                <w:rFonts w:eastAsia="宋体"/>
                <w:sz w:val="24"/>
              </w:rPr>
            </w:pPr>
            <w:r>
              <w:rPr>
                <w:rFonts w:hint="eastAsia" w:ascii="楷体_GB2312" w:hAnsi="黑体" w:eastAsia="楷体_GB2312" w:cs="黑体"/>
                <w:sz w:val="28"/>
                <w:szCs w:val="28"/>
              </w:rPr>
              <w:t>其他生产性、生活性服务业：</w:t>
            </w: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）山东乐宝宠物食品有限公司高端宠物食品项目。（</w:t>
            </w:r>
            <w:r>
              <w:rPr>
                <w:rFonts w:ascii="仿宋_GB2312" w:hAnsi="仿宋_GB2312" w:cs="仿宋_GB2312"/>
                <w:sz w:val="28"/>
                <w:szCs w:val="28"/>
              </w:rPr>
              <w:t>2</w:t>
            </w:r>
            <w:r>
              <w:rPr>
                <w:rFonts w:hint="eastAsia" w:ascii="仿宋_GB2312" w:hAnsi="仿宋_GB2312" w:cs="仿宋_GB2312"/>
                <w:sz w:val="28"/>
                <w:szCs w:val="28"/>
              </w:rPr>
              <w:t>）红星美凯龙城市综合体项目。</w:t>
            </w:r>
          </w:p>
        </w:tc>
      </w:tr>
    </w:tbl>
    <w:p>
      <w:pPr>
        <w:ind w:firstLine="640"/>
      </w:pPr>
    </w:p>
    <w:tbl>
      <w:tblPr>
        <w:tblStyle w:val="2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trPr>
        <w:tc>
          <w:tcPr>
            <w:tcW w:w="9060" w:type="dxa"/>
            <w:shd w:val="clear" w:color="auto" w:fill="auto"/>
          </w:tcPr>
          <w:p>
            <w:pPr>
              <w:pStyle w:val="60"/>
              <w:spacing w:before="218" w:beforeLines="50" w:after="218" w:afterLines="50" w:line="480" w:lineRule="exact"/>
              <w:ind w:firstLine="0" w:firstLineChars="0"/>
              <w:jc w:val="center"/>
              <w:rPr>
                <w:rFonts w:ascii="黑体" w:hAnsi="黑体" w:eastAsia="黑体" w:cs="黑体"/>
                <w:bCs/>
                <w:kern w:val="2"/>
                <w:sz w:val="30"/>
                <w:szCs w:val="22"/>
              </w:rPr>
            </w:pPr>
            <w:r>
              <w:rPr>
                <w:rFonts w:hint="eastAsia" w:ascii="黑体" w:hAnsi="黑体" w:eastAsia="黑体" w:cs="黑体"/>
                <w:bCs/>
                <w:kern w:val="2"/>
                <w:sz w:val="30"/>
                <w:szCs w:val="22"/>
              </w:rPr>
              <w:t>专栏</w:t>
            </w:r>
            <w:r>
              <w:rPr>
                <w:rFonts w:ascii="黑体" w:hAnsi="黑体" w:eastAsia="黑体" w:cs="黑体"/>
                <w:bCs/>
                <w:kern w:val="2"/>
                <w:sz w:val="30"/>
                <w:szCs w:val="22"/>
              </w:rPr>
              <w:t>5</w:t>
            </w:r>
            <w:r>
              <w:rPr>
                <w:rFonts w:hint="eastAsia" w:ascii="黑体" w:hAnsi="黑体" w:eastAsia="黑体" w:cs="黑体"/>
                <w:bCs/>
                <w:kern w:val="2"/>
                <w:sz w:val="30"/>
                <w:szCs w:val="22"/>
              </w:rPr>
              <w:t>：开发区重点项目</w:t>
            </w:r>
          </w:p>
          <w:p>
            <w:pPr>
              <w:pStyle w:val="60"/>
              <w:spacing w:line="480" w:lineRule="exact"/>
              <w:ind w:firstLine="560"/>
              <w:rPr>
                <w:kern w:val="2"/>
                <w:sz w:val="28"/>
                <w:szCs w:val="28"/>
              </w:rPr>
            </w:pPr>
            <w:r>
              <w:rPr>
                <w:rFonts w:hint="eastAsia" w:ascii="仿宋_GB2312" w:hAnsi="仿宋_GB2312" w:eastAsia="仿宋_GB2312" w:cs="仿宋_GB2312"/>
                <w:kern w:val="2"/>
                <w:sz w:val="28"/>
                <w:szCs w:val="28"/>
              </w:rPr>
              <w:t>（1）冠县新兴产业园项目。（2）鲁西数字产城融合发展新区项目。（3）冠县经济开发区科技基地项目。（4）重大基础设施配套强企产业园项目。（5）产城融合生态康养示范区项目。（6）冠县新材料产业园基础设施提升改造项目。（7）高新国际合作产业园项目。</w:t>
            </w:r>
          </w:p>
        </w:tc>
      </w:tr>
    </w:tbl>
    <w:p>
      <w:pPr>
        <w:pStyle w:val="2"/>
        <w:spacing w:before="655" w:beforeLines="150" w:after="218" w:line="600" w:lineRule="exact"/>
        <w:rPr>
          <w:rFonts w:ascii="方正小标宋简体" w:eastAsia="方正小标宋简体"/>
          <w:sz w:val="36"/>
          <w:szCs w:val="36"/>
        </w:rPr>
      </w:pPr>
      <w:bookmarkStart w:id="38" w:name="_Toc60646196"/>
      <w:r>
        <w:rPr>
          <w:rFonts w:hint="eastAsia" w:ascii="方正小标宋简体" w:hAnsi="宋体" w:eastAsia="方正小标宋简体" w:cs="宋体"/>
          <w:sz w:val="36"/>
          <w:szCs w:val="36"/>
        </w:rPr>
        <w:t>第四篇</w:t>
      </w:r>
      <w:bookmarkEnd w:id="38"/>
      <w:r>
        <w:rPr>
          <w:rFonts w:hint="eastAsia" w:ascii="方正小标宋简体" w:hAnsi="宋体" w:eastAsia="方正小标宋简体" w:cs="宋体"/>
          <w:sz w:val="36"/>
          <w:szCs w:val="36"/>
        </w:rPr>
        <w:t xml:space="preserve">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培育数字经济新引擎</w:t>
      </w:r>
    </w:p>
    <w:p>
      <w:pPr>
        <w:spacing w:line="600" w:lineRule="exact"/>
        <w:ind w:firstLine="640"/>
        <w:rPr>
          <w:color w:val="000000"/>
        </w:rPr>
      </w:pPr>
      <w:bookmarkStart w:id="39" w:name="_Toc60646197"/>
      <w:r>
        <w:rPr>
          <w:rFonts w:hint="eastAsia" w:ascii="仿宋_GB2312"/>
          <w:color w:val="000000"/>
        </w:rPr>
        <w:t>深化数字化引领，加快发展数字经济。推进数字产业化，积极引进培育电子信息制造、大数据、物联网、人工智能等新一代信息技术产业。推进产业数字化，加快推进农业、工业、服务业数字化转型融合，持续打造数字化现代生产经营体系。</w:t>
      </w:r>
    </w:p>
    <w:p>
      <w:pPr>
        <w:pStyle w:val="3"/>
        <w:spacing w:before="437" w:beforeLines="100" w:after="437" w:afterLines="100" w:line="600" w:lineRule="exact"/>
        <w:rPr>
          <w:rFonts w:ascii="黑体" w:hAnsi="黑体" w:eastAsia="黑体" w:cs="黑体"/>
          <w:b w:val="0"/>
        </w:rPr>
      </w:pPr>
      <w:r>
        <w:rPr>
          <w:rFonts w:hint="eastAsia" w:ascii="黑体" w:hAnsi="黑体" w:eastAsia="黑体" w:cs="黑体"/>
          <w:b w:val="0"/>
        </w:rPr>
        <w:t xml:space="preserve">第十四章 </w:t>
      </w:r>
      <w:r>
        <w:rPr>
          <w:rFonts w:ascii="黑体" w:hAnsi="黑体" w:eastAsia="黑体" w:cs="黑体"/>
          <w:b w:val="0"/>
        </w:rPr>
        <w:t xml:space="preserve"> </w:t>
      </w:r>
      <w:r>
        <w:rPr>
          <w:rFonts w:hint="eastAsia" w:ascii="黑体" w:hAnsi="黑体" w:eastAsia="黑体" w:cs="黑体"/>
          <w:b w:val="0"/>
        </w:rPr>
        <w:t>建设新型基础设施</w:t>
      </w:r>
      <w:bookmarkEnd w:id="39"/>
    </w:p>
    <w:p>
      <w:pPr>
        <w:pStyle w:val="4"/>
        <w:spacing w:afterLines="0" w:line="600" w:lineRule="exact"/>
        <w:ind w:firstLine="640"/>
        <w:rPr>
          <w:rFonts w:ascii="楷体_GB2312" w:hAnsi="仿宋_GB2312" w:eastAsia="楷体_GB2312"/>
        </w:rPr>
      </w:pPr>
      <w:bookmarkStart w:id="40" w:name="_Toc60646198"/>
      <w:r>
        <w:rPr>
          <w:rFonts w:hint="eastAsia" w:ascii="楷体_GB2312" w:hAnsi="仿宋_GB2312" w:eastAsia="楷体_GB2312"/>
        </w:rPr>
        <w:t>提升宽带信息网络</w:t>
      </w:r>
      <w:bookmarkEnd w:id="40"/>
      <w:r>
        <w:rPr>
          <w:rFonts w:hint="eastAsia" w:ascii="楷体_GB2312" w:hAnsi="仿宋_GB2312" w:eastAsia="楷体_GB2312"/>
        </w:rPr>
        <w:t>。</w:t>
      </w:r>
      <w:r>
        <w:rPr>
          <w:rFonts w:hint="eastAsia" w:ascii="仿宋_GB2312" w:hAnsi="仿宋_GB2312" w:eastAsia="仿宋_GB2312"/>
        </w:rPr>
        <w:t>加快</w:t>
      </w:r>
      <w:r>
        <w:rPr>
          <w:rFonts w:ascii="仿宋_GB2312" w:hAnsi="仿宋_GB2312" w:eastAsia="仿宋_GB2312"/>
        </w:rPr>
        <w:t>IPV6</w:t>
      </w:r>
      <w:r>
        <w:rPr>
          <w:rFonts w:hint="eastAsia" w:ascii="仿宋_GB2312" w:hAnsi="仿宋_GB2312" w:eastAsia="仿宋_GB2312"/>
        </w:rPr>
        <w:t>规模部署，统筹推进全县骨干网、城域网、接入网</w:t>
      </w:r>
      <w:r>
        <w:rPr>
          <w:rFonts w:ascii="仿宋_GB2312" w:hAnsi="仿宋_GB2312" w:eastAsia="仿宋_GB2312"/>
        </w:rPr>
        <w:t>IPV6</w:t>
      </w:r>
      <w:r>
        <w:rPr>
          <w:rFonts w:hint="eastAsia" w:ascii="仿宋_GB2312" w:hAnsi="仿宋_GB2312" w:eastAsia="仿宋_GB2312"/>
        </w:rPr>
        <w:t>升级，推广全面支持</w:t>
      </w:r>
      <w:r>
        <w:rPr>
          <w:rFonts w:ascii="仿宋_GB2312" w:hAnsi="仿宋_GB2312" w:eastAsia="仿宋_GB2312"/>
        </w:rPr>
        <w:t>IPV6</w:t>
      </w:r>
      <w:r>
        <w:rPr>
          <w:rFonts w:hint="eastAsia" w:ascii="仿宋_GB2312" w:hAnsi="仿宋_GB2312" w:eastAsia="仿宋_GB2312"/>
        </w:rPr>
        <w:t>的移动和固定终端。落实“宽带冠县”工程，大幅提高城域网和骨干网出口带宽，城市家庭普遍具备</w:t>
      </w:r>
      <w:r>
        <w:rPr>
          <w:rFonts w:ascii="仿宋_GB2312" w:hAnsi="仿宋_GB2312" w:eastAsia="仿宋_GB2312"/>
        </w:rPr>
        <w:t>1000</w:t>
      </w:r>
      <w:r>
        <w:rPr>
          <w:rFonts w:hint="eastAsia" w:ascii="仿宋_GB2312" w:hAnsi="仿宋_GB2312" w:eastAsia="仿宋_GB2312"/>
        </w:rPr>
        <w:t>兆以上接入服务能力，农村家庭普遍具备</w:t>
      </w:r>
      <w:r>
        <w:rPr>
          <w:rFonts w:ascii="仿宋_GB2312" w:hAnsi="仿宋_GB2312" w:eastAsia="仿宋_GB2312"/>
        </w:rPr>
        <w:t>100</w:t>
      </w:r>
      <w:r>
        <w:rPr>
          <w:rFonts w:hint="eastAsia" w:ascii="仿宋_GB2312" w:hAnsi="仿宋_GB2312" w:eastAsia="仿宋_GB2312"/>
        </w:rPr>
        <w:t>兆接入服务能力。</w:t>
      </w:r>
    </w:p>
    <w:p>
      <w:pPr>
        <w:pStyle w:val="4"/>
        <w:spacing w:afterLines="0" w:line="600" w:lineRule="exact"/>
        <w:ind w:firstLine="640"/>
        <w:rPr>
          <w:rFonts w:ascii="仿宋_GB2312" w:hAnsi="仿宋_GB2312" w:eastAsia="仿宋_GB2312"/>
        </w:rPr>
      </w:pPr>
      <w:r>
        <w:rPr>
          <w:rFonts w:hint="eastAsia" w:ascii="楷体_GB2312" w:hAnsi="仿宋_GB2312" w:eastAsia="楷体_GB2312"/>
        </w:rPr>
        <w:t>加快建设信息基础设施。</w:t>
      </w:r>
      <w:r>
        <w:rPr>
          <w:rFonts w:hint="eastAsia" w:ascii="仿宋_GB2312" w:hAnsi="仿宋_GB2312" w:eastAsia="仿宋_GB2312"/>
        </w:rPr>
        <w:t>实施</w:t>
      </w:r>
      <w:r>
        <w:rPr>
          <w:rFonts w:ascii="仿宋_GB2312" w:hAnsi="仿宋_GB2312" w:eastAsia="仿宋_GB2312"/>
        </w:rPr>
        <w:t>4G</w:t>
      </w:r>
      <w:r>
        <w:rPr>
          <w:rFonts w:hint="eastAsia" w:ascii="仿宋_GB2312" w:hAnsi="仿宋_GB2312" w:eastAsia="仿宋_GB2312"/>
        </w:rPr>
        <w:t>补盲提速工程，加大</w:t>
      </w:r>
      <w:r>
        <w:rPr>
          <w:rFonts w:ascii="仿宋_GB2312" w:hAnsi="仿宋_GB2312" w:eastAsia="仿宋_GB2312"/>
        </w:rPr>
        <w:t>5G</w:t>
      </w:r>
      <w:r>
        <w:rPr>
          <w:rFonts w:hint="eastAsia" w:ascii="仿宋_GB2312" w:hAnsi="仿宋_GB2312" w:eastAsia="仿宋_GB2312"/>
        </w:rPr>
        <w:t>基站站址、用电等支持力度，推进</w:t>
      </w:r>
      <w:r>
        <w:rPr>
          <w:rFonts w:ascii="仿宋_GB2312" w:hAnsi="仿宋_GB2312" w:eastAsia="仿宋_GB2312"/>
        </w:rPr>
        <w:t>5G</w:t>
      </w:r>
      <w:r>
        <w:rPr>
          <w:rFonts w:hint="eastAsia" w:ascii="仿宋_GB2312" w:hAnsi="仿宋_GB2312" w:eastAsia="仿宋_GB2312"/>
        </w:rPr>
        <w:t>规模组网建设，到</w:t>
      </w:r>
      <w:r>
        <w:rPr>
          <w:rFonts w:ascii="仿宋_GB2312" w:hAnsi="仿宋_GB2312" w:eastAsia="仿宋_GB2312"/>
        </w:rPr>
        <w:t>2025</w:t>
      </w:r>
      <w:r>
        <w:rPr>
          <w:rFonts w:hint="eastAsia" w:ascii="仿宋_GB2312" w:hAnsi="仿宋_GB2312" w:eastAsia="仿宋_GB2312"/>
        </w:rPr>
        <w:t>年，力争实现</w:t>
      </w:r>
      <w:r>
        <w:rPr>
          <w:rFonts w:ascii="仿宋_GB2312" w:hAnsi="仿宋_GB2312" w:eastAsia="仿宋_GB2312"/>
        </w:rPr>
        <w:t>5G</w:t>
      </w:r>
      <w:r>
        <w:rPr>
          <w:rFonts w:hint="eastAsia" w:ascii="仿宋_GB2312" w:hAnsi="仿宋_GB2312" w:eastAsia="仿宋_GB2312"/>
        </w:rPr>
        <w:t>信号县、乡、村全覆盖。鼓励通信运营企业、信息技术企业服务转型，积极发展云计算。</w:t>
      </w:r>
    </w:p>
    <w:p>
      <w:pPr>
        <w:spacing w:line="600" w:lineRule="exact"/>
        <w:ind w:firstLine="640"/>
        <w:rPr>
          <w:rFonts w:ascii="仿宋_GB2312"/>
        </w:rPr>
      </w:pPr>
      <w:r>
        <w:rPr>
          <w:rFonts w:hint="eastAsia" w:ascii="楷体_GB2312" w:eastAsia="楷体_GB2312"/>
        </w:rPr>
        <w:t>加快建设融合基础设施。</w:t>
      </w:r>
      <w:r>
        <w:rPr>
          <w:rFonts w:hint="eastAsia"/>
        </w:rPr>
        <w:t>实施全面感知物联网建设工程，围绕城市管理、民生服务、公共安全、医疗卫生等领域，积极部署低成本、低功耗、高精度、高可靠的智能化传感器。积极发展智慧管网、智慧水务、智慧井盖、智慧路灯等，支持开展智能停车、智慧交通、智慧校园、智慧安防小区等应用。强化电力、天然气、热力管网等各类能源网络信息系统的互联互通和数据共享。推进“互联网</w:t>
      </w:r>
      <w:r>
        <w:t>+</w:t>
      </w:r>
      <w:r>
        <w:rPr>
          <w:rFonts w:hint="eastAsia"/>
        </w:rPr>
        <w:t>”充电设施建设，打造统一的智能充电服务平台。</w:t>
      </w:r>
      <w:bookmarkStart w:id="41" w:name="_Toc60646201"/>
    </w:p>
    <w:p>
      <w:pPr>
        <w:pStyle w:val="3"/>
        <w:spacing w:before="437" w:beforeLines="100" w:after="437" w:afterLines="100" w:line="600" w:lineRule="exact"/>
        <w:rPr>
          <w:rFonts w:ascii="黑体" w:hAnsi="黑体" w:eastAsia="黑体" w:cs="黑体"/>
          <w:b w:val="0"/>
        </w:rPr>
      </w:pPr>
      <w:r>
        <w:rPr>
          <w:rFonts w:hint="eastAsia" w:ascii="黑体" w:hAnsi="黑体" w:eastAsia="黑体" w:cs="黑体"/>
          <w:b w:val="0"/>
        </w:rPr>
        <w:t xml:space="preserve">第十五章 </w:t>
      </w:r>
      <w:r>
        <w:rPr>
          <w:rFonts w:ascii="黑体" w:hAnsi="黑体" w:eastAsia="黑体" w:cs="黑体"/>
          <w:b w:val="0"/>
        </w:rPr>
        <w:t xml:space="preserve"> </w:t>
      </w:r>
      <w:r>
        <w:rPr>
          <w:rFonts w:hint="eastAsia" w:ascii="黑体" w:hAnsi="黑体" w:eastAsia="黑体" w:cs="黑体"/>
          <w:b w:val="0"/>
        </w:rPr>
        <w:t>培育发展数字经济</w:t>
      </w:r>
      <w:bookmarkEnd w:id="41"/>
      <w:bookmarkStart w:id="42" w:name="_Toc60646202"/>
    </w:p>
    <w:p>
      <w:pPr>
        <w:spacing w:line="600" w:lineRule="exact"/>
        <w:ind w:firstLine="640"/>
        <w:rPr>
          <w:rFonts w:ascii="仿宋_GB2312"/>
        </w:rPr>
      </w:pPr>
      <w:r>
        <w:rPr>
          <w:rFonts w:hint="eastAsia" w:ascii="楷体_GB2312" w:hAnsi="仿宋_GB2312" w:eastAsia="楷体_GB2312"/>
        </w:rPr>
        <w:t>加快产业数字化</w:t>
      </w:r>
      <w:bookmarkEnd w:id="42"/>
      <w:r>
        <w:rPr>
          <w:rFonts w:hint="eastAsia" w:ascii="楷体_GB2312" w:hAnsi="仿宋_GB2312" w:eastAsia="楷体_GB2312"/>
        </w:rPr>
        <w:t>。</w:t>
      </w:r>
      <w:r>
        <w:rPr>
          <w:rFonts w:hint="eastAsia" w:ascii="仿宋_GB2312" w:hAnsi="仿宋_GB2312"/>
        </w:rPr>
        <w:t>发展智慧农业，积极推广应用农业新技术，运用轻量级环境感知设备集成，建设一批智慧农业园区和示范生产基地。深入实施制造业智能化改革行动计划，着力发展智能装备和智能产品，推进生产过程智能化，全面提升企业研发、生产、管理和服务的智能化水平。聚焦制造业重点环节，开展智能化成套装备改造，建设智能生产线、智能车间、智能工厂，打造一批智能制造试点示范和标杆企业。完善全民健康信息平台，探索发展“云医院”。推广智能仓储，运用无人仓、无人车、无人机等智能物流设备。发展区块链金融、消费金融、供应链金融、智能征信与风控等新型金融业态。鼓励开展</w:t>
      </w:r>
      <w:r>
        <w:rPr>
          <w:rFonts w:ascii="仿宋_GB2312" w:hAnsi="仿宋_GB2312"/>
        </w:rPr>
        <w:t>5G</w:t>
      </w:r>
      <w:r>
        <w:rPr>
          <w:rFonts w:hint="eastAsia" w:ascii="仿宋_GB2312" w:hAnsi="仿宋_GB2312"/>
        </w:rPr>
        <w:t>典型示范场景应用，重点开展基于</w:t>
      </w:r>
      <w:r>
        <w:rPr>
          <w:rFonts w:ascii="仿宋_GB2312" w:hAnsi="仿宋_GB2312"/>
        </w:rPr>
        <w:t>5G</w:t>
      </w:r>
      <w:r>
        <w:rPr>
          <w:rFonts w:hint="eastAsia" w:ascii="仿宋_GB2312" w:hAnsi="仿宋_GB2312"/>
        </w:rPr>
        <w:t>网络的智慧课堂、远程医疗、超高清视频等应用。</w:t>
      </w:r>
      <w:bookmarkStart w:id="43" w:name="_Toc60646203"/>
    </w:p>
    <w:p>
      <w:pPr>
        <w:spacing w:line="620" w:lineRule="exact"/>
        <w:ind w:firstLine="640"/>
        <w:rPr>
          <w:rFonts w:ascii="仿宋_GB2312"/>
          <w:color w:val="C00000"/>
        </w:rPr>
      </w:pPr>
      <w:r>
        <w:rPr>
          <w:rFonts w:hint="eastAsia" w:ascii="楷体_GB2312" w:hAnsi="仿宋_GB2312" w:eastAsia="楷体_GB2312"/>
        </w:rPr>
        <w:t>推进数字产业化</w:t>
      </w:r>
      <w:bookmarkEnd w:id="43"/>
      <w:r>
        <w:rPr>
          <w:rFonts w:hint="eastAsia" w:ascii="楷体_GB2312" w:hAnsi="仿宋_GB2312" w:eastAsia="楷体_GB2312"/>
        </w:rPr>
        <w:t>。</w:t>
      </w:r>
      <w:r>
        <w:rPr>
          <w:rFonts w:hint="eastAsia" w:ascii="仿宋_GB2312" w:hAnsi="仿宋_GB2312"/>
        </w:rPr>
        <w:t>推进大数据、人工智能、</w:t>
      </w:r>
      <w:r>
        <w:rPr>
          <w:rFonts w:ascii="仿宋_GB2312" w:hAnsi="仿宋_GB2312"/>
        </w:rPr>
        <w:t>5G</w:t>
      </w:r>
      <w:r>
        <w:rPr>
          <w:rFonts w:hint="eastAsia" w:ascii="仿宋_GB2312" w:hAnsi="仿宋_GB2312"/>
        </w:rPr>
        <w:t>等新一代信息技术在各行业推广应用，发展一批行业</w:t>
      </w:r>
      <w:r>
        <w:rPr>
          <w:rFonts w:ascii="仿宋_GB2312" w:hAnsi="仿宋_GB2312"/>
        </w:rPr>
        <w:t>APP</w:t>
      </w:r>
      <w:r>
        <w:rPr>
          <w:rFonts w:hint="eastAsia" w:ascii="仿宋_GB2312" w:hAnsi="仿宋_GB2312"/>
        </w:rPr>
        <w:t>和解决方案。支持发展基于</w:t>
      </w:r>
      <w:r>
        <w:rPr>
          <w:rFonts w:ascii="仿宋_GB2312" w:hAnsi="仿宋_GB2312"/>
        </w:rPr>
        <w:t>IPv6</w:t>
      </w:r>
      <w:r>
        <w:rPr>
          <w:rFonts w:hint="eastAsia" w:ascii="仿宋_GB2312" w:hAnsi="仿宋_GB2312"/>
        </w:rPr>
        <w:t>、</w:t>
      </w:r>
      <w:r>
        <w:rPr>
          <w:rFonts w:ascii="仿宋_GB2312" w:hAnsi="仿宋_GB2312"/>
        </w:rPr>
        <w:t>5G</w:t>
      </w:r>
      <w:r>
        <w:rPr>
          <w:rFonts w:hint="eastAsia" w:ascii="仿宋_GB2312" w:hAnsi="仿宋_GB2312"/>
        </w:rPr>
        <w:t>商用的信息网络设备和信息终端产品及系统应用，加快开发智能器件等基础软硬件产品。大力发展高端数控机床和工业机器人，加快人工智能技术在教育、医疗、家政服务等领域的应用。扎实推进经济开发区高新国际合作产业园项目，培育引进一批大数据企业。大力实施“企业上云”工程，积极引进优质云计算应用项目。</w:t>
      </w:r>
      <w:bookmarkStart w:id="44" w:name="_Toc60646204"/>
    </w:p>
    <w:p>
      <w:pPr>
        <w:pStyle w:val="3"/>
        <w:spacing w:before="437" w:beforeLines="100" w:after="437" w:afterLines="100" w:line="620" w:lineRule="exact"/>
        <w:rPr>
          <w:rFonts w:ascii="黑体" w:hAnsi="黑体" w:eastAsia="黑体" w:cs="黑体"/>
          <w:b w:val="0"/>
        </w:rPr>
      </w:pPr>
      <w:r>
        <w:rPr>
          <w:rFonts w:hint="eastAsia" w:ascii="黑体" w:hAnsi="黑体" w:eastAsia="黑体" w:cs="黑体"/>
          <w:b w:val="0"/>
        </w:rPr>
        <w:t xml:space="preserve">第十六章 </w:t>
      </w:r>
      <w:r>
        <w:rPr>
          <w:rFonts w:ascii="黑体" w:hAnsi="黑体" w:eastAsia="黑体" w:cs="黑体"/>
          <w:b w:val="0"/>
        </w:rPr>
        <w:t xml:space="preserve"> </w:t>
      </w:r>
      <w:r>
        <w:rPr>
          <w:rFonts w:hint="eastAsia" w:ascii="黑体" w:hAnsi="黑体" w:eastAsia="黑体" w:cs="黑体"/>
          <w:b w:val="0"/>
        </w:rPr>
        <w:t>加快数字政府建设</w:t>
      </w:r>
      <w:bookmarkEnd w:id="44"/>
      <w:bookmarkStart w:id="45" w:name="_Toc60646205"/>
    </w:p>
    <w:p>
      <w:pPr>
        <w:spacing w:line="620" w:lineRule="exact"/>
        <w:ind w:firstLine="640"/>
        <w:rPr>
          <w:rFonts w:ascii="仿宋_GB2312"/>
        </w:rPr>
      </w:pPr>
      <w:r>
        <w:rPr>
          <w:rFonts w:hint="eastAsia" w:ascii="楷体_GB2312" w:eastAsia="楷体_GB2312"/>
        </w:rPr>
        <w:t>提升数字基础支撑水平</w:t>
      </w:r>
      <w:bookmarkEnd w:id="45"/>
      <w:r>
        <w:rPr>
          <w:rFonts w:hint="eastAsia" w:ascii="楷体_GB2312" w:eastAsia="楷体_GB2312"/>
        </w:rPr>
        <w:t>。</w:t>
      </w:r>
      <w:r>
        <w:rPr>
          <w:rFonts w:hint="eastAsia" w:ascii="仿宋_GB2312" w:hAnsi="仿宋_GB2312"/>
        </w:rPr>
        <w:t>建设完善大数据管理服务平台，汇聚整合数据资源，构建基础库、主题库、专题库和通用业务库“四库一体”的政务数据资源体系。将身份证号码和统一社会信用代码作为唯一标识，进行统一身份认证，实现“一号通行”。实施政务网络高速公路工程，提升政务网络承载能力，深化“一网通办”“一证通办”，推进电子政务外网跨域融合互通。积极融入全市一体化协同办公平台。建立健全数字政府标准规范体系，提高防护意识，强化防护手段。</w:t>
      </w:r>
      <w:bookmarkStart w:id="46" w:name="_Toc60646206"/>
    </w:p>
    <w:p>
      <w:pPr>
        <w:spacing w:line="620" w:lineRule="exact"/>
        <w:ind w:firstLine="640"/>
        <w:rPr>
          <w:rFonts w:ascii="仿宋_GB2312"/>
        </w:rPr>
      </w:pPr>
      <w:r>
        <w:rPr>
          <w:rFonts w:hint="eastAsia" w:ascii="楷体_GB2312" w:eastAsia="楷体_GB2312"/>
        </w:rPr>
        <w:t>推进数据开放共享</w:t>
      </w:r>
      <w:bookmarkEnd w:id="46"/>
      <w:r>
        <w:rPr>
          <w:rFonts w:hint="eastAsia" w:ascii="楷体_GB2312" w:eastAsia="楷体_GB2312"/>
        </w:rPr>
        <w:t>。</w:t>
      </w:r>
      <w:r>
        <w:rPr>
          <w:rFonts w:hint="eastAsia" w:ascii="仿宋_GB2312" w:hAnsi="仿宋_GB2312"/>
        </w:rPr>
        <w:t>完善信息资源共享交换平台，推动跨部门、跨层级的信息资源按需共享。加强公共数据开放，实施政府数据开放行动计划，制定发布公共数据开放标准、开放目录、核心数据开放领域和需要优先发布的高价值数据集，建立数据主体“授权使用”的公共数据依申请开放模式，加快实现地理信息、道路交通、公共服务、经济统计、资格资质、环境保护等数据资源开放。鼓励社会组织和机构建设行业性数据资源开放平台。</w:t>
      </w:r>
      <w:bookmarkStart w:id="47" w:name="_Toc60646207"/>
    </w:p>
    <w:p>
      <w:pPr>
        <w:pStyle w:val="3"/>
        <w:spacing w:before="437" w:beforeLines="100" w:after="437" w:afterLines="100" w:line="600" w:lineRule="exact"/>
        <w:rPr>
          <w:rFonts w:ascii="黑体" w:hAnsi="黑体" w:eastAsia="黑体" w:cs="黑体"/>
          <w:b w:val="0"/>
        </w:rPr>
      </w:pPr>
      <w:r>
        <w:rPr>
          <w:rFonts w:hint="eastAsia" w:ascii="黑体" w:hAnsi="黑体" w:eastAsia="黑体" w:cs="黑体"/>
          <w:b w:val="0"/>
        </w:rPr>
        <w:t xml:space="preserve">第十七章 </w:t>
      </w:r>
      <w:r>
        <w:rPr>
          <w:rFonts w:ascii="黑体" w:hAnsi="黑体" w:eastAsia="黑体" w:cs="黑体"/>
          <w:b w:val="0"/>
        </w:rPr>
        <w:t xml:space="preserve"> </w:t>
      </w:r>
      <w:r>
        <w:rPr>
          <w:rFonts w:hint="eastAsia" w:ascii="黑体" w:hAnsi="黑体" w:eastAsia="黑体" w:cs="黑体"/>
          <w:b w:val="0"/>
        </w:rPr>
        <w:t>推进数字社会</w:t>
      </w:r>
      <w:bookmarkEnd w:id="47"/>
      <w:r>
        <w:rPr>
          <w:rFonts w:hint="eastAsia" w:ascii="黑体" w:hAnsi="黑体" w:eastAsia="黑体" w:cs="黑体"/>
          <w:b w:val="0"/>
        </w:rPr>
        <w:t>建设</w:t>
      </w:r>
      <w:bookmarkStart w:id="48" w:name="_Toc60646208"/>
    </w:p>
    <w:p>
      <w:pPr>
        <w:spacing w:line="580" w:lineRule="exact"/>
        <w:ind w:firstLine="640"/>
        <w:rPr>
          <w:rFonts w:ascii="仿宋_GB2312"/>
        </w:rPr>
      </w:pPr>
      <w:r>
        <w:rPr>
          <w:rFonts w:hint="eastAsia" w:ascii="楷体_GB2312" w:eastAsia="楷体_GB2312"/>
        </w:rPr>
        <w:t>推动社会治理精准化</w:t>
      </w:r>
      <w:bookmarkEnd w:id="48"/>
      <w:r>
        <w:rPr>
          <w:rFonts w:hint="eastAsia" w:ascii="楷体_GB2312" w:eastAsia="楷体_GB2312"/>
        </w:rPr>
        <w:t>。</w:t>
      </w:r>
      <w:r>
        <w:rPr>
          <w:rFonts w:hint="eastAsia" w:ascii="仿宋_GB2312" w:hAnsi="仿宋_GB2312"/>
        </w:rPr>
        <w:t>推动新一代信息技术与社会治理全面深度融合，形成以数据驱动的社会综合治理新模式。围绕公共交通、公共安全、社会治理、城市管理、生态环境、社区管理等方面，建设集态势感知、运行监测、事件预警、协同指挥、科学决策为一体的“新型智慧城市”。加快推进公共安全视频监控建设和联网应用，推进智慧街面巡防、智慧内保、城区智慧交通建设，鼓励已建社区开展智慧安防小区改造。深入推进智慧城管、智慧安防、智慧应急、智慧国土、智慧环保、智慧食药监等智慧行业建设。加快“互联网</w:t>
      </w:r>
      <w:r>
        <w:rPr>
          <w:rFonts w:ascii="仿宋_GB2312" w:hAnsi="仿宋_GB2312"/>
        </w:rPr>
        <w:t>+</w:t>
      </w:r>
      <w:r>
        <w:rPr>
          <w:rFonts w:hint="eastAsia" w:ascii="仿宋_GB2312" w:hAnsi="仿宋_GB2312"/>
        </w:rPr>
        <w:t>监管”体系建设，推进监管业务数据汇聚共享，推动实现动态监管和即时监督。</w:t>
      </w:r>
      <w:bookmarkStart w:id="49" w:name="_Toc60646209"/>
    </w:p>
    <w:p>
      <w:pPr>
        <w:spacing w:line="580" w:lineRule="exact"/>
        <w:ind w:firstLine="640"/>
        <w:rPr>
          <w:rFonts w:ascii="仿宋_GB2312"/>
        </w:rPr>
      </w:pPr>
      <w:r>
        <w:rPr>
          <w:rFonts w:hint="eastAsia" w:ascii="楷体_GB2312" w:hAnsi="仿宋_GB2312" w:eastAsia="楷体_GB2312"/>
        </w:rPr>
        <w:t>健全数字公共服务体系</w:t>
      </w:r>
      <w:bookmarkEnd w:id="49"/>
      <w:r>
        <w:rPr>
          <w:rFonts w:hint="eastAsia" w:ascii="楷体_GB2312" w:hAnsi="仿宋_GB2312" w:eastAsia="楷体_GB2312"/>
        </w:rPr>
        <w:t>。</w:t>
      </w:r>
      <w:r>
        <w:rPr>
          <w:rFonts w:hint="eastAsia" w:ascii="仿宋_GB2312" w:hAnsi="仿宋_GB2312"/>
        </w:rPr>
        <w:t>让互联网发展成果惠及广大群众，不断提升基本公共服务均等化、普惠化、便捷化水平。建设智慧校园，推进专递课堂、名师课堂、名校网络课堂在中小学校中的常态化按需应用。加快发展智慧医疗，实现各类医院电子健康档案、电子病历、检验检查结果等信息共享使用。积极发展智慧养老，试点建设一批智慧健康养老服务信息平台。加快部署智慧交通，推进汽车、公路、城市道路及附属设施智能化升级。</w:t>
      </w:r>
    </w:p>
    <w:p>
      <w:pPr>
        <w:spacing w:line="580" w:lineRule="exact"/>
        <w:ind w:firstLine="640"/>
        <w:rPr>
          <w:rFonts w:ascii="黑体" w:hAnsi="黑体" w:eastAsia="黑体"/>
        </w:rPr>
      </w:pPr>
    </w:p>
    <w:tbl>
      <w:tblPr>
        <w:tblStyle w:val="2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pStyle w:val="60"/>
              <w:spacing w:before="218" w:beforeLines="50" w:after="218" w:afterLines="50" w:line="480" w:lineRule="exact"/>
              <w:ind w:firstLine="0" w:firstLineChars="0"/>
              <w:jc w:val="center"/>
              <w:rPr>
                <w:rFonts w:ascii="黑体" w:hAnsi="黑体" w:eastAsia="黑体" w:cs="黑体"/>
                <w:bCs/>
                <w:sz w:val="30"/>
                <w:szCs w:val="30"/>
              </w:rPr>
            </w:pPr>
            <w:r>
              <w:rPr>
                <w:rFonts w:hint="eastAsia" w:ascii="黑体" w:hAnsi="黑体" w:eastAsia="黑体" w:cs="黑体"/>
                <w:bCs/>
                <w:sz w:val="30"/>
                <w:szCs w:val="30"/>
              </w:rPr>
              <w:t>专栏</w:t>
            </w:r>
            <w:r>
              <w:rPr>
                <w:rFonts w:ascii="黑体" w:hAnsi="黑体" w:eastAsia="黑体" w:cs="黑体"/>
                <w:bCs/>
                <w:sz w:val="30"/>
                <w:szCs w:val="30"/>
              </w:rPr>
              <w:t>6</w:t>
            </w:r>
            <w:r>
              <w:rPr>
                <w:rFonts w:hint="eastAsia" w:ascii="黑体" w:hAnsi="黑体" w:eastAsia="黑体" w:cs="黑体"/>
                <w:bCs/>
                <w:sz w:val="30"/>
                <w:szCs w:val="30"/>
              </w:rPr>
              <w:t>：数字冠县重点项目</w:t>
            </w:r>
          </w:p>
          <w:p>
            <w:pPr>
              <w:pStyle w:val="60"/>
              <w:spacing w:line="480" w:lineRule="exact"/>
              <w:ind w:firstLine="560"/>
              <w:rPr>
                <w:rFonts w:ascii="仿宋_GB2312" w:hAnsi="仿宋_GB2312" w:eastAsia="仿宋_GB2312" w:cs="仿宋_GB2312"/>
                <w:bCs/>
                <w:kern w:val="2"/>
                <w:sz w:val="28"/>
                <w:szCs w:val="28"/>
              </w:rPr>
            </w:pPr>
            <w:r>
              <w:rPr>
                <w:rFonts w:hint="eastAsia" w:ascii="楷体_GB2312" w:hAnsi="黑体" w:eastAsia="楷体_GB2312" w:cs="黑体"/>
                <w:bCs/>
                <w:kern w:val="2"/>
                <w:sz w:val="28"/>
                <w:szCs w:val="28"/>
              </w:rPr>
              <w:t>数字经济：</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1</w:t>
            </w:r>
            <w:r>
              <w:rPr>
                <w:rFonts w:hint="eastAsia" w:ascii="仿宋_GB2312" w:hAnsi="仿宋_GB2312" w:eastAsia="仿宋_GB2312" w:cs="仿宋_GB2312"/>
                <w:bCs/>
                <w:kern w:val="2"/>
                <w:sz w:val="28"/>
                <w:szCs w:val="28"/>
              </w:rPr>
              <w:t>）山东冠洲股份有限公司企业智能化改造工程。（</w:t>
            </w:r>
            <w:r>
              <w:rPr>
                <w:rFonts w:ascii="仿宋_GB2312" w:hAnsi="仿宋_GB2312" w:eastAsia="仿宋_GB2312" w:cs="仿宋_GB2312"/>
                <w:bCs/>
                <w:kern w:val="2"/>
                <w:sz w:val="28"/>
                <w:szCs w:val="28"/>
              </w:rPr>
              <w:t>2</w:t>
            </w:r>
            <w:r>
              <w:rPr>
                <w:rFonts w:hint="eastAsia" w:ascii="仿宋_GB2312" w:hAnsi="仿宋_GB2312" w:eastAsia="仿宋_GB2312" w:cs="仿宋_GB2312"/>
                <w:bCs/>
                <w:kern w:val="2"/>
                <w:sz w:val="28"/>
                <w:szCs w:val="28"/>
              </w:rPr>
              <w:t>）冠县新兴产业园智慧园区项目。（</w:t>
            </w:r>
            <w:r>
              <w:rPr>
                <w:rFonts w:ascii="仿宋_GB2312" w:hAnsi="仿宋_GB2312" w:eastAsia="仿宋_GB2312" w:cs="仿宋_GB2312"/>
                <w:bCs/>
                <w:kern w:val="2"/>
                <w:sz w:val="28"/>
                <w:szCs w:val="28"/>
              </w:rPr>
              <w:t>3</w:t>
            </w:r>
            <w:r>
              <w:rPr>
                <w:rFonts w:hint="eastAsia" w:ascii="仿宋_GB2312" w:hAnsi="仿宋_GB2312" w:eastAsia="仿宋_GB2312" w:cs="仿宋_GB2312"/>
                <w:bCs/>
                <w:kern w:val="2"/>
                <w:sz w:val="28"/>
                <w:szCs w:val="28"/>
              </w:rPr>
              <w:t>）山东振飞智慧物流智慧云仓项目。（</w:t>
            </w:r>
            <w:r>
              <w:rPr>
                <w:rFonts w:ascii="仿宋_GB2312" w:hAnsi="仿宋_GB2312" w:eastAsia="仿宋_GB2312" w:cs="仿宋_GB2312"/>
                <w:bCs/>
                <w:kern w:val="2"/>
                <w:sz w:val="28"/>
                <w:szCs w:val="28"/>
              </w:rPr>
              <w:t>4</w:t>
            </w:r>
            <w:r>
              <w:rPr>
                <w:rFonts w:hint="eastAsia" w:ascii="仿宋_GB2312" w:hAnsi="仿宋_GB2312" w:eastAsia="仿宋_GB2312" w:cs="仿宋_GB2312"/>
                <w:bCs/>
                <w:kern w:val="2"/>
                <w:sz w:val="28"/>
                <w:szCs w:val="28"/>
              </w:rPr>
              <w:t>）冠县京东云仓智能供应链产业平台项目。（</w:t>
            </w:r>
            <w:r>
              <w:rPr>
                <w:rFonts w:ascii="仿宋_GB2312" w:hAnsi="仿宋_GB2312" w:eastAsia="仿宋_GB2312" w:cs="仿宋_GB2312"/>
                <w:bCs/>
                <w:kern w:val="2"/>
                <w:sz w:val="28"/>
                <w:szCs w:val="28"/>
              </w:rPr>
              <w:t>5</w:t>
            </w:r>
            <w:r>
              <w:rPr>
                <w:rFonts w:hint="eastAsia" w:ascii="仿宋_GB2312" w:hAnsi="仿宋_GB2312" w:eastAsia="仿宋_GB2312" w:cs="仿宋_GB2312"/>
                <w:bCs/>
                <w:kern w:val="2"/>
                <w:sz w:val="28"/>
                <w:szCs w:val="28"/>
              </w:rPr>
              <w:t>）</w:t>
            </w:r>
            <w:r>
              <w:rPr>
                <w:rFonts w:hint="eastAsia" w:ascii="仿宋_GB2312" w:hAnsi="仿宋_GB2312" w:eastAsia="仿宋_GB2312" w:cs="仿宋_GB2312"/>
                <w:bCs/>
                <w:sz w:val="28"/>
                <w:szCs w:val="28"/>
              </w:rPr>
              <w:t>泉润（冠县）农产品批发市场智慧园区项目。</w:t>
            </w:r>
          </w:p>
          <w:p>
            <w:pPr>
              <w:pStyle w:val="60"/>
              <w:spacing w:line="480" w:lineRule="exact"/>
              <w:ind w:firstLine="560"/>
              <w:rPr>
                <w:kern w:val="2"/>
                <w:szCs w:val="22"/>
              </w:rPr>
            </w:pPr>
            <w:r>
              <w:rPr>
                <w:rFonts w:hint="eastAsia" w:ascii="楷体_GB2312" w:hAnsi="黑体" w:eastAsia="楷体_GB2312" w:cs="黑体"/>
                <w:bCs/>
                <w:kern w:val="2"/>
                <w:sz w:val="28"/>
                <w:szCs w:val="28"/>
              </w:rPr>
              <w:t>数字政府、数字社会：</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1</w:t>
            </w:r>
            <w:r>
              <w:rPr>
                <w:rFonts w:hint="eastAsia" w:ascii="仿宋_GB2312" w:hAnsi="仿宋_GB2312" w:eastAsia="仿宋_GB2312" w:cs="仿宋_GB2312"/>
                <w:bCs/>
                <w:kern w:val="2"/>
                <w:sz w:val="28"/>
                <w:szCs w:val="28"/>
              </w:rPr>
              <w:t>）冠县智慧化城市管理平台。（</w:t>
            </w:r>
            <w:r>
              <w:rPr>
                <w:rFonts w:ascii="仿宋_GB2312" w:hAnsi="仿宋_GB2312" w:eastAsia="仿宋_GB2312" w:cs="仿宋_GB2312"/>
                <w:bCs/>
                <w:kern w:val="2"/>
                <w:sz w:val="28"/>
                <w:szCs w:val="28"/>
              </w:rPr>
              <w:t>2</w:t>
            </w:r>
            <w:r>
              <w:rPr>
                <w:rFonts w:hint="eastAsia" w:ascii="仿宋_GB2312" w:hAnsi="仿宋_GB2312" w:eastAsia="仿宋_GB2312" w:cs="仿宋_GB2312"/>
                <w:bCs/>
                <w:kern w:val="2"/>
                <w:sz w:val="28"/>
                <w:szCs w:val="28"/>
              </w:rPr>
              <w:t>）冠县高空</w:t>
            </w:r>
            <w:r>
              <w:rPr>
                <w:rFonts w:hint="eastAsia" w:ascii="仿宋_GB2312" w:hAnsi="宋体" w:cs="宋体"/>
                <w:bCs/>
                <w:kern w:val="2"/>
                <w:sz w:val="28"/>
                <w:szCs w:val="28"/>
              </w:rPr>
              <w:t>瞭</w:t>
            </w:r>
            <w:r>
              <w:rPr>
                <w:rFonts w:hint="eastAsia" w:ascii="仿宋_GB2312" w:hAnsi="宋体" w:eastAsia="仿宋_GB2312" w:cs="宋体"/>
                <w:bCs/>
                <w:kern w:val="2"/>
                <w:sz w:val="28"/>
                <w:szCs w:val="28"/>
              </w:rPr>
              <w:t>望监控平台。（</w:t>
            </w:r>
            <w:r>
              <w:rPr>
                <w:rFonts w:ascii="仿宋_GB2312" w:hAnsi="宋体" w:eastAsia="仿宋_GB2312" w:cs="宋体"/>
                <w:bCs/>
                <w:kern w:val="2"/>
                <w:sz w:val="28"/>
                <w:szCs w:val="28"/>
              </w:rPr>
              <w:t>3</w:t>
            </w:r>
            <w:r>
              <w:rPr>
                <w:rFonts w:hint="eastAsia" w:ascii="仿宋_GB2312" w:hAnsi="宋体" w:eastAsia="仿宋_GB2312" w:cs="宋体"/>
                <w:bCs/>
                <w:kern w:val="2"/>
                <w:sz w:val="28"/>
                <w:szCs w:val="28"/>
              </w:rPr>
              <w:t>）冠县大数据智能管控平台。（</w:t>
            </w:r>
            <w:r>
              <w:rPr>
                <w:rFonts w:ascii="仿宋_GB2312" w:hAnsi="宋体" w:eastAsia="仿宋_GB2312" w:cs="宋体"/>
                <w:bCs/>
                <w:kern w:val="2"/>
                <w:sz w:val="28"/>
                <w:szCs w:val="28"/>
              </w:rPr>
              <w:t>4</w:t>
            </w:r>
            <w:r>
              <w:rPr>
                <w:rFonts w:hint="eastAsia" w:ascii="仿宋_GB2312" w:hAnsi="宋体" w:eastAsia="仿宋_GB2312" w:cs="宋体"/>
                <w:bCs/>
                <w:kern w:val="2"/>
                <w:sz w:val="28"/>
                <w:szCs w:val="28"/>
              </w:rPr>
              <w:t>）冠县城区智慧交通建设项目。（</w:t>
            </w:r>
            <w:r>
              <w:rPr>
                <w:rFonts w:ascii="仿宋_GB2312" w:hAnsi="宋体" w:eastAsia="仿宋_GB2312" w:cs="宋体"/>
                <w:bCs/>
                <w:kern w:val="2"/>
                <w:sz w:val="28"/>
                <w:szCs w:val="28"/>
              </w:rPr>
              <w:t>5</w:t>
            </w:r>
            <w:r>
              <w:rPr>
                <w:rFonts w:hint="eastAsia" w:ascii="仿宋_GB2312" w:hAnsi="宋体" w:eastAsia="仿宋_GB2312" w:cs="宋体"/>
                <w:bCs/>
                <w:kern w:val="2"/>
                <w:sz w:val="28"/>
                <w:szCs w:val="28"/>
              </w:rPr>
              <w:t>）冠县食品智慧监管平台。（</w:t>
            </w:r>
            <w:r>
              <w:rPr>
                <w:rFonts w:ascii="仿宋_GB2312" w:hAnsi="宋体" w:eastAsia="仿宋_GB2312" w:cs="宋体"/>
                <w:bCs/>
                <w:kern w:val="2"/>
                <w:sz w:val="28"/>
                <w:szCs w:val="28"/>
              </w:rPr>
              <w:t>6</w:t>
            </w:r>
            <w:r>
              <w:rPr>
                <w:rFonts w:hint="eastAsia" w:ascii="仿宋_GB2312" w:hAnsi="宋体" w:eastAsia="仿宋_GB2312" w:cs="宋体"/>
                <w:bCs/>
                <w:kern w:val="2"/>
                <w:sz w:val="28"/>
                <w:szCs w:val="28"/>
              </w:rPr>
              <w:t>）冠县建筑工地智慧监管平台。（</w:t>
            </w:r>
            <w:r>
              <w:rPr>
                <w:rFonts w:ascii="仿宋_GB2312" w:hAnsi="宋体" w:eastAsia="仿宋_GB2312" w:cs="宋体"/>
                <w:bCs/>
                <w:kern w:val="2"/>
                <w:sz w:val="28"/>
                <w:szCs w:val="28"/>
              </w:rPr>
              <w:t>7</w:t>
            </w:r>
            <w:r>
              <w:rPr>
                <w:rFonts w:hint="eastAsia" w:ascii="仿宋_GB2312" w:hAnsi="宋体" w:eastAsia="仿宋_GB2312" w:cs="宋体"/>
                <w:bCs/>
                <w:kern w:val="2"/>
                <w:sz w:val="28"/>
                <w:szCs w:val="28"/>
              </w:rPr>
              <w:t>）“冠县就业”智慧平台。</w:t>
            </w:r>
          </w:p>
        </w:tc>
      </w:tr>
    </w:tbl>
    <w:p>
      <w:pPr>
        <w:ind w:firstLine="640"/>
      </w:pPr>
    </w:p>
    <w:p>
      <w:pPr>
        <w:pStyle w:val="2"/>
        <w:spacing w:before="655" w:beforeLines="150" w:after="218" w:line="600" w:lineRule="exact"/>
        <w:rPr>
          <w:rFonts w:ascii="方正小标宋简体" w:eastAsia="方正小标宋简体"/>
          <w:sz w:val="36"/>
          <w:szCs w:val="36"/>
        </w:rPr>
      </w:pPr>
      <w:bookmarkStart w:id="50" w:name="_Toc60646210"/>
      <w:r>
        <w:rPr>
          <w:rFonts w:hint="eastAsia" w:ascii="方正小标宋简体" w:hAnsi="宋体" w:eastAsia="方正小标宋简体" w:cs="宋体"/>
          <w:sz w:val="36"/>
          <w:szCs w:val="36"/>
        </w:rPr>
        <w:t xml:space="preserve">第五篇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融入</w:t>
      </w:r>
      <w:bookmarkEnd w:id="50"/>
      <w:r>
        <w:rPr>
          <w:rFonts w:hint="eastAsia" w:ascii="方正小标宋简体" w:hAnsi="宋体" w:eastAsia="方正小标宋简体" w:cs="宋体"/>
          <w:sz w:val="36"/>
          <w:szCs w:val="36"/>
        </w:rPr>
        <w:t>循环发展新格局</w:t>
      </w:r>
    </w:p>
    <w:p>
      <w:pPr>
        <w:spacing w:line="580" w:lineRule="exact"/>
        <w:ind w:firstLine="640"/>
      </w:pPr>
      <w:r>
        <w:rPr>
          <w:rFonts w:hint="eastAsia"/>
        </w:rPr>
        <w:t>坚持把实施扩大内需战略同深化供给侧结构性改革有机结合起来，把激活内力与借助外力更好结合起来，以创新驱动、高质量供给引领和创造新需求，促进消费与投资协调互动、供给与需求动态平衡、国内市场与国际市场相互贯通。</w:t>
      </w:r>
    </w:p>
    <w:p>
      <w:pPr>
        <w:pStyle w:val="3"/>
        <w:spacing w:before="437" w:beforeLines="100" w:after="437" w:afterLines="100" w:line="580" w:lineRule="exact"/>
        <w:rPr>
          <w:rFonts w:ascii="黑体" w:hAnsi="黑体" w:eastAsia="黑体" w:cs="黑体"/>
          <w:b w:val="0"/>
        </w:rPr>
      </w:pPr>
      <w:bookmarkStart w:id="51" w:name="_Toc60646211"/>
      <w:r>
        <w:rPr>
          <w:rFonts w:hint="eastAsia" w:ascii="黑体" w:hAnsi="黑体" w:eastAsia="黑体" w:cs="黑体"/>
          <w:b w:val="0"/>
        </w:rPr>
        <w:t xml:space="preserve">第十八章 </w:t>
      </w:r>
      <w:r>
        <w:rPr>
          <w:rFonts w:ascii="黑体" w:hAnsi="黑体" w:eastAsia="黑体" w:cs="黑体"/>
          <w:b w:val="0"/>
        </w:rPr>
        <w:t xml:space="preserve"> </w:t>
      </w:r>
      <w:r>
        <w:rPr>
          <w:rFonts w:hint="eastAsia" w:ascii="黑体" w:hAnsi="黑体" w:eastAsia="黑体" w:cs="黑体"/>
          <w:b w:val="0"/>
        </w:rPr>
        <w:t>主动融入新发展格局</w:t>
      </w:r>
      <w:bookmarkEnd w:id="51"/>
    </w:p>
    <w:p>
      <w:pPr>
        <w:spacing w:line="580" w:lineRule="exact"/>
        <w:ind w:firstLine="640"/>
      </w:pPr>
      <w:r>
        <w:rPr>
          <w:rStyle w:val="26"/>
          <w:rFonts w:hint="eastAsia" w:ascii="楷体_GB2312" w:eastAsia="楷体_GB2312"/>
          <w:b w:val="0"/>
          <w:bCs/>
        </w:rPr>
        <w:t>主动融入国内大循环。</w:t>
      </w:r>
      <w:r>
        <w:rPr>
          <w:rStyle w:val="26"/>
          <w:rFonts w:hint="eastAsia" w:ascii="仿宋_GB2312" w:hAnsi="仿宋_GB2312" w:eastAsia="仿宋_GB2312"/>
          <w:b w:val="0"/>
          <w:bCs/>
        </w:rPr>
        <w:t>加强质量强县建设，在农产品、食品药品、制造业等领域深入开展质量提升行动。</w:t>
      </w:r>
      <w:r>
        <w:rPr>
          <w:rFonts w:hint="eastAsia"/>
        </w:rPr>
        <w:t>大力实施品牌战略，加强标准、计量、专利等体系和能力建设，重点打响“冠县鸭梨”“冠县灵芝”等农业品牌，冠洲股份、冠星纺织、仁泽复合材料、新瑞实业、百佳食品等制造业品牌，泉润农产品交易中心等服务业品牌，培育更多具有市场竞争力的自主品牌，不断提升冠县产品和服务质量，扩大中高端供给，提升冠县供给体系对国内需求的适配性。破除妨碍生产要素市场化配置和商品服务流通的体制机制障碍，打通各类要素循环堵点，促进生产、分配、流通、消费各环节有效衔接，降低各类交易成本。以建立产业链链长制为契机，加快实施产业链链群培育工程，畅通产业链供应链，实现上下游产供销有效衔接，形成需求牵引供给、供给创造需求的更高水平动态平衡。拓展新技术、新装备、新产品的和市场空间，提高综合竞争力。</w:t>
      </w:r>
    </w:p>
    <w:p>
      <w:pPr>
        <w:spacing w:line="620" w:lineRule="exact"/>
        <w:ind w:firstLine="640"/>
        <w:jc w:val="left"/>
        <w:rPr>
          <w:rFonts w:ascii="仿宋_GB2312" w:hAnsi="Arial" w:cs="Arial"/>
          <w:color w:val="000000"/>
          <w:spacing w:val="8"/>
          <w:kern w:val="0"/>
          <w:shd w:val="clear" w:color="auto" w:fill="FFFFFF"/>
        </w:rPr>
      </w:pPr>
      <w:r>
        <w:rPr>
          <w:rStyle w:val="26"/>
          <w:rFonts w:hint="eastAsia" w:ascii="楷体_GB2312" w:eastAsia="楷体_GB2312"/>
          <w:b w:val="0"/>
          <w:bCs/>
        </w:rPr>
        <w:t>积极参与国内国际双循环。</w:t>
      </w:r>
      <w:r>
        <w:rPr>
          <w:rFonts w:hint="eastAsia" w:ascii="仿宋_GB2312" w:hAnsi="Arial" w:cs="Arial"/>
          <w:color w:val="000000"/>
          <w:spacing w:val="8"/>
          <w:kern w:val="0"/>
          <w:shd w:val="clear" w:color="auto" w:fill="FFFFFF"/>
        </w:rPr>
        <w:t>更好利用国内国际两个市场两种资源，调整市场布局，优化商品结构，创新贸易方式，推进内外贸一体化发展。促进内外贸质量标准、认证认可相衔接，推进同线同标同质。</w:t>
      </w:r>
      <w:r>
        <w:rPr>
          <w:rFonts w:hint="eastAsia" w:ascii="仿宋_GB2312" w:hAnsi="Arial" w:cs="Arial"/>
          <w:spacing w:val="8"/>
          <w:kern w:val="0"/>
          <w:shd w:val="clear" w:color="auto" w:fill="FFFFFF"/>
        </w:rPr>
        <w:t>发挥好冠县内陆港内引外联作用，规划建设大宗商品物流产业园、智慧物流仓储区、保税物流中心，构建高效便捷的现代物流体系。</w:t>
      </w:r>
      <w:r>
        <w:rPr>
          <w:rFonts w:hint="eastAsia" w:ascii="仿宋_GB2312" w:hAnsi="Arial" w:cs="Arial"/>
          <w:color w:val="000000"/>
          <w:spacing w:val="8"/>
          <w:kern w:val="0"/>
          <w:shd w:val="clear" w:color="auto" w:fill="FFFFFF"/>
        </w:rPr>
        <w:t>加强与“一带一路”沿线国家和地区经贸往来，主动对接京津冀、雄安新区、长三角、粤港澳大湾区。</w:t>
      </w:r>
      <w:r>
        <w:rPr>
          <w:rStyle w:val="26"/>
          <w:rFonts w:hint="eastAsia" w:ascii="仿宋_GB2312" w:hAnsi="仿宋_GB2312" w:eastAsia="仿宋_GB2312"/>
          <w:b w:val="0"/>
          <w:bCs/>
        </w:rPr>
        <w:t>扩大利用外资规模，</w:t>
      </w:r>
      <w:r>
        <w:rPr>
          <w:rFonts w:hint="eastAsia"/>
        </w:rPr>
        <w:t>研究制定相关优惠政策，积极吸引外资以及先进技术、管理经验，引导投向我县先进制造业、现代高效农业、现代服务业、数字经济等领域，带动区域经济转型升级。全面落实准入前国民待遇加负面清单管理制度，支持外资进入清单以外的行业和领域，并享受同等的准入标准和优惠政策。建立对外经贸合作风险防控机制，引导企业积极应对各种风险。</w:t>
      </w:r>
    </w:p>
    <w:p>
      <w:pPr>
        <w:pStyle w:val="3"/>
        <w:spacing w:before="437" w:beforeLines="100" w:after="437" w:afterLines="100" w:line="620" w:lineRule="exact"/>
        <w:rPr>
          <w:rFonts w:ascii="黑体" w:hAnsi="黑体" w:eastAsia="黑体" w:cs="黑体"/>
          <w:b w:val="0"/>
        </w:rPr>
      </w:pPr>
      <w:bookmarkStart w:id="52" w:name="_Toc60646212"/>
      <w:r>
        <w:rPr>
          <w:rFonts w:hint="eastAsia" w:ascii="黑体" w:hAnsi="黑体" w:eastAsia="黑体" w:cs="黑体"/>
          <w:b w:val="0"/>
        </w:rPr>
        <w:t>第十九章</w:t>
      </w:r>
      <w:bookmarkEnd w:id="52"/>
      <w:r>
        <w:rPr>
          <w:rFonts w:hint="eastAsia" w:ascii="黑体" w:hAnsi="黑体" w:eastAsia="黑体" w:cs="黑体"/>
          <w:b w:val="0"/>
        </w:rPr>
        <w:t xml:space="preserve"> </w:t>
      </w:r>
      <w:r>
        <w:rPr>
          <w:rFonts w:ascii="黑体" w:hAnsi="黑体" w:eastAsia="黑体" w:cs="黑体"/>
          <w:b w:val="0"/>
        </w:rPr>
        <w:t xml:space="preserve"> </w:t>
      </w:r>
      <w:r>
        <w:rPr>
          <w:rFonts w:hint="eastAsia" w:ascii="黑体" w:hAnsi="黑体" w:eastAsia="黑体" w:cs="黑体"/>
          <w:b w:val="0"/>
        </w:rPr>
        <w:t>促进消费扩容提质</w:t>
      </w:r>
    </w:p>
    <w:p>
      <w:pPr>
        <w:spacing w:line="620" w:lineRule="exact"/>
        <w:ind w:firstLine="640"/>
        <w:rPr>
          <w:rFonts w:ascii="仿宋_GB2312"/>
        </w:rPr>
      </w:pPr>
      <w:r>
        <w:rPr>
          <w:rStyle w:val="26"/>
          <w:rFonts w:hint="eastAsia" w:ascii="楷体_GB2312" w:eastAsia="楷体_GB2312"/>
          <w:b w:val="0"/>
        </w:rPr>
        <w:t>扩大消费市场供给。</w:t>
      </w:r>
      <w:r>
        <w:rPr>
          <w:rFonts w:hint="eastAsia" w:ascii="仿宋_GB2312"/>
        </w:rPr>
        <w:t>顺应消费升级趋势，大力培育新型消费，加快实物消费、服务消费提质升级，适当增加公共消费，鼓励发展新消费模式，促进消费向绿色、健康、安全发展。完善促进消费政策，推动传统商品消费提质升级，充分释放汽车、家电、家装等传统消费潜力，促进住房消费健康发展。推进服务性消费持续扩容提质，加快发展文化旅游体育消费、健康养老家政消费、教育培训托幼消费，建立健全服务消费市场制度标准和政策支持体系，规范服务消费市场，激发服务消费潜力。全面激活数字消费，加快</w:t>
      </w:r>
      <w:r>
        <w:rPr>
          <w:rFonts w:ascii="仿宋_GB2312"/>
        </w:rPr>
        <w:t>5G</w:t>
      </w:r>
      <w:r>
        <w:rPr>
          <w:rFonts w:hint="eastAsia" w:ascii="仿宋_GB2312"/>
        </w:rPr>
        <w:t>商用和智能产品推广，带动高端信息产品和服务消费，拓展远程教育、数字文化等消费空间。健全现代流通体系，发展无接触交易服务，促进线上线下消费融合发展。完善节假日制度，落实带薪休假制度，扩大节假日消费。</w:t>
      </w:r>
    </w:p>
    <w:p>
      <w:pPr>
        <w:spacing w:line="600" w:lineRule="exact"/>
        <w:ind w:firstLine="640"/>
        <w:rPr>
          <w:rFonts w:ascii="仿宋_GB2312"/>
          <w:color w:val="C00000"/>
        </w:rPr>
      </w:pPr>
      <w:r>
        <w:rPr>
          <w:rStyle w:val="26"/>
          <w:rFonts w:hint="eastAsia" w:ascii="楷体_GB2312" w:eastAsia="楷体_GB2312"/>
          <w:b w:val="0"/>
        </w:rPr>
        <w:t>丰富多元消费场景。</w:t>
      </w:r>
      <w:r>
        <w:rPr>
          <w:rFonts w:hint="eastAsia" w:ascii="仿宋_GB2312"/>
        </w:rPr>
        <w:t>在商贸流通与交通物流、文化旅游与餐饮住宿、医疗卫生和养老养生之间推动产业链重组融合，形成多业态、多层次产业协调发展新格局。深入实施电子商务示范带动工程，推进“电商换市”。发展多式联运、“互联网</w:t>
      </w:r>
      <w:r>
        <w:rPr>
          <w:rFonts w:ascii="仿宋_GB2312"/>
        </w:rPr>
        <w:t>+</w:t>
      </w:r>
      <w:r>
        <w:rPr>
          <w:rFonts w:hint="eastAsia" w:ascii="仿宋_GB2312"/>
        </w:rPr>
        <w:t>物流”等物流新业态。支持传统商贸企业探索</w:t>
      </w:r>
      <w:r>
        <w:rPr>
          <w:rFonts w:ascii="仿宋_GB2312"/>
        </w:rPr>
        <w:t>O2O</w:t>
      </w:r>
      <w:r>
        <w:rPr>
          <w:rFonts w:hint="eastAsia" w:ascii="仿宋_GB2312"/>
        </w:rPr>
        <w:t>全渠道经营模式，发展新零售。推进文化与旅游融合互动，创新旅游产品组合和旅游服务内容，以梨园为骨架、文化为底蕴、生态为主题、温泉为特色，做好“梨花、温泉、乡村、休闲”的大旅游文章。积极推动商旅融合，丰富现代商贸业发展内涵，建设集旅游、购物、住宿、餐饮、演艺、展示、游乐于一体的旅游综合体。加强医旅融合，积极培育中医药养生、医养结合、“旅游</w:t>
      </w:r>
      <w:r>
        <w:rPr>
          <w:rFonts w:ascii="仿宋_GB2312"/>
        </w:rPr>
        <w:t>+</w:t>
      </w:r>
      <w:r>
        <w:rPr>
          <w:rFonts w:hint="eastAsia" w:ascii="仿宋_GB2312"/>
        </w:rPr>
        <w:t>康养”等新模式，开发多层次、多样化的健康养老服务产品。</w:t>
      </w:r>
    </w:p>
    <w:p>
      <w:pPr>
        <w:ind w:firstLine="640"/>
        <w:rPr>
          <w:rFonts w:ascii="仿宋_GB2312"/>
        </w:rPr>
      </w:pPr>
      <w:r>
        <w:rPr>
          <w:rStyle w:val="26"/>
          <w:rFonts w:hint="eastAsia" w:ascii="楷体_GB2312" w:eastAsia="楷体_GB2312"/>
          <w:b w:val="0"/>
        </w:rPr>
        <w:t>提升商贸服务水平。</w:t>
      </w:r>
      <w:r>
        <w:rPr>
          <w:rStyle w:val="26"/>
          <w:rFonts w:hint="eastAsia" w:ascii="仿宋_GB2312" w:eastAsia="仿宋_GB2312"/>
          <w:b w:val="0"/>
        </w:rPr>
        <w:t>编制并</w:t>
      </w:r>
      <w:r>
        <w:rPr>
          <w:rFonts w:hint="eastAsia" w:ascii="仿宋_GB2312"/>
        </w:rPr>
        <w:t>严格执行《冠县商业网点规划》，加快构建以城区骨架为核心，以乡镇商贸节点为补充，适应冠县产业经济发展特色的现代商贸体系。聚焦开拓乡村市场，加强农村市场体系建设，加快形成以县城为中心、乡镇和村相结合的商品流通网络体系。大力发展城市综合体、连锁经营、新零售等现代商贸业态，积极引导传统商贸、流通企业创新电商运营模式，全面促进消费升级，重点推进建安商贸城等成熟商圈上档升级。加快培育一批主业突出、核心竞争力强的大型商贸龙头企业，鼓励企业通过参股、控股、兼并、收购等方式，实现规模扩张。引导龙头商贸企业逐步由单一贸易功能向采供、货运、配送、贸易、金融、信息等服务功能拓展，形成一批具有生产基地、制造加工、物流配送、终端销售控制能力的商贸集成服务商。</w:t>
      </w:r>
    </w:p>
    <w:p>
      <w:pPr>
        <w:ind w:firstLine="640"/>
      </w:pPr>
      <w:r>
        <w:rPr>
          <w:rStyle w:val="26"/>
          <w:rFonts w:hint="eastAsia" w:ascii="楷体_GB2312" w:eastAsia="楷体_GB2312"/>
          <w:b w:val="0"/>
        </w:rPr>
        <w:t>优化消费发展环境。</w:t>
      </w:r>
      <w:r>
        <w:rPr>
          <w:rFonts w:hint="eastAsia"/>
        </w:rPr>
        <w:t>持续完善消费基础设施，重点支持既促消费惠民生又调结构增后劲的“两新一重”建设，形成提振消费与扩大投资有效结合、相互促进，既激发新消费需求，又助力产业升级。加强农村地区水电路气和信息基础设施建设，畅通农村现代商贸流通渠道，加快现代消费向农村普及。深入实施放心消费行动，加强质量认证体系建设，建成覆盖线上线下的重要产品追溯体系。进一步加大消费者权益保护力度，深入开展放心消费创建活动，督促经营者诚信经营；加大农村流通产品监督抽查覆盖面。积极开展有机产品认证，提升农产品供给质量。</w:t>
      </w:r>
      <w:bookmarkStart w:id="53" w:name="_Toc60646213"/>
    </w:p>
    <w:p>
      <w:pPr>
        <w:pStyle w:val="3"/>
        <w:spacing w:before="437" w:beforeLines="100" w:after="437" w:afterLines="100" w:line="600" w:lineRule="exact"/>
        <w:rPr>
          <w:rFonts w:ascii="黑体" w:hAnsi="黑体" w:eastAsia="黑体" w:cs="黑体"/>
          <w:b w:val="0"/>
        </w:rPr>
      </w:pPr>
      <w:r>
        <w:rPr>
          <w:rFonts w:hint="eastAsia" w:ascii="黑体" w:hAnsi="黑体" w:eastAsia="黑体" w:cs="黑体"/>
          <w:b w:val="0"/>
        </w:rPr>
        <w:t xml:space="preserve">第二十章 </w:t>
      </w:r>
      <w:r>
        <w:rPr>
          <w:rFonts w:ascii="黑体" w:hAnsi="黑体" w:eastAsia="黑体" w:cs="黑体"/>
          <w:b w:val="0"/>
        </w:rPr>
        <w:t xml:space="preserve"> </w:t>
      </w:r>
      <w:r>
        <w:rPr>
          <w:rFonts w:hint="eastAsia" w:ascii="黑体" w:hAnsi="黑体" w:eastAsia="黑体" w:cs="黑体"/>
          <w:b w:val="0"/>
        </w:rPr>
        <w:t>扩大精准有效投资</w:t>
      </w:r>
      <w:bookmarkEnd w:id="53"/>
    </w:p>
    <w:p>
      <w:pPr>
        <w:spacing w:line="600" w:lineRule="exact"/>
        <w:ind w:firstLine="640"/>
        <w:rPr>
          <w:rStyle w:val="26"/>
          <w:rFonts w:ascii="仿宋_GB2312" w:eastAsia="仿宋_GB2312"/>
          <w:b w:val="0"/>
          <w:bCs/>
        </w:rPr>
      </w:pPr>
      <w:r>
        <w:rPr>
          <w:rStyle w:val="26"/>
          <w:rFonts w:hint="eastAsia" w:ascii="楷体_GB2312" w:eastAsia="楷体_GB2312"/>
          <w:b w:val="0"/>
          <w:bCs/>
        </w:rPr>
        <w:t>加强项目谋划储备。</w:t>
      </w:r>
      <w:r>
        <w:rPr>
          <w:rStyle w:val="26"/>
          <w:rFonts w:hint="eastAsia" w:ascii="仿宋_GB2312" w:hAnsi="仿宋_GB2312" w:eastAsia="仿宋_GB2312"/>
          <w:b w:val="0"/>
          <w:bCs/>
        </w:rPr>
        <w:t>聚焦经济社会发展的重点领域，科学谋划、储备一批全局性、基础性、战略性、牵引性强的重大转型项目。围绕制造业强县，每年筛选储备</w:t>
      </w:r>
      <w:r>
        <w:rPr>
          <w:rStyle w:val="26"/>
          <w:rFonts w:ascii="仿宋_GB2312" w:hAnsi="仿宋_GB2312" w:eastAsia="仿宋_GB2312"/>
          <w:b w:val="0"/>
          <w:bCs/>
        </w:rPr>
        <w:t>1</w:t>
      </w:r>
      <w:r>
        <w:rPr>
          <w:rStyle w:val="26"/>
          <w:rFonts w:ascii="仿宋_GB2312" w:eastAsia="仿宋_GB2312"/>
          <w:b w:val="0"/>
          <w:bCs/>
        </w:rPr>
        <w:t>0</w:t>
      </w:r>
      <w:r>
        <w:rPr>
          <w:rStyle w:val="26"/>
          <w:rFonts w:hint="eastAsia" w:ascii="仿宋_GB2312" w:hAnsi="仿宋_GB2312" w:eastAsia="仿宋_GB2312"/>
          <w:b w:val="0"/>
          <w:bCs/>
        </w:rPr>
        <w:t>个左右新建项目和</w:t>
      </w:r>
      <w:r>
        <w:rPr>
          <w:rStyle w:val="26"/>
          <w:rFonts w:ascii="仿宋_GB2312" w:hAnsi="仿宋_GB2312" w:eastAsia="仿宋_GB2312"/>
          <w:b w:val="0"/>
          <w:bCs/>
        </w:rPr>
        <w:t>3</w:t>
      </w:r>
      <w:r>
        <w:rPr>
          <w:rStyle w:val="26"/>
          <w:rFonts w:ascii="仿宋_GB2312" w:eastAsia="仿宋_GB2312"/>
          <w:b w:val="0"/>
          <w:bCs/>
        </w:rPr>
        <w:t>0</w:t>
      </w:r>
      <w:r>
        <w:rPr>
          <w:rStyle w:val="26"/>
          <w:rFonts w:hint="eastAsia" w:ascii="仿宋_GB2312" w:hAnsi="仿宋_GB2312" w:eastAsia="仿宋_GB2312"/>
          <w:b w:val="0"/>
          <w:bCs/>
        </w:rPr>
        <w:t>个左右技改项目。围绕服务业发展，聚焦医养健康、现代物流、文化旅游、现代金融等领域，每年筛选储备</w:t>
      </w:r>
      <w:r>
        <w:rPr>
          <w:rStyle w:val="26"/>
          <w:rFonts w:ascii="仿宋_GB2312" w:hAnsi="仿宋_GB2312" w:eastAsia="仿宋_GB2312"/>
          <w:b w:val="0"/>
          <w:bCs/>
        </w:rPr>
        <w:t>5</w:t>
      </w:r>
      <w:r>
        <w:rPr>
          <w:rStyle w:val="26"/>
          <w:rFonts w:hint="eastAsia" w:ascii="仿宋_GB2312" w:hAnsi="仿宋_GB2312" w:eastAsia="仿宋_GB2312"/>
          <w:b w:val="0"/>
          <w:bCs/>
        </w:rPr>
        <w:t>个左右重点项目。围绕现代高效农业，聚焦农产品精深加工、冷链物流体系建设、优势产区批发市场建设，每年筛选储备</w:t>
      </w:r>
      <w:r>
        <w:rPr>
          <w:rStyle w:val="26"/>
          <w:rFonts w:ascii="仿宋_GB2312" w:hAnsi="仿宋_GB2312" w:eastAsia="仿宋_GB2312"/>
          <w:b w:val="0"/>
          <w:bCs/>
        </w:rPr>
        <w:t>5</w:t>
      </w:r>
      <w:r>
        <w:rPr>
          <w:rStyle w:val="26"/>
          <w:rFonts w:hint="eastAsia" w:ascii="仿宋_GB2312" w:hAnsi="仿宋_GB2312" w:eastAsia="仿宋_GB2312"/>
          <w:b w:val="0"/>
          <w:bCs/>
        </w:rPr>
        <w:t>个左右重点项目</w:t>
      </w:r>
      <w:r>
        <w:rPr>
          <w:rStyle w:val="26"/>
          <w:rFonts w:hint="eastAsia" w:ascii="仿宋_GB2312" w:hAnsi="仿宋_GB2312" w:eastAsia="仿宋_GB2312"/>
          <w:b w:val="0"/>
          <w:bCs/>
          <w:color w:val="C00000"/>
        </w:rPr>
        <w:t>。</w:t>
      </w:r>
      <w:r>
        <w:rPr>
          <w:rStyle w:val="26"/>
          <w:rFonts w:hint="eastAsia" w:ascii="仿宋_GB2312" w:hAnsi="仿宋_GB2312" w:eastAsia="仿宋_GB2312"/>
          <w:b w:val="0"/>
          <w:bCs/>
        </w:rPr>
        <w:t>围绕重大基础设施建设，聚焦加快布局</w:t>
      </w:r>
      <w:r>
        <w:rPr>
          <w:rStyle w:val="26"/>
          <w:rFonts w:ascii="仿宋_GB2312" w:hAnsi="仿宋_GB2312" w:eastAsia="仿宋_GB2312"/>
          <w:b w:val="0"/>
          <w:bCs/>
        </w:rPr>
        <w:t>5G</w:t>
      </w:r>
      <w:r>
        <w:rPr>
          <w:rStyle w:val="26"/>
          <w:rFonts w:hint="eastAsia" w:ascii="仿宋_GB2312" w:hAnsi="仿宋_GB2312" w:eastAsia="仿宋_GB2312"/>
          <w:b w:val="0"/>
          <w:bCs/>
        </w:rPr>
        <w:t>、人工智能、数据中心等新基建，强化保水供水、防灾减灾等水利工程建设，优化新能源、煤电、外电等多元化能源基础设施，筛选储备一批重大基础设施项目。围绕新型城镇化，聚焦城市更新、智慧城市建设、城市基础设施补短板强弱项、农村生产生活生态环境改善，筛选储备一批城乡建设重点项目。围绕生态文明建设，聚焦水土保持、土地综合整治、河湖与湿地保护修复等，筛选储备一批生态保护与修复重点项目。围绕增进民生福祉，聚焦教育、卫生健康、社会保障、就业、养老、保障性安居工程等领域，筛选储备一批民生改善重点项目。</w:t>
      </w:r>
    </w:p>
    <w:p>
      <w:pPr>
        <w:spacing w:line="600" w:lineRule="exact"/>
        <w:ind w:firstLine="640"/>
        <w:rPr>
          <w:rStyle w:val="26"/>
          <w:rFonts w:ascii="仿宋_GB2312" w:eastAsia="仿宋_GB2312"/>
          <w:b w:val="0"/>
          <w:bCs/>
        </w:rPr>
      </w:pPr>
      <w:r>
        <w:rPr>
          <w:rStyle w:val="26"/>
          <w:rFonts w:hint="eastAsia" w:ascii="楷体_GB2312" w:hAnsi="仿宋_GB2312" w:eastAsia="楷体_GB2312"/>
          <w:b w:val="0"/>
          <w:bCs/>
        </w:rPr>
        <w:t>狠抓项目落地。</w:t>
      </w:r>
      <w:r>
        <w:rPr>
          <w:rStyle w:val="26"/>
          <w:rFonts w:hint="eastAsia" w:ascii="仿宋_GB2312" w:hAnsi="仿宋_GB2312" w:eastAsia="仿宋_GB2312"/>
          <w:b w:val="0"/>
          <w:bCs/>
        </w:rPr>
        <w:t>推进谋划储备项目尽快具备落地开工条件，逐个项目进行梳理，形成手续办理、用地保障、能耗指标、环境评价等问题清单，分类管理。健全重点项目落地会商制度，对落地难的项目，组织开展跨部门、跨层级专题会商，制定分工推进方案，明确手续办理、开工时间、竣工时间等关键节点和责任分工，全力协调解决。建立完善投资项目在线审批监管平台，完善承诺制、区域评估制度，优化并联审批流程，推进审批事项归并整合，提高“一张网”办事功能。</w:t>
      </w:r>
    </w:p>
    <w:p>
      <w:pPr>
        <w:spacing w:line="580" w:lineRule="exact"/>
        <w:ind w:firstLine="640"/>
        <w:rPr>
          <w:rStyle w:val="26"/>
          <w:rFonts w:ascii="仿宋_GB2312" w:eastAsia="仿宋_GB2312"/>
          <w:b w:val="0"/>
          <w:bCs/>
        </w:rPr>
      </w:pPr>
      <w:r>
        <w:rPr>
          <w:rStyle w:val="26"/>
          <w:rFonts w:hint="eastAsia" w:ascii="楷体_GB2312" w:hAnsi="仿宋_GB2312" w:eastAsia="楷体_GB2312"/>
          <w:b w:val="0"/>
          <w:bCs/>
        </w:rPr>
        <w:t>狠抓项目建设和竣工达产。</w:t>
      </w:r>
      <w:r>
        <w:rPr>
          <w:rStyle w:val="26"/>
          <w:rFonts w:hint="eastAsia" w:ascii="仿宋_GB2312" w:hAnsi="仿宋_GB2312" w:eastAsia="仿宋_GB2312"/>
          <w:b w:val="0"/>
          <w:bCs/>
        </w:rPr>
        <w:t>完善项目推进机制，加快项目建设进度，促进项目早竣工、早投产、早达效。制定重点项目建设年度实施计划。继续落实领导联系帮包机制、定期调度督导机制、动态调整机制、要素保障机制、考核评比机制，深入推进一线工作法，采取现场办公、专题协调等方式，找准症结、精准施策，确保项目顺利建成投产。建立项目效益评估体系，对未能达产达效的项目，分析原因，制定整改措施，确保项目达产达效。</w:t>
      </w:r>
    </w:p>
    <w:p>
      <w:pPr>
        <w:spacing w:line="580" w:lineRule="exact"/>
        <w:ind w:firstLine="640"/>
        <w:rPr>
          <w:rStyle w:val="26"/>
          <w:rFonts w:ascii="仿宋_GB2312" w:eastAsia="仿宋_GB2312"/>
          <w:b w:val="0"/>
          <w:bCs/>
        </w:rPr>
      </w:pPr>
      <w:r>
        <w:rPr>
          <w:rStyle w:val="26"/>
          <w:rFonts w:hint="eastAsia" w:ascii="楷体_GB2312" w:hAnsi="仿宋_GB2312" w:eastAsia="楷体_GB2312"/>
          <w:b w:val="0"/>
          <w:bCs/>
        </w:rPr>
        <w:t>狠抓项目要素保障。</w:t>
      </w:r>
      <w:r>
        <w:rPr>
          <w:rStyle w:val="26"/>
          <w:rFonts w:hint="eastAsia" w:ascii="仿宋_GB2312" w:hAnsi="仿宋_GB2312" w:eastAsia="仿宋_GB2312"/>
          <w:b w:val="0"/>
          <w:bCs/>
        </w:rPr>
        <w:t>落实“要素跟着项目走”机制，强化土地、资金、能耗、环境容量等资源要素保障，做好土地征收成片开发方案编制工作。健全长期租赁、先租后让、弹性年期供应、作价出资（入股）等工业用地市场供应体系，消化处置批而未供和闲置土地。建立重点项目环评审批服务保障清单，定期调度环评办理情况，确保环评审批全流程提速。畅通项目建设融资渠道，完善政银企精准对接平台和合作机制。健全政府引导基金、政府购买服务等市场化投入机制，推广实施财政资金股权投资。依法依规开展</w:t>
      </w:r>
      <w:r>
        <w:rPr>
          <w:rStyle w:val="26"/>
          <w:rFonts w:ascii="仿宋_GB2312" w:hAnsi="仿宋_GB2312" w:eastAsia="仿宋_GB2312"/>
          <w:b w:val="0"/>
          <w:bCs/>
        </w:rPr>
        <w:t>PPP</w:t>
      </w:r>
      <w:r>
        <w:rPr>
          <w:rStyle w:val="26"/>
          <w:rFonts w:hint="eastAsia" w:ascii="仿宋_GB2312" w:hAnsi="仿宋_GB2312" w:eastAsia="仿宋_GB2312"/>
          <w:b w:val="0"/>
          <w:bCs/>
        </w:rPr>
        <w:t>项目投资和建设管理。积极争取中央预算内资金支持，用好地方政府专项债券、新旧动能转换基金。</w:t>
      </w:r>
      <w:bookmarkStart w:id="54" w:name="_Toc60646214"/>
    </w:p>
    <w:p>
      <w:pPr>
        <w:spacing w:before="360" w:after="360" w:line="580" w:lineRule="exact"/>
        <w:ind w:firstLine="0" w:firstLineChars="0"/>
        <w:jc w:val="center"/>
        <w:rPr>
          <w:rFonts w:ascii="黑体" w:hAnsi="黑体" w:eastAsia="黑体" w:cs="黑体"/>
        </w:rPr>
      </w:pPr>
      <w:r>
        <w:rPr>
          <w:rFonts w:hint="eastAsia" w:ascii="黑体" w:hAnsi="黑体" w:eastAsia="黑体" w:cs="黑体"/>
        </w:rPr>
        <w:t xml:space="preserve">第二十一章 </w:t>
      </w:r>
      <w:r>
        <w:rPr>
          <w:rFonts w:ascii="黑体" w:hAnsi="黑体" w:eastAsia="黑体" w:cs="黑体"/>
        </w:rPr>
        <w:t xml:space="preserve"> </w:t>
      </w:r>
      <w:r>
        <w:rPr>
          <w:rFonts w:hint="eastAsia" w:ascii="黑体" w:hAnsi="黑体" w:eastAsia="黑体" w:cs="黑体"/>
        </w:rPr>
        <w:t>加强基础设施建设</w:t>
      </w:r>
      <w:bookmarkEnd w:id="54"/>
      <w:bookmarkStart w:id="55" w:name="_Toc60646215"/>
    </w:p>
    <w:p>
      <w:pPr>
        <w:spacing w:after="240" w:line="580" w:lineRule="exact"/>
        <w:ind w:firstLine="0" w:firstLineChars="0"/>
        <w:jc w:val="center"/>
        <w:rPr>
          <w:rFonts w:ascii="楷体_GB2312" w:hAnsi="黑体" w:eastAsia="楷体_GB2312"/>
        </w:rPr>
      </w:pPr>
      <w:r>
        <w:rPr>
          <w:rFonts w:hint="eastAsia" w:ascii="楷体_GB2312" w:eastAsia="楷体_GB2312"/>
        </w:rPr>
        <w:t>第一节</w:t>
      </w:r>
      <w:bookmarkEnd w:id="55"/>
      <w:r>
        <w:rPr>
          <w:rFonts w:hint="eastAsia" w:ascii="楷体_GB2312" w:eastAsia="楷体_GB2312"/>
        </w:rPr>
        <w:t xml:space="preserve"> </w:t>
      </w:r>
      <w:r>
        <w:rPr>
          <w:rFonts w:ascii="楷体_GB2312" w:eastAsia="楷体_GB2312"/>
        </w:rPr>
        <w:t xml:space="preserve"> </w:t>
      </w:r>
      <w:r>
        <w:rPr>
          <w:rFonts w:hint="eastAsia" w:ascii="楷体_GB2312" w:eastAsia="楷体_GB2312"/>
        </w:rPr>
        <w:t>构建现代交通体系</w:t>
      </w:r>
    </w:p>
    <w:p>
      <w:pPr>
        <w:spacing w:line="620" w:lineRule="exact"/>
        <w:ind w:firstLine="643"/>
        <w:rPr>
          <w:rStyle w:val="26"/>
          <w:rFonts w:ascii="仿宋_GB2312" w:eastAsia="仿宋_GB2312"/>
          <w:b w:val="0"/>
          <w:bCs/>
        </w:rPr>
      </w:pPr>
      <w:r>
        <w:rPr>
          <w:rStyle w:val="26"/>
          <w:rFonts w:hint="eastAsia" w:ascii="仿宋_GB2312" w:hAnsi="仿宋_GB2312" w:eastAsia="仿宋_GB2312"/>
          <w:bCs/>
        </w:rPr>
        <w:t>铁路建设。</w:t>
      </w:r>
      <w:r>
        <w:rPr>
          <w:rFonts w:hint="eastAsia"/>
        </w:rPr>
        <w:t>进一步完善对外联系的铁路通道，全力争取聊邯长高铁在我县设站。做好邯济铁路冠县客运站升级改造工作，彻底结束冠县通铁路不通客运的历史。加快推动“公转铁”，重点建设冠县内陆港项目。</w:t>
      </w:r>
    </w:p>
    <w:p>
      <w:pPr>
        <w:spacing w:line="620" w:lineRule="exact"/>
        <w:ind w:firstLine="643"/>
        <w:rPr>
          <w:rStyle w:val="26"/>
          <w:rFonts w:ascii="仿宋_GB2312" w:hAnsi="仿宋" w:eastAsia="仿宋_GB2312" w:cs="仿宋"/>
          <w:b w:val="0"/>
          <w:szCs w:val="32"/>
        </w:rPr>
      </w:pPr>
      <w:r>
        <w:rPr>
          <w:rStyle w:val="26"/>
          <w:rFonts w:hint="eastAsia" w:ascii="仿宋_GB2312" w:hAnsi="仿宋_GB2312" w:eastAsia="仿宋_GB2312"/>
          <w:bCs/>
        </w:rPr>
        <w:t>公路建设。</w:t>
      </w:r>
      <w:r>
        <w:rPr>
          <w:rFonts w:hint="eastAsia" w:ascii="仿宋_GB2312" w:hAnsi="仿宋" w:cs="仿宋"/>
          <w:szCs w:val="32"/>
        </w:rPr>
        <w:t>谋划推动建设省道</w:t>
      </w:r>
      <w:r>
        <w:rPr>
          <w:rFonts w:ascii="仿宋_GB2312" w:hAnsi="仿宋" w:cs="仿宋"/>
          <w:szCs w:val="32"/>
        </w:rPr>
        <w:t>S105</w:t>
      </w:r>
      <w:r>
        <w:rPr>
          <w:rFonts w:hint="eastAsia" w:ascii="仿宋_GB2312" w:hAnsi="仿宋" w:cs="仿宋"/>
          <w:szCs w:val="32"/>
        </w:rPr>
        <w:t>西延至国道</w:t>
      </w:r>
      <w:r>
        <w:rPr>
          <w:rFonts w:ascii="仿宋_GB2312" w:hAnsi="仿宋" w:cs="仿宋"/>
          <w:szCs w:val="32"/>
        </w:rPr>
        <w:t>G106</w:t>
      </w:r>
      <w:r>
        <w:rPr>
          <w:rFonts w:hint="eastAsia" w:ascii="仿宋_GB2312" w:hAnsi="仿宋" w:cs="仿宋"/>
          <w:szCs w:val="32"/>
        </w:rPr>
        <w:t>项目；积极推动临清至濮阳公路（冠县段）的建设，力争在清水镇和贾镇设置两个下道口；全力争取堠码路升级为省道，打通我县北部区域与聊城、济南的联系通道；推进红旗路北延南展工程，</w:t>
      </w:r>
      <w:r>
        <w:rPr>
          <w:rFonts w:hint="eastAsia" w:ascii="仿宋_GB2312" w:hAnsi="仿宋_GB2312" w:cs="仿宋_GB2312"/>
          <w:color w:val="000000"/>
          <w:spacing w:val="8"/>
        </w:rPr>
        <w:t>全力争取青兰高速设置下道口</w:t>
      </w:r>
      <w:r>
        <w:rPr>
          <w:rFonts w:hint="eastAsia" w:ascii="仿宋_GB2312" w:hAnsi="仿宋" w:cs="仿宋"/>
          <w:szCs w:val="32"/>
        </w:rPr>
        <w:t>；</w:t>
      </w:r>
      <w:r>
        <w:rPr>
          <w:rFonts w:hint="eastAsia" w:ascii="仿宋_GB2312" w:hAnsi="仿宋_GB2312" w:cs="仿宋_GB2312"/>
          <w:szCs w:val="32"/>
        </w:rPr>
        <w:t>实施省道干线公路改扩建工程，重点推进</w:t>
      </w:r>
      <w:r>
        <w:rPr>
          <w:rFonts w:ascii="仿宋_GB2312" w:hAnsi="仿宋_GB2312" w:cs="仿宋_GB2312"/>
          <w:szCs w:val="32"/>
        </w:rPr>
        <w:t>S248</w:t>
      </w:r>
      <w:r>
        <w:rPr>
          <w:rFonts w:hint="eastAsia" w:ascii="仿宋_GB2312" w:hAnsi="仿宋_GB2312" w:cs="仿宋_GB2312"/>
          <w:szCs w:val="32"/>
        </w:rPr>
        <w:t>线、</w:t>
      </w:r>
      <w:r>
        <w:rPr>
          <w:rFonts w:ascii="仿宋_GB2312" w:hAnsi="仿宋_GB2312" w:cs="仿宋_GB2312"/>
          <w:szCs w:val="32"/>
        </w:rPr>
        <w:t>S323</w:t>
      </w:r>
      <w:r>
        <w:rPr>
          <w:rFonts w:hint="eastAsia" w:ascii="仿宋_GB2312" w:hAnsi="仿宋_GB2312" w:cs="仿宋_GB2312"/>
          <w:szCs w:val="32"/>
        </w:rPr>
        <w:t>线改建工程。</w:t>
      </w:r>
      <w:r>
        <w:rPr>
          <w:rFonts w:hint="eastAsia" w:ascii="仿宋_GB2312" w:hAnsi="仿宋" w:cs="仿宋"/>
          <w:szCs w:val="32"/>
        </w:rPr>
        <w:t>加快推进“四好农村路”建设，加快建设一批特色产业路、资源路、旅游开发路等。</w:t>
      </w:r>
      <w:r>
        <w:rPr>
          <w:rFonts w:hint="eastAsia"/>
          <w:color w:val="000000"/>
        </w:rPr>
        <w:t>推动农村公路“白改黑”“单改双”，打造一定规模的示范农村公路。</w:t>
      </w:r>
      <w:r>
        <w:rPr>
          <w:rFonts w:hint="eastAsia"/>
        </w:rPr>
        <w:t>加强农村危桥改造，重点实施岳杨路漳卫河大桥工程，做好农村公路养护工作。</w:t>
      </w:r>
    </w:p>
    <w:p>
      <w:pPr>
        <w:pStyle w:val="3"/>
        <w:spacing w:before="218" w:after="218" w:line="600" w:lineRule="exact"/>
        <w:rPr>
          <w:rFonts w:ascii="楷体_GB2312" w:eastAsia="楷体_GB2312"/>
          <w:b w:val="0"/>
          <w:bCs w:val="0"/>
        </w:rPr>
      </w:pPr>
      <w:r>
        <w:rPr>
          <w:rFonts w:hint="eastAsia" w:ascii="楷体_GB2312" w:eastAsia="楷体_GB2312"/>
          <w:b w:val="0"/>
          <w:bCs w:val="0"/>
        </w:rPr>
        <w:t>第二节</w:t>
      </w:r>
      <w:r>
        <w:rPr>
          <w:rFonts w:ascii="楷体_GB2312" w:eastAsia="楷体_GB2312"/>
          <w:b w:val="0"/>
          <w:bCs w:val="0"/>
        </w:rPr>
        <w:t xml:space="preserve">  </w:t>
      </w:r>
      <w:r>
        <w:rPr>
          <w:rFonts w:hint="eastAsia" w:ascii="楷体_GB2312" w:eastAsia="楷体_GB2312"/>
          <w:b w:val="0"/>
          <w:bCs w:val="0"/>
        </w:rPr>
        <w:t>构建现代水网体系</w:t>
      </w:r>
    </w:p>
    <w:p>
      <w:pPr>
        <w:spacing w:line="600" w:lineRule="exact"/>
        <w:ind w:firstLine="643"/>
        <w:rPr>
          <w:rFonts w:ascii="仿宋_GB2312"/>
          <w:bCs/>
        </w:rPr>
      </w:pPr>
      <w:r>
        <w:rPr>
          <w:rFonts w:hint="eastAsia" w:ascii="仿宋_GB2312"/>
          <w:b/>
          <w:bCs/>
        </w:rPr>
        <w:t>重点水资源保障工程。</w:t>
      </w:r>
      <w:r>
        <w:rPr>
          <w:rFonts w:hint="eastAsia" w:ascii="仿宋_GB2312" w:hAnsi="仿宋_GB2312"/>
          <w:bCs/>
        </w:rPr>
        <w:t>推进重点水网工程建设，构建高质量现代化水利基础设施网络。</w:t>
      </w:r>
      <w:r>
        <w:rPr>
          <w:rFonts w:hint="eastAsia" w:ascii="仿宋_GB2312" w:hAnsi="宋体" w:cs="宋体"/>
          <w:color w:val="000000"/>
        </w:rPr>
        <w:t>完成南水北调一期配套工程，</w:t>
      </w:r>
      <w:r>
        <w:rPr>
          <w:rFonts w:hint="eastAsia" w:ascii="仿宋_GB2312" w:hAnsi="仿宋_GB2312"/>
          <w:bCs/>
        </w:rPr>
        <w:t>实施南水北调二期配套工程。</w:t>
      </w:r>
      <w:r>
        <w:rPr>
          <w:rFonts w:hint="eastAsia" w:ascii="仿宋_GB2312" w:hAnsi="宋体" w:cs="宋体"/>
          <w:color w:val="000000"/>
        </w:rPr>
        <w:t>加快推动位山、彭楼引黄灌区续建配套与现代化改造，重点实施乜村灌区、班庄等中型灌区续建配套与现代化改造，逐步提高灌区输配水能力和运行管理能力，打造现代化节水型生态灌区；加大小型水源建设力度，重点实施卫运河郭庄泵站、乔马庄泵站</w:t>
      </w:r>
      <w:r>
        <w:rPr>
          <w:rFonts w:hint="eastAsia" w:ascii="仿宋_GB2312" w:hAnsi="仿宋"/>
          <w:color w:val="000000"/>
          <w:szCs w:val="28"/>
        </w:rPr>
        <w:t>及</w:t>
      </w:r>
      <w:r>
        <w:rPr>
          <w:rFonts w:ascii="仿宋_GB2312" w:hAnsi="仿宋"/>
          <w:color w:val="000000"/>
          <w:szCs w:val="28"/>
        </w:rPr>
        <w:t>10</w:t>
      </w:r>
      <w:r>
        <w:rPr>
          <w:rFonts w:hint="eastAsia" w:ascii="仿宋_GB2312" w:hAnsi="仿宋"/>
          <w:color w:val="000000"/>
          <w:szCs w:val="28"/>
        </w:rPr>
        <w:t>处小型泵站</w:t>
      </w:r>
      <w:r>
        <w:rPr>
          <w:rFonts w:hint="eastAsia" w:ascii="仿宋_GB2312" w:hAnsi="宋体" w:cs="宋体"/>
          <w:color w:val="000000"/>
        </w:rPr>
        <w:t>更新改造项目，提高水源保障能力。</w:t>
      </w:r>
    </w:p>
    <w:p>
      <w:pPr>
        <w:spacing w:line="580" w:lineRule="exact"/>
        <w:ind w:firstLine="643"/>
        <w:rPr>
          <w:rFonts w:ascii="仿宋_GB2312" w:hAnsi="仿宋"/>
          <w:szCs w:val="28"/>
        </w:rPr>
      </w:pPr>
      <w:r>
        <w:rPr>
          <w:rFonts w:hint="eastAsia" w:ascii="仿宋_GB2312"/>
          <w:b/>
          <w:bCs/>
        </w:rPr>
        <w:t>水生态保护与修复工程。</w:t>
      </w:r>
      <w:r>
        <w:rPr>
          <w:rFonts w:hint="eastAsia" w:ascii="仿宋_GB2312" w:hAnsi="宋体" w:cs="宋体"/>
          <w:color w:val="000000"/>
        </w:rPr>
        <w:t>大力实施水土保持项目，重点实施</w:t>
      </w:r>
      <w:r>
        <w:rPr>
          <w:rFonts w:hint="eastAsia" w:ascii="仿宋_GB2312" w:hAnsi="仿宋"/>
          <w:szCs w:val="28"/>
        </w:rPr>
        <w:t>马园风沙片治理及大沙河林场水源修复工程。</w:t>
      </w:r>
      <w:r>
        <w:rPr>
          <w:rFonts w:hint="eastAsia" w:ascii="仿宋_GB2312" w:hAnsi="宋体" w:cs="宋体"/>
          <w:color w:val="000000"/>
        </w:rPr>
        <w:t>加大水源置换、修复补源、机井封填等实施力度，推动实施地下水超采区治理工程，逐步恢复和提升地下水位，缩小地下水超采区和漏斗区面积，改善地下水生态环境。</w:t>
      </w:r>
    </w:p>
    <w:p>
      <w:pPr>
        <w:spacing w:line="580" w:lineRule="exact"/>
        <w:ind w:firstLine="643"/>
      </w:pPr>
      <w:r>
        <w:rPr>
          <w:rFonts w:hint="eastAsia" w:ascii="仿宋_GB2312" w:hAnsi="仿宋_GB2312"/>
          <w:b/>
          <w:bCs/>
        </w:rPr>
        <w:t>防洪抗旱减灾治理工程。</w:t>
      </w:r>
      <w:r>
        <w:rPr>
          <w:rFonts w:hint="eastAsia"/>
        </w:rPr>
        <w:t>持续实施水系连通工程，逐步形成冠县“五横六纵”的水网格局。加强河流堤防整治，推进清淤疏浚，做好滩涂湿地保护，保证行洪安全。加强县级骨干水网与市级水网连通，</w:t>
      </w:r>
      <w:r>
        <w:rPr>
          <w:rFonts w:hint="eastAsia" w:ascii="仿宋_GB2312" w:hAnsi="仿宋_GB2312"/>
          <w:bCs/>
        </w:rPr>
        <w:t>实施冠县抗旱水源工程，</w:t>
      </w:r>
      <w:r>
        <w:rPr>
          <w:rFonts w:hint="eastAsia"/>
        </w:rPr>
        <w:t>推进建设抗旱应急水源，加大客水调引力度。实施水利感知网建设工程、水利信息网建设工程、大数据中心建设工程，全面升级县级预警平台系统，建成覆盖全县的旱情、汛情预警预报体系。</w:t>
      </w:r>
    </w:p>
    <w:p>
      <w:pPr>
        <w:spacing w:line="580" w:lineRule="exact"/>
        <w:ind w:firstLine="643"/>
      </w:pPr>
      <w:r>
        <w:rPr>
          <w:rFonts w:hint="eastAsia" w:ascii="仿宋_GB2312"/>
          <w:b/>
          <w:bCs/>
        </w:rPr>
        <w:t>城乡饮水安全工程。</w:t>
      </w:r>
      <w:r>
        <w:rPr>
          <w:rFonts w:hint="eastAsia"/>
        </w:rPr>
        <w:t>合理优化配置水资源，建设冉海水库供水管线并实现持续供水，结合南水北调二期新建大沙河水库，与冉海水库实现联合调度，提升冠县东部区域地表水供水保障能力。加强饮用水水源地保护，确保安全稳定的供水水源。实施城乡供水一体化提升及工业用水厂建设工程、智慧水务建设工程，持续提升县域供水能力。加强农村饮水安全工程建设和管护，进一步提高农村饮水水质合格率。</w:t>
      </w:r>
    </w:p>
    <w:p>
      <w:pPr>
        <w:pStyle w:val="3"/>
        <w:spacing w:before="218" w:after="218" w:line="600" w:lineRule="exact"/>
        <w:rPr>
          <w:rFonts w:ascii="楷体_GB2312" w:eastAsia="楷体_GB2312"/>
          <w:b w:val="0"/>
          <w:bCs w:val="0"/>
        </w:rPr>
      </w:pPr>
      <w:r>
        <w:rPr>
          <w:rFonts w:hint="eastAsia" w:ascii="楷体_GB2312" w:eastAsia="楷体_GB2312"/>
          <w:b w:val="0"/>
          <w:bCs w:val="0"/>
        </w:rPr>
        <w:t>第三节  构建现代能源体系</w:t>
      </w:r>
    </w:p>
    <w:p>
      <w:pPr>
        <w:spacing w:line="600" w:lineRule="exact"/>
        <w:ind w:firstLine="643"/>
        <w:rPr>
          <w:rFonts w:ascii="仿宋_GB2312"/>
        </w:rPr>
      </w:pPr>
      <w:r>
        <w:rPr>
          <w:rStyle w:val="26"/>
          <w:rFonts w:hint="eastAsia" w:ascii="仿宋_GB2312" w:eastAsia="仿宋_GB2312"/>
        </w:rPr>
        <w:t>电力。</w:t>
      </w:r>
      <w:r>
        <w:rPr>
          <w:rFonts w:hint="eastAsia" w:ascii="仿宋_GB2312" w:hAnsi="仿宋_GB2312"/>
        </w:rPr>
        <w:t>结合老旧小区改造，加快电网入地建设。</w:t>
      </w:r>
      <w:r>
        <w:rPr>
          <w:rFonts w:hint="eastAsia" w:ascii="仿宋_GB2312"/>
          <w:color w:val="000000"/>
        </w:rPr>
        <w:t>推进城区核心区域变电站布点建设，</w:t>
      </w:r>
      <w:r>
        <w:rPr>
          <w:rFonts w:hint="eastAsia" w:ascii="仿宋_GB2312" w:hAnsi="仿宋_GB2312"/>
        </w:rPr>
        <w:t>规划建设</w:t>
      </w:r>
      <w:r>
        <w:rPr>
          <w:rFonts w:ascii="仿宋_GB2312" w:hAnsi="仿宋_GB2312"/>
        </w:rPr>
        <w:t>1</w:t>
      </w:r>
      <w:r>
        <w:rPr>
          <w:rFonts w:hint="eastAsia" w:ascii="仿宋_GB2312" w:hAnsi="仿宋_GB2312"/>
        </w:rPr>
        <w:t>座</w:t>
      </w:r>
      <w:r>
        <w:rPr>
          <w:rFonts w:ascii="仿宋_GB2312" w:hAnsi="仿宋_GB2312"/>
        </w:rPr>
        <w:t>220</w:t>
      </w:r>
      <w:r>
        <w:rPr>
          <w:rFonts w:hint="eastAsia" w:ascii="仿宋_GB2312" w:hAnsi="仿宋_GB2312"/>
        </w:rPr>
        <w:t>千伏变电站工程，建设</w:t>
      </w:r>
      <w:r>
        <w:rPr>
          <w:rFonts w:ascii="仿宋_GB2312" w:hAnsi="仿宋_GB2312"/>
        </w:rPr>
        <w:t>6</w:t>
      </w:r>
      <w:r>
        <w:rPr>
          <w:rFonts w:hint="eastAsia" w:ascii="仿宋_GB2312" w:hAnsi="仿宋_GB2312"/>
        </w:rPr>
        <w:t>座</w:t>
      </w:r>
      <w:r>
        <w:rPr>
          <w:rFonts w:ascii="仿宋_GB2312" w:hAnsi="仿宋_GB2312"/>
        </w:rPr>
        <w:t>110</w:t>
      </w:r>
      <w:r>
        <w:rPr>
          <w:rFonts w:hint="eastAsia" w:ascii="仿宋_GB2312" w:hAnsi="仿宋_GB2312"/>
        </w:rPr>
        <w:t>千伏变电站工程，重点保障南部新城、工业园区等热点区域用电需求。推动城区四环内主干路的线路改造和电力管线建设。利用先进技术改造升级传统电网，推进既有变电站改扩建。继续推进农网升级改造工程，优化农网网架结构，逐年提高乡村配电网供电能力和质量。以智能电网为载体，着力构建适应新能源电力接入的智能电网，打造智能服务平台。引导大中型企业建立能源管理中心，开展合同能源管理，提高能源精细化管理水平。</w:t>
      </w:r>
    </w:p>
    <w:p>
      <w:pPr>
        <w:spacing w:line="600" w:lineRule="exact"/>
        <w:ind w:firstLine="643"/>
      </w:pPr>
      <w:r>
        <w:rPr>
          <w:rFonts w:hint="eastAsia" w:ascii="仿宋_GB2312"/>
          <w:b/>
          <w:bCs/>
        </w:rPr>
        <w:t>天然气。</w:t>
      </w:r>
      <w:r>
        <w:rPr>
          <w:rFonts w:hint="eastAsia" w:ascii="仿宋_GB2312" w:hAnsi="仿宋_GB2312"/>
        </w:rPr>
        <w:t>实施气化冠县工程，加快天然气管道建设，积极推进天然气在工业、交通、供暖等领域高效利用，扩大天然消费市场。到</w:t>
      </w:r>
      <w:r>
        <w:rPr>
          <w:rFonts w:ascii="仿宋_GB2312" w:hAnsi="仿宋_GB2312"/>
        </w:rPr>
        <w:t>2025</w:t>
      </w:r>
      <w:r>
        <w:rPr>
          <w:rFonts w:hint="eastAsia" w:ascii="仿宋_GB2312" w:hAnsi="仿宋_GB2312"/>
        </w:rPr>
        <w:t>年，全县天然气消费量达到</w:t>
      </w:r>
      <w:r>
        <w:rPr>
          <w:rFonts w:ascii="仿宋_GB2312" w:hAnsi="仿宋_GB2312"/>
        </w:rPr>
        <w:t>1.6</w:t>
      </w:r>
      <w:r>
        <w:rPr>
          <w:rFonts w:hint="eastAsia" w:ascii="仿宋_GB2312" w:hAnsi="仿宋_GB2312"/>
        </w:rPr>
        <w:t>亿立方。</w:t>
      </w:r>
    </w:p>
    <w:p>
      <w:pPr>
        <w:spacing w:line="600" w:lineRule="exact"/>
        <w:ind w:firstLine="643"/>
        <w:rPr>
          <w:rFonts w:ascii="仿宋_GB2312"/>
        </w:rPr>
      </w:pPr>
      <w:r>
        <w:rPr>
          <w:rFonts w:hint="eastAsia" w:ascii="仿宋_GB2312"/>
          <w:b/>
          <w:bCs/>
        </w:rPr>
        <w:t>新能源。</w:t>
      </w:r>
      <w:r>
        <w:rPr>
          <w:rFonts w:hint="eastAsia" w:ascii="仿宋_GB2312"/>
          <w:color w:val="000000"/>
        </w:rPr>
        <w:t>有序发展光伏发电和生物质综合利用项目，</w:t>
      </w:r>
      <w:r>
        <w:rPr>
          <w:rFonts w:hint="eastAsia" w:ascii="仿宋_GB2312"/>
        </w:rPr>
        <w:t>实施虹海农业桑阿镇</w:t>
      </w:r>
      <w:r>
        <w:rPr>
          <w:rFonts w:ascii="仿宋_GB2312"/>
        </w:rPr>
        <w:t>30</w:t>
      </w:r>
      <w:r>
        <w:rPr>
          <w:rFonts w:hint="eastAsia" w:ascii="仿宋_GB2312"/>
        </w:rPr>
        <w:t>兆瓦农光互补光伏发电项目、大唐甘官屯镇</w:t>
      </w:r>
      <w:r>
        <w:rPr>
          <w:rFonts w:ascii="仿宋_GB2312"/>
        </w:rPr>
        <w:t>20</w:t>
      </w:r>
      <w:r>
        <w:rPr>
          <w:rFonts w:hint="eastAsia" w:ascii="仿宋_GB2312"/>
        </w:rPr>
        <w:t>兆瓦农光互补光伏发电项目、聊城万禾燃机热电有限公司农林秸秆生物质气化、发电项目等一批重点能源项目。</w:t>
      </w:r>
      <w:r>
        <w:rPr>
          <w:rFonts w:hint="eastAsia" w:ascii="仿宋_GB2312"/>
          <w:bCs/>
        </w:rPr>
        <w:t>大幅提高新能源和可再生能源利用规模，推动绿色电力、绿色热力、绿色燃料生产与应用。推广绿色能源替代，建立规范有序的运营监管机制，完善绿色能源替代配套政策体系。</w:t>
      </w:r>
    </w:p>
    <w:p>
      <w:pPr>
        <w:pStyle w:val="2"/>
        <w:spacing w:before="655" w:beforeLines="150" w:after="218"/>
        <w:rPr>
          <w:rFonts w:ascii="方正小标宋简体" w:eastAsia="方正小标宋简体"/>
          <w:sz w:val="36"/>
          <w:szCs w:val="36"/>
        </w:rPr>
      </w:pPr>
      <w:bookmarkStart w:id="56" w:name="_Toc60646218"/>
      <w:r>
        <w:rPr>
          <w:rFonts w:hint="eastAsia" w:ascii="方正小标宋简体" w:hAnsi="宋体" w:eastAsia="方正小标宋简体" w:cs="宋体"/>
          <w:sz w:val="36"/>
          <w:szCs w:val="36"/>
        </w:rPr>
        <w:t xml:space="preserve">第六篇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打造乡村振兴</w:t>
      </w:r>
      <w:bookmarkEnd w:id="56"/>
      <w:r>
        <w:rPr>
          <w:rFonts w:hint="eastAsia" w:ascii="方正小标宋简体" w:hAnsi="宋体" w:eastAsia="方正小标宋简体" w:cs="宋体"/>
          <w:sz w:val="36"/>
          <w:szCs w:val="36"/>
        </w:rPr>
        <w:t>新样板</w:t>
      </w:r>
    </w:p>
    <w:p>
      <w:pPr>
        <w:spacing w:line="580" w:lineRule="exact"/>
        <w:ind w:firstLine="640"/>
      </w:pPr>
      <w:r>
        <w:rPr>
          <w:rFonts w:hint="eastAsia"/>
        </w:rPr>
        <w:t>坚持把解决好“三农”问题作为重中之重，深入实施乡村振兴重大工程，推动乡村产业振兴、人才振兴、文化振兴、生态振兴、组织振兴，完善城乡融合发展的机制体制和政策体系，打造具有鲁西特色的乡村振兴样板。</w:t>
      </w:r>
    </w:p>
    <w:p>
      <w:pPr>
        <w:pStyle w:val="3"/>
        <w:spacing w:before="437" w:beforeLines="100" w:after="437" w:afterLines="100" w:line="580" w:lineRule="exact"/>
        <w:rPr>
          <w:rFonts w:ascii="黑体" w:hAnsi="黑体" w:eastAsia="黑体"/>
          <w:b w:val="0"/>
          <w:bCs w:val="0"/>
          <w:shd w:val="clear" w:color="auto" w:fill="FFFFFF"/>
        </w:rPr>
      </w:pPr>
      <w:r>
        <w:rPr>
          <w:rFonts w:hint="eastAsia" w:ascii="黑体" w:hAnsi="黑体" w:eastAsia="黑体"/>
          <w:b w:val="0"/>
          <w:bCs w:val="0"/>
          <w:shd w:val="clear" w:color="auto" w:fill="FFFFFF"/>
        </w:rPr>
        <w:t xml:space="preserve">第二十二章 </w:t>
      </w:r>
      <w:r>
        <w:rPr>
          <w:rFonts w:ascii="黑体" w:hAnsi="黑体" w:eastAsia="黑体"/>
          <w:b w:val="0"/>
          <w:bCs w:val="0"/>
          <w:shd w:val="clear" w:color="auto" w:fill="FFFFFF"/>
        </w:rPr>
        <w:t xml:space="preserve"> </w:t>
      </w:r>
      <w:r>
        <w:rPr>
          <w:rFonts w:hint="eastAsia" w:ascii="黑体" w:hAnsi="黑体" w:eastAsia="黑体"/>
          <w:b w:val="0"/>
          <w:bCs w:val="0"/>
          <w:shd w:val="clear" w:color="auto" w:fill="FFFFFF"/>
        </w:rPr>
        <w:t>推动农业高质量发展</w:t>
      </w:r>
    </w:p>
    <w:p>
      <w:pPr>
        <w:pStyle w:val="3"/>
        <w:spacing w:before="218" w:after="218" w:line="580" w:lineRule="exact"/>
        <w:rPr>
          <w:rFonts w:ascii="楷体_GB2312" w:eastAsia="楷体_GB2312"/>
          <w:b w:val="0"/>
          <w:bCs w:val="0"/>
        </w:rPr>
      </w:pPr>
      <w:bookmarkStart w:id="57" w:name="_Toc60646220"/>
      <w:r>
        <w:rPr>
          <w:rFonts w:hint="eastAsia" w:ascii="楷体_GB2312" w:eastAsia="楷体_GB2312"/>
          <w:b w:val="0"/>
          <w:bCs w:val="0"/>
        </w:rPr>
        <w:t xml:space="preserve">第一节 </w:t>
      </w:r>
      <w:r>
        <w:rPr>
          <w:rFonts w:ascii="楷体_GB2312" w:eastAsia="楷体_GB2312"/>
          <w:b w:val="0"/>
          <w:bCs w:val="0"/>
        </w:rPr>
        <w:t xml:space="preserve"> </w:t>
      </w:r>
      <w:r>
        <w:rPr>
          <w:rFonts w:hint="eastAsia" w:ascii="楷体_GB2312" w:eastAsia="楷体_GB2312"/>
          <w:b w:val="0"/>
          <w:bCs w:val="0"/>
        </w:rPr>
        <w:t>提高农业综合生产能力</w:t>
      </w:r>
    </w:p>
    <w:p>
      <w:pPr>
        <w:spacing w:line="540" w:lineRule="exact"/>
        <w:ind w:firstLine="640"/>
        <w:rPr>
          <w:rFonts w:ascii="仿宋_GB2312"/>
          <w:color w:val="000000"/>
        </w:rPr>
      </w:pPr>
      <w:r>
        <w:rPr>
          <w:rFonts w:hint="eastAsia" w:ascii="仿宋_GB2312"/>
          <w:color w:val="000000"/>
        </w:rPr>
        <w:t>深入实施藏粮于地、藏粮于技战略，严守耕地保护红线，实施高标准农田建设工程，到</w:t>
      </w:r>
      <w:r>
        <w:rPr>
          <w:rFonts w:ascii="仿宋_GB2312"/>
          <w:color w:val="000000"/>
        </w:rPr>
        <w:t>2025</w:t>
      </w:r>
      <w:r>
        <w:rPr>
          <w:rFonts w:hint="eastAsia" w:ascii="仿宋_GB2312"/>
          <w:color w:val="000000"/>
        </w:rPr>
        <w:t>年全县高标准农田面积稳定在</w:t>
      </w:r>
      <w:r>
        <w:rPr>
          <w:rFonts w:ascii="仿宋_GB2312"/>
          <w:color w:val="000000"/>
        </w:rPr>
        <w:t>80</w:t>
      </w:r>
      <w:r>
        <w:rPr>
          <w:rFonts w:hint="eastAsia" w:ascii="仿宋_GB2312"/>
          <w:color w:val="000000"/>
        </w:rPr>
        <w:t>万亩以上，保障粮食综合产能稳定在</w:t>
      </w:r>
      <w:r>
        <w:rPr>
          <w:rFonts w:ascii="仿宋_GB2312"/>
          <w:color w:val="000000"/>
        </w:rPr>
        <w:t>13</w:t>
      </w:r>
      <w:r>
        <w:rPr>
          <w:rFonts w:hint="eastAsia" w:ascii="仿宋_GB2312"/>
          <w:color w:val="000000"/>
        </w:rPr>
        <w:t>亿斤水平。加强永久基本农田保护，严防“非农化”“非粮化”。实施农田水利提升工程，改造农田灌溉设施，发展节水农业，推广高标准低压管道、微喷、滴灌、水肥一体化等高效节水灌溉技术，建设高效节水灌溉农田，</w:t>
      </w:r>
      <w:r>
        <w:rPr>
          <w:rFonts w:hint="eastAsia" w:ascii="仿宋_GB2312" w:hAnsi="仿宋_GB2312"/>
        </w:rPr>
        <w:t>到</w:t>
      </w:r>
      <w:r>
        <w:rPr>
          <w:rFonts w:ascii="仿宋_GB2312" w:hAnsi="仿宋_GB2312"/>
        </w:rPr>
        <w:t>2025</w:t>
      </w:r>
      <w:r>
        <w:rPr>
          <w:rFonts w:hint="eastAsia" w:ascii="仿宋_GB2312" w:hAnsi="仿宋_GB2312"/>
        </w:rPr>
        <w:t>年全县所有基本农田实现节水灌溉。</w:t>
      </w:r>
      <w:r>
        <w:rPr>
          <w:rFonts w:hint="eastAsia" w:ascii="仿宋_GB2312"/>
          <w:color w:val="000000"/>
        </w:rPr>
        <w:t>实施耕地质量提升工程，落实耕地轮作休耕制度，推行深耕深松，推广测土配方施肥、秸秆腐熟还田、增施有机肥、土壤改良等土壤肥力提升措施，推进化肥、农药用量负增长。</w:t>
      </w:r>
    </w:p>
    <w:p>
      <w:pPr>
        <w:spacing w:before="240" w:after="240" w:line="580" w:lineRule="exact"/>
        <w:ind w:firstLine="0" w:firstLineChars="0"/>
        <w:jc w:val="center"/>
        <w:rPr>
          <w:rFonts w:ascii="楷体_GB2312" w:eastAsia="楷体_GB2312"/>
        </w:rPr>
      </w:pPr>
      <w:r>
        <w:rPr>
          <w:rFonts w:hint="eastAsia" w:ascii="楷体_GB2312" w:eastAsia="楷体_GB2312"/>
        </w:rPr>
        <w:t xml:space="preserve">第二节 </w:t>
      </w:r>
      <w:r>
        <w:rPr>
          <w:rFonts w:ascii="楷体_GB2312" w:eastAsia="楷体_GB2312"/>
        </w:rPr>
        <w:t xml:space="preserve"> </w:t>
      </w:r>
      <w:r>
        <w:rPr>
          <w:rFonts w:hint="eastAsia" w:ascii="楷体_GB2312" w:eastAsia="楷体_GB2312"/>
        </w:rPr>
        <w:t>做强农业特色优势产业</w:t>
      </w:r>
    </w:p>
    <w:p>
      <w:pPr>
        <w:spacing w:line="580" w:lineRule="exact"/>
        <w:ind w:firstLine="640"/>
        <w:rPr>
          <w:rFonts w:ascii="仿宋_GB2312"/>
          <w:color w:val="000000"/>
        </w:rPr>
      </w:pPr>
      <w:r>
        <w:rPr>
          <w:rFonts w:hint="eastAsia" w:ascii="仿宋_GB2312"/>
          <w:color w:val="000000"/>
        </w:rPr>
        <w:t>加快农业结构调整，加强新品种、新技术推广，突出林果、蔬菜、畜牧、苗木四大主导产业，打造生态林果、精品粮油、绿色蔬菜、现代高效畜牧、特色水产五大产业，稳定肉蛋奶、畜禽等重要农产品生产，建设京津冀优质果蔬供应基地。</w:t>
      </w:r>
    </w:p>
    <w:p>
      <w:pPr>
        <w:spacing w:line="600" w:lineRule="exact"/>
        <w:ind w:firstLine="643"/>
        <w:rPr>
          <w:rFonts w:ascii="仿宋_GB2312"/>
        </w:rPr>
      </w:pPr>
      <w:r>
        <w:rPr>
          <w:rStyle w:val="26"/>
          <w:rFonts w:hint="eastAsia" w:ascii="仿宋_GB2312" w:hAnsi="仿宋_GB2312" w:eastAsia="仿宋_GB2312"/>
        </w:rPr>
        <w:t>生态林果。</w:t>
      </w:r>
      <w:r>
        <w:rPr>
          <w:rFonts w:hint="eastAsia" w:ascii="仿宋_GB2312"/>
        </w:rPr>
        <w:t>重点发展大樱桃、苹果、梨、桃等支柱型林果产品，发展生态林果高效特色农业产业，打响“冠县鸭梨”“冠县樱桃”等品牌。以乡村振兴发展集团为载体，积极引进国内外先进林果品种，推动老旧果园改造。推进绿色果品生产基地建设和标准化生产基地建设，以兰沃乡、万善乡、东古城镇、范寨镇、辛集镇、梁堂镇、清水镇为主打造绿色果品生产基地，推广优质果品种植。</w:t>
      </w:r>
    </w:p>
    <w:p>
      <w:pPr>
        <w:spacing w:line="600" w:lineRule="exact"/>
        <w:ind w:firstLine="643"/>
      </w:pPr>
      <w:r>
        <w:rPr>
          <w:rStyle w:val="26"/>
          <w:rFonts w:hint="eastAsia" w:ascii="仿宋_GB2312" w:hAnsi="仿宋_GB2312" w:eastAsia="仿宋_GB2312"/>
        </w:rPr>
        <w:t>精品粮油</w:t>
      </w:r>
      <w:r>
        <w:rPr>
          <w:rFonts w:hint="eastAsia" w:ascii="仿宋_GB2312" w:hAnsi="仿宋_GB2312"/>
          <w:b/>
          <w:bCs/>
        </w:rPr>
        <w:t>。</w:t>
      </w:r>
      <w:r>
        <w:rPr>
          <w:rFonts w:hint="eastAsia"/>
        </w:rPr>
        <w:t>打造优质专用油料大豆和油料花生高产创建基地，发展精品粮油高效特色农业产业。大力开展粮食高产创建平台项目，推进粮食绿色高质高效生产，选育推广高产、优质、多抗粮食新品种，以范寨镇、柳林镇、辛集镇、甘官屯镇、北馆陶镇、桑阿镇、梁堂镇为主建设绿色粮食生产基地。依托新瑞实业、鑫恒祥面业、朝阳制粉等龙头企业，大力发展粮油产加销全产业链，推进绿色高质高效种植、精深加工和产业融合发展，示范带动粮食生产转型升级。</w:t>
      </w:r>
    </w:p>
    <w:p>
      <w:pPr>
        <w:spacing w:line="600" w:lineRule="exact"/>
        <w:ind w:firstLine="643"/>
        <w:rPr>
          <w:rFonts w:ascii="仿宋_GB2312"/>
        </w:rPr>
      </w:pPr>
      <w:r>
        <w:rPr>
          <w:rStyle w:val="26"/>
          <w:rFonts w:hint="eastAsia" w:ascii="仿宋_GB2312" w:hAnsi="仿宋_GB2312" w:eastAsia="仿宋_GB2312"/>
        </w:rPr>
        <w:t>绿色蔬菜。</w:t>
      </w:r>
      <w:r>
        <w:rPr>
          <w:rFonts w:hint="eastAsia" w:ascii="仿宋_GB2312" w:hAnsi="仿宋_GB2312"/>
        </w:rPr>
        <w:t>以规模化、特色化为方向，打造茄果类、瓜果类、叶菜类、菌类、大蒜、灵芝等无公害高效设施蔬菜和食用菌生产基地，建设一批规模种植、配套齐全、优势明显的蔬菜特色农业园区，加快建设标准化、无公害生产基地，提升绿色蔬菜高效特色农业产业水平。引导发展现代设施栽培，扶植发展蔬菜集约化育苗企业，改造一批蔬菜集约化育苗中心，打造</w:t>
      </w:r>
      <w:r>
        <w:rPr>
          <w:rFonts w:ascii="仿宋_GB2312" w:hAnsi="仿宋_GB2312"/>
        </w:rPr>
        <w:t>1-2</w:t>
      </w:r>
      <w:r>
        <w:rPr>
          <w:rFonts w:hint="eastAsia" w:ascii="仿宋_GB2312" w:hAnsi="仿宋_GB2312"/>
        </w:rPr>
        <w:t>个种苗育苗强镇。</w:t>
      </w:r>
    </w:p>
    <w:p>
      <w:pPr>
        <w:spacing w:line="600" w:lineRule="exact"/>
        <w:ind w:firstLine="643"/>
      </w:pPr>
      <w:r>
        <w:rPr>
          <w:rStyle w:val="26"/>
          <w:rFonts w:hint="eastAsia" w:ascii="仿宋_GB2312" w:hAnsi="仿宋_GB2312" w:eastAsia="仿宋_GB2312"/>
        </w:rPr>
        <w:t>现代高效畜禽及特色水产。</w:t>
      </w:r>
      <w:r>
        <w:rPr>
          <w:rFonts w:hint="eastAsia"/>
        </w:rPr>
        <w:t>突出区域比较优势，按照“西部、北部家禽，东部、南部、北部生猪，中部肉羊，东部奶牛”四大产区产业布局，加快畜产品生产基地和加工龙头企业向主产区聚集，形成特色鲜明、竞争力强的区域优势主产区。</w:t>
      </w:r>
      <w:r>
        <w:rPr>
          <w:rFonts w:hint="eastAsia" w:ascii="仿宋_GB2312" w:hAnsi="仿宋_GB2312" w:cs="仿宋_GB2312"/>
          <w:szCs w:val="32"/>
        </w:rPr>
        <w:t>以定远寨镇、范寨镇为主建设绿色水产品基地，重点发展工厂化养殖设施、标准化池塘养殖，</w:t>
      </w:r>
      <w:r>
        <w:rPr>
          <w:rFonts w:hint="eastAsia"/>
        </w:rPr>
        <w:t>大力发展名优鱼类。</w:t>
      </w:r>
    </w:p>
    <w:p>
      <w:pPr>
        <w:spacing w:line="600" w:lineRule="exact"/>
        <w:ind w:firstLine="643"/>
      </w:pPr>
      <w:r>
        <w:rPr>
          <w:rStyle w:val="26"/>
          <w:rFonts w:hint="eastAsia" w:ascii="仿宋_GB2312" w:hAnsi="仿宋_GB2312" w:eastAsia="仿宋_GB2312"/>
        </w:rPr>
        <w:t>优质苗木。</w:t>
      </w:r>
      <w:r>
        <w:rPr>
          <w:rFonts w:hint="eastAsia"/>
        </w:rPr>
        <w:t>立足优势特色苗木产业基础，带动发展组培苗、容器苗、造型苗等高档苗木。依托毛白杨林场，加强与北京林业大学科研协作，积极推广良种育苗，建设林木良种生产推广基地，打造全国最大的雄株毛白杨繁育科研基地。</w:t>
      </w:r>
    </w:p>
    <w:p>
      <w:pPr>
        <w:pStyle w:val="3"/>
        <w:spacing w:before="218" w:after="218" w:line="600" w:lineRule="exact"/>
        <w:rPr>
          <w:rFonts w:ascii="楷体_GB2312" w:eastAsia="楷体_GB2312"/>
          <w:b w:val="0"/>
          <w:bCs w:val="0"/>
        </w:rPr>
      </w:pPr>
      <w:r>
        <w:rPr>
          <w:rFonts w:hint="eastAsia" w:ascii="楷体_GB2312" w:eastAsia="楷体_GB2312"/>
          <w:b w:val="0"/>
          <w:bCs w:val="0"/>
        </w:rPr>
        <w:t xml:space="preserve">第三节 </w:t>
      </w:r>
      <w:r>
        <w:rPr>
          <w:rFonts w:ascii="楷体_GB2312" w:eastAsia="楷体_GB2312"/>
          <w:b w:val="0"/>
          <w:bCs w:val="0"/>
        </w:rPr>
        <w:t xml:space="preserve"> </w:t>
      </w:r>
      <w:r>
        <w:rPr>
          <w:rFonts w:hint="eastAsia" w:ascii="楷体_GB2312" w:eastAsia="楷体_GB2312"/>
          <w:b w:val="0"/>
          <w:bCs w:val="0"/>
        </w:rPr>
        <w:t>推动一二三产融合发展</w:t>
      </w:r>
    </w:p>
    <w:p>
      <w:pPr>
        <w:ind w:firstLine="640"/>
        <w:rPr>
          <w:color w:val="C00000"/>
        </w:rPr>
      </w:pPr>
      <w:r>
        <w:rPr>
          <w:rFonts w:hint="eastAsia"/>
        </w:rPr>
        <w:t>整合挖掘鲁西民居、民俗文化、灵芝小镇等各类资源，积极引进社会资本，大力发展精深加工、休闲旅游、文化创意、商贸物流等农业“新六产”产业，打造具有鲁西特色的乡村振兴样板。</w:t>
      </w:r>
      <w:r>
        <w:rPr>
          <w:rFonts w:hint="eastAsia" w:ascii="仿宋_GB2312"/>
          <w:color w:val="000000"/>
        </w:rPr>
        <w:t>大力发展智慧农业、</w:t>
      </w:r>
      <w:r>
        <w:rPr>
          <w:rFonts w:hint="eastAsia"/>
          <w:color w:val="000000"/>
        </w:rPr>
        <w:t>“互联网</w:t>
      </w:r>
      <w:r>
        <w:rPr>
          <w:rFonts w:cs="Calibri"/>
          <w:color w:val="000000"/>
        </w:rPr>
        <w:t>+</w:t>
      </w:r>
      <w:r>
        <w:rPr>
          <w:rFonts w:hint="eastAsia" w:ascii="仿宋_GB2312"/>
          <w:color w:val="000000"/>
        </w:rPr>
        <w:t>农业”、设施农业、订单农业和精准农业。</w:t>
      </w:r>
      <w:r>
        <w:rPr>
          <w:rFonts w:hint="eastAsia"/>
        </w:rPr>
        <w:t>全面提升农业产业化水平，依托温氏集团、新瑞实业、百佳食品、朝阳制粉、鑫恒祥面业等涉农企业，培育壮大加工产业集群。</w:t>
      </w:r>
      <w:r>
        <w:rPr>
          <w:rFonts w:hint="eastAsia" w:ascii="仿宋_GB2312" w:hAnsi="仿宋_GB2312" w:cs="仿宋_GB2312"/>
          <w:color w:val="000000"/>
        </w:rPr>
        <w:t>加快农业重点项目建设，推进省级现代农业产业园、省级田园综合体、温氏集团“双百万”工程、汇源集团果品种植加工、优然牧业奶牛养殖等重点项目建设。积极谋划推动“冠县灵芝”“冠县鸭梨”等农产品深加工项目。依托省级田园综合体、灵芝产业园、金叶生态园、</w:t>
      </w:r>
      <w:r>
        <w:rPr>
          <w:rFonts w:hint="eastAsia"/>
        </w:rPr>
        <w:t>东冠生态园、烟庄玫瑰园</w:t>
      </w:r>
      <w:r>
        <w:rPr>
          <w:rFonts w:hint="eastAsia" w:ascii="仿宋_GB2312" w:hAnsi="仿宋_GB2312" w:cs="仿宋_GB2312"/>
          <w:color w:val="000000"/>
        </w:rPr>
        <w:t>等，积极发展休闲观光农业。</w:t>
      </w:r>
      <w:r>
        <w:rPr>
          <w:rFonts w:hint="eastAsia"/>
        </w:rPr>
        <w:t>加快农产品流通体系建设，建成投用泉润农产品交易中心二期项目，对西环农贸市场等现有市场改造升级。加强农产品仓储保鲜冷链物流设施建设，加快建设泉润农产品冷链物流项目，建立完善以泉润农产品冷链物流为龙头，以乡镇（街道）农贸交易市场为龙身，以田边地头农产品集散地为龙尾，直连农产品生产基地的农产品市场流通体系。</w:t>
      </w:r>
    </w:p>
    <w:p>
      <w:pPr>
        <w:pStyle w:val="3"/>
        <w:spacing w:before="218" w:after="218" w:line="600" w:lineRule="exact"/>
        <w:rPr>
          <w:rFonts w:ascii="楷体_GB2312" w:eastAsia="楷体_GB2312"/>
          <w:b w:val="0"/>
          <w:bCs w:val="0"/>
        </w:rPr>
      </w:pPr>
      <w:r>
        <w:rPr>
          <w:rFonts w:hint="eastAsia" w:ascii="楷体_GB2312" w:eastAsia="楷体_GB2312"/>
          <w:b w:val="0"/>
          <w:bCs w:val="0"/>
        </w:rPr>
        <w:t xml:space="preserve">第四节 </w:t>
      </w:r>
      <w:r>
        <w:rPr>
          <w:rFonts w:ascii="楷体_GB2312" w:eastAsia="楷体_GB2312"/>
          <w:b w:val="0"/>
          <w:bCs w:val="0"/>
        </w:rPr>
        <w:t xml:space="preserve"> </w:t>
      </w:r>
      <w:r>
        <w:rPr>
          <w:rFonts w:hint="eastAsia" w:ascii="楷体_GB2312" w:eastAsia="楷体_GB2312"/>
          <w:b w:val="0"/>
          <w:bCs w:val="0"/>
        </w:rPr>
        <w:t>强化现代农业发展支撑</w:t>
      </w:r>
    </w:p>
    <w:p>
      <w:pPr>
        <w:ind w:firstLine="640"/>
        <w:rPr>
          <w:rFonts w:ascii="仿宋_GB2312"/>
        </w:rPr>
      </w:pPr>
      <w:r>
        <w:rPr>
          <w:rFonts w:hint="eastAsia" w:ascii="仿宋_GB2312"/>
        </w:rPr>
        <w:t>推进农业机械化转型升级，补齐高效植保、粮食烘干等机械化短板，加快农业领域“机器换人”。到</w:t>
      </w:r>
      <w:r>
        <w:rPr>
          <w:rFonts w:ascii="仿宋_GB2312"/>
        </w:rPr>
        <w:t>2025</w:t>
      </w:r>
      <w:r>
        <w:rPr>
          <w:rFonts w:hint="eastAsia" w:ascii="仿宋_GB2312"/>
        </w:rPr>
        <w:t>年，主要农作物耕种收综合机械化率达到</w:t>
      </w:r>
      <w:r>
        <w:rPr>
          <w:rFonts w:ascii="仿宋_GB2312"/>
        </w:rPr>
        <w:t>92.7%</w:t>
      </w:r>
      <w:r>
        <w:rPr>
          <w:rFonts w:hint="eastAsia" w:ascii="仿宋_GB2312"/>
        </w:rPr>
        <w:t>以上。加强载体建设，着力发展聊城市冠县现代农业产业园、冠县店子镇现代农业产业园</w:t>
      </w:r>
      <w:r>
        <w:rPr>
          <w:rFonts w:ascii="仿宋_GB2312"/>
        </w:rPr>
        <w:t>2</w:t>
      </w:r>
      <w:r>
        <w:rPr>
          <w:rFonts w:hint="eastAsia" w:ascii="仿宋_GB2312"/>
        </w:rPr>
        <w:t>个市级现代农业产业园区，创建省级农业产业园</w:t>
      </w:r>
      <w:r>
        <w:rPr>
          <w:rFonts w:ascii="仿宋_GB2312"/>
        </w:rPr>
        <w:t>1</w:t>
      </w:r>
      <w:r>
        <w:rPr>
          <w:rFonts w:hint="eastAsia" w:ascii="仿宋_GB2312"/>
        </w:rPr>
        <w:t>个、省级农业强镇</w:t>
      </w:r>
      <w:r>
        <w:rPr>
          <w:rFonts w:ascii="仿宋_GB2312"/>
        </w:rPr>
        <w:t>3</w:t>
      </w:r>
      <w:r>
        <w:rPr>
          <w:rFonts w:hint="eastAsia" w:ascii="仿宋_GB2312"/>
        </w:rPr>
        <w:t>个、省级乡土产业名品村</w:t>
      </w:r>
      <w:r>
        <w:rPr>
          <w:rFonts w:ascii="仿宋_GB2312"/>
        </w:rPr>
        <w:t>10</w:t>
      </w:r>
      <w:r>
        <w:rPr>
          <w:rFonts w:hint="eastAsia" w:ascii="仿宋_GB2312"/>
        </w:rPr>
        <w:t>个。新增农民合作社</w:t>
      </w:r>
      <w:r>
        <w:rPr>
          <w:rFonts w:ascii="仿宋_GB2312"/>
        </w:rPr>
        <w:t>200</w:t>
      </w:r>
      <w:r>
        <w:rPr>
          <w:rFonts w:hint="eastAsia" w:ascii="仿宋_GB2312"/>
        </w:rPr>
        <w:t>个、家庭农场</w:t>
      </w:r>
      <w:r>
        <w:rPr>
          <w:rFonts w:ascii="仿宋_GB2312"/>
        </w:rPr>
        <w:t>50</w:t>
      </w:r>
      <w:r>
        <w:rPr>
          <w:rFonts w:hint="eastAsia" w:ascii="仿宋_GB2312"/>
        </w:rPr>
        <w:t>家。继续扩大农业生产服务规模，完善服务功能。积极鼓励和引导农村土地向经营大户流转，到</w:t>
      </w:r>
      <w:r>
        <w:rPr>
          <w:rFonts w:ascii="仿宋_GB2312"/>
        </w:rPr>
        <w:t>2025</w:t>
      </w:r>
      <w:r>
        <w:rPr>
          <w:rFonts w:hint="eastAsia" w:ascii="仿宋_GB2312"/>
        </w:rPr>
        <w:t>年，流转面积达到</w:t>
      </w:r>
      <w:r>
        <w:rPr>
          <w:rFonts w:ascii="仿宋_GB2312"/>
        </w:rPr>
        <w:t>60</w:t>
      </w:r>
      <w:r>
        <w:rPr>
          <w:rFonts w:hint="eastAsia" w:ascii="仿宋_GB2312"/>
        </w:rPr>
        <w:t>万亩。深化与乌克兰国家农业科学院、山东农业大学、聊城市农科院合作，形成科研成果，促进成果转化。</w:t>
      </w:r>
      <w:bookmarkEnd w:id="57"/>
      <w:bookmarkStart w:id="58" w:name="_Toc60646224"/>
    </w:p>
    <w:tbl>
      <w:tblPr>
        <w:tblStyle w:val="2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tcPr>
          <w:p>
            <w:pPr>
              <w:pStyle w:val="60"/>
              <w:spacing w:before="218" w:beforeLines="50" w:after="218" w:afterLines="50" w:line="480" w:lineRule="exact"/>
              <w:ind w:firstLine="0" w:firstLineChars="0"/>
              <w:jc w:val="center"/>
              <w:rPr>
                <w:rFonts w:ascii="黑体" w:hAnsi="黑体" w:eastAsia="黑体" w:cs="黑体"/>
                <w:bCs/>
                <w:sz w:val="30"/>
                <w:szCs w:val="30"/>
              </w:rPr>
            </w:pPr>
            <w:r>
              <w:rPr>
                <w:rFonts w:hint="eastAsia" w:ascii="黑体" w:hAnsi="黑体" w:eastAsia="黑体" w:cs="黑体"/>
                <w:bCs/>
                <w:sz w:val="30"/>
                <w:szCs w:val="30"/>
              </w:rPr>
              <w:t>专栏</w:t>
            </w:r>
            <w:r>
              <w:rPr>
                <w:rFonts w:ascii="黑体" w:hAnsi="黑体" w:eastAsia="黑体" w:cs="黑体"/>
                <w:bCs/>
                <w:sz w:val="30"/>
                <w:szCs w:val="30"/>
              </w:rPr>
              <w:t>7</w:t>
            </w:r>
            <w:r>
              <w:rPr>
                <w:rFonts w:hint="eastAsia" w:ascii="黑体" w:hAnsi="黑体" w:eastAsia="黑体" w:cs="黑体"/>
                <w:bCs/>
                <w:sz w:val="30"/>
                <w:szCs w:val="30"/>
              </w:rPr>
              <w:t>：重大现代农业项目</w:t>
            </w:r>
          </w:p>
          <w:p>
            <w:pPr>
              <w:pStyle w:val="60"/>
              <w:spacing w:line="480" w:lineRule="exact"/>
              <w:ind w:firstLine="560"/>
              <w:rPr>
                <w:rFonts w:ascii="仿宋_GB2312" w:hAnsi="仿宋_GB2312" w:eastAsia="仿宋_GB2312" w:cs="仿宋_GB2312"/>
                <w:b/>
                <w:bCs/>
                <w:kern w:val="2"/>
                <w:sz w:val="28"/>
                <w:szCs w:val="28"/>
              </w:rPr>
            </w:pPr>
            <w:r>
              <w:rPr>
                <w:rFonts w:hint="eastAsia" w:ascii="楷体_GB2312" w:hAnsi="黑体" w:eastAsia="楷体_GB2312" w:cs="黑体"/>
                <w:kern w:val="2"/>
                <w:sz w:val="28"/>
                <w:szCs w:val="28"/>
              </w:rPr>
              <w:t>现代高效农业产业项目：</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1</w:t>
            </w:r>
            <w:r>
              <w:rPr>
                <w:rFonts w:hint="eastAsia" w:ascii="仿宋_GB2312" w:hAnsi="仿宋_GB2312" w:eastAsia="仿宋_GB2312" w:cs="仿宋_GB2312"/>
                <w:bCs/>
                <w:kern w:val="2"/>
                <w:sz w:val="28"/>
                <w:szCs w:val="28"/>
              </w:rPr>
              <w:t>）冠县林果特色产业集群。（</w:t>
            </w:r>
            <w:r>
              <w:rPr>
                <w:rFonts w:ascii="仿宋_GB2312" w:hAnsi="仿宋_GB2312" w:eastAsia="仿宋_GB2312" w:cs="仿宋_GB2312"/>
                <w:bCs/>
                <w:kern w:val="2"/>
                <w:sz w:val="28"/>
                <w:szCs w:val="28"/>
              </w:rPr>
              <w:t>2</w:t>
            </w:r>
            <w:r>
              <w:rPr>
                <w:rFonts w:hint="eastAsia" w:ascii="仿宋_GB2312" w:hAnsi="仿宋_GB2312" w:eastAsia="仿宋_GB2312" w:cs="仿宋_GB2312"/>
                <w:bCs/>
                <w:kern w:val="2"/>
                <w:sz w:val="28"/>
                <w:szCs w:val="28"/>
              </w:rPr>
              <w:t>）冠县灵芝特色产业集群。（</w:t>
            </w:r>
            <w:r>
              <w:rPr>
                <w:rFonts w:ascii="仿宋_GB2312" w:hAnsi="仿宋_GB2312" w:eastAsia="仿宋_GB2312" w:cs="仿宋_GB2312"/>
                <w:bCs/>
                <w:kern w:val="2"/>
                <w:sz w:val="28"/>
                <w:szCs w:val="28"/>
              </w:rPr>
              <w:t>3</w:t>
            </w:r>
            <w:r>
              <w:rPr>
                <w:rFonts w:hint="eastAsia" w:ascii="仿宋_GB2312" w:hAnsi="仿宋_GB2312" w:eastAsia="仿宋_GB2312" w:cs="仿宋_GB2312"/>
                <w:bCs/>
                <w:kern w:val="2"/>
                <w:sz w:val="28"/>
                <w:szCs w:val="28"/>
              </w:rPr>
              <w:t>）</w:t>
            </w:r>
            <w:r>
              <w:rPr>
                <w:rFonts w:hint="eastAsia" w:ascii="仿宋_GB2312" w:hAnsi="仿宋_GB2312" w:eastAsia="仿宋_GB2312" w:cs="仿宋_GB2312"/>
                <w:kern w:val="2"/>
                <w:sz w:val="28"/>
                <w:szCs w:val="28"/>
              </w:rPr>
              <w:t>优然牧业奶牛现代规模化养殖场项目。（</w:t>
            </w:r>
            <w:r>
              <w:rPr>
                <w:rFonts w:ascii="仿宋_GB2312" w:hAnsi="仿宋_GB2312" w:eastAsia="仿宋_GB2312" w:cs="仿宋_GB2312"/>
                <w:kern w:val="2"/>
                <w:sz w:val="28"/>
                <w:szCs w:val="28"/>
              </w:rPr>
              <w:t>4</w:t>
            </w:r>
            <w:r>
              <w:rPr>
                <w:rFonts w:hint="eastAsia" w:ascii="仿宋_GB2312" w:hAnsi="仿宋_GB2312" w:eastAsia="仿宋_GB2312" w:cs="仿宋_GB2312"/>
                <w:kern w:val="2"/>
                <w:sz w:val="28"/>
                <w:szCs w:val="28"/>
              </w:rPr>
              <w:t>）冠县温氏集团“双百万”工程项目。（</w:t>
            </w:r>
            <w:r>
              <w:rPr>
                <w:rFonts w:ascii="仿宋_GB2312" w:hAnsi="仿宋_GB2312" w:eastAsia="仿宋_GB2312" w:cs="仿宋_GB2312"/>
                <w:kern w:val="2"/>
                <w:sz w:val="28"/>
                <w:szCs w:val="28"/>
              </w:rPr>
              <w:t>5</w:t>
            </w:r>
            <w:r>
              <w:rPr>
                <w:rFonts w:hint="eastAsia" w:ascii="仿宋_GB2312" w:hAnsi="仿宋_GB2312" w:eastAsia="仿宋_GB2312" w:cs="仿宋_GB2312"/>
                <w:kern w:val="2"/>
                <w:sz w:val="28"/>
                <w:szCs w:val="28"/>
              </w:rPr>
              <w:t>）山东</w:t>
            </w:r>
            <w:r>
              <w:rPr>
                <w:rFonts w:hint="eastAsia" w:ascii="微软雅黑" w:hAnsi="微软雅黑" w:eastAsia="微软雅黑" w:cs="微软雅黑"/>
                <w:kern w:val="2"/>
                <w:sz w:val="28"/>
                <w:szCs w:val="28"/>
              </w:rPr>
              <w:t>赟</w:t>
            </w:r>
            <w:r>
              <w:rPr>
                <w:rFonts w:hint="eastAsia" w:ascii="仿宋_GB2312" w:hAnsi="仿宋_GB2312" w:eastAsia="仿宋_GB2312" w:cs="仿宋_GB2312"/>
                <w:kern w:val="2"/>
                <w:sz w:val="28"/>
                <w:szCs w:val="28"/>
              </w:rPr>
              <w:t>牧农业科技有限公司高标准家禽养殖项目。（6）</w:t>
            </w:r>
            <w:r>
              <w:rPr>
                <w:rFonts w:hint="eastAsia" w:ascii="仿宋_GB2312" w:hAnsi="仿宋_GB2312" w:eastAsia="仿宋_GB2312" w:cs="仿宋_GB2312"/>
                <w:bCs/>
                <w:sz w:val="28"/>
                <w:szCs w:val="28"/>
                <w:lang w:bidi="ar"/>
              </w:rPr>
              <w:t>聊城垚泰生物科技有限公司生物兽药、功能性微生物制剂生产和魔芋种植项目</w:t>
            </w:r>
          </w:p>
          <w:p>
            <w:pPr>
              <w:pStyle w:val="60"/>
              <w:spacing w:line="480" w:lineRule="exact"/>
              <w:ind w:firstLine="560"/>
              <w:rPr>
                <w:rFonts w:ascii="仿宋_GB2312" w:hAnsi="仿宋_GB2312" w:eastAsia="仿宋_GB2312" w:cs="仿宋_GB2312"/>
                <w:b/>
                <w:bCs/>
                <w:kern w:val="2"/>
                <w:sz w:val="28"/>
                <w:szCs w:val="28"/>
              </w:rPr>
            </w:pPr>
            <w:r>
              <w:rPr>
                <w:rFonts w:hint="eastAsia" w:ascii="楷体_GB2312" w:hAnsi="黑体" w:eastAsia="楷体_GB2312" w:cs="黑体"/>
                <w:kern w:val="2"/>
                <w:sz w:val="28"/>
                <w:szCs w:val="28"/>
              </w:rPr>
              <w:t>乡村产业平台构筑工程：</w:t>
            </w:r>
            <w:r>
              <w:rPr>
                <w:rFonts w:hint="eastAsia" w:ascii="仿宋_GB2312" w:hAnsi="仿宋_GB2312" w:eastAsia="仿宋_GB2312" w:cs="仿宋_GB2312"/>
                <w:kern w:val="2"/>
                <w:sz w:val="28"/>
                <w:szCs w:val="28"/>
              </w:rPr>
              <w:t>冠县省级现代农业产业园创建项目。</w:t>
            </w:r>
          </w:p>
          <w:p>
            <w:pPr>
              <w:pStyle w:val="60"/>
              <w:spacing w:line="480" w:lineRule="exact"/>
              <w:ind w:firstLine="560"/>
              <w:rPr>
                <w:rFonts w:ascii="仿宋_GB2312" w:hAnsi="仿宋_GB2312" w:eastAsia="仿宋_GB2312" w:cs="仿宋_GB2312"/>
                <w:b/>
                <w:bCs/>
                <w:kern w:val="2"/>
                <w:sz w:val="28"/>
                <w:szCs w:val="28"/>
              </w:rPr>
            </w:pPr>
            <w:r>
              <w:rPr>
                <w:rFonts w:hint="eastAsia" w:ascii="楷体_GB2312" w:hAnsi="黑体" w:eastAsia="楷体_GB2312" w:cs="黑体"/>
                <w:kern w:val="2"/>
                <w:sz w:val="28"/>
                <w:szCs w:val="28"/>
              </w:rPr>
              <w:t>农产品加工提升工程：</w:t>
            </w:r>
            <w:r>
              <w:rPr>
                <w:rFonts w:hint="eastAsia" w:ascii="仿宋_GB2312" w:hAnsi="仿宋_GB2312" w:eastAsia="仿宋_GB2312" w:cs="仿宋_GB2312"/>
                <w:kern w:val="2"/>
                <w:sz w:val="28"/>
                <w:szCs w:val="28"/>
              </w:rPr>
              <w:t>冠县汇源水果种植、果汁加工、饮料生产一体化项目。</w:t>
            </w:r>
          </w:p>
          <w:p>
            <w:pPr>
              <w:pStyle w:val="60"/>
              <w:spacing w:line="480" w:lineRule="exact"/>
              <w:ind w:firstLine="560"/>
              <w:rPr>
                <w:rFonts w:ascii="仿宋_GB2312" w:hAnsi="仿宋_GB2312" w:eastAsia="仿宋_GB2312" w:cs="仿宋_GB2312"/>
                <w:color w:val="C00000"/>
                <w:kern w:val="2"/>
                <w:szCs w:val="22"/>
              </w:rPr>
            </w:pPr>
            <w:r>
              <w:rPr>
                <w:rFonts w:hint="eastAsia" w:ascii="楷体_GB2312" w:hAnsi="黑体" w:eastAsia="楷体_GB2312" w:cs="黑体"/>
                <w:kern w:val="2"/>
                <w:sz w:val="28"/>
                <w:szCs w:val="28"/>
              </w:rPr>
              <w:t>乡村产业融合示范工程：</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1</w:t>
            </w:r>
            <w:r>
              <w:rPr>
                <w:rFonts w:hint="eastAsia" w:ascii="仿宋_GB2312" w:hAnsi="仿宋_GB2312" w:eastAsia="仿宋_GB2312" w:cs="仿宋_GB2312"/>
                <w:bCs/>
                <w:kern w:val="2"/>
                <w:sz w:val="28"/>
                <w:szCs w:val="28"/>
              </w:rPr>
              <w:t>）</w:t>
            </w:r>
            <w:r>
              <w:rPr>
                <w:rFonts w:hint="eastAsia" w:ascii="仿宋_GB2312" w:hAnsi="仿宋_GB2312" w:eastAsia="仿宋_GB2312" w:cs="仿宋_GB2312"/>
                <w:kern w:val="2"/>
                <w:sz w:val="28"/>
                <w:szCs w:val="28"/>
              </w:rPr>
              <w:t>泉润置业有限公司冠县农产品交易中心建设项目。（</w:t>
            </w:r>
            <w:r>
              <w:rPr>
                <w:rFonts w:ascii="仿宋_GB2312" w:hAnsi="仿宋_GB2312" w:eastAsia="仿宋_GB2312" w:cs="仿宋_GB2312"/>
                <w:kern w:val="2"/>
                <w:sz w:val="28"/>
                <w:szCs w:val="28"/>
              </w:rPr>
              <w:t>2</w:t>
            </w:r>
            <w:r>
              <w:rPr>
                <w:rFonts w:hint="eastAsia" w:ascii="仿宋_GB2312" w:hAnsi="仿宋_GB2312" w:eastAsia="仿宋_GB2312" w:cs="仿宋_GB2312"/>
                <w:kern w:val="2"/>
                <w:sz w:val="28"/>
                <w:szCs w:val="28"/>
              </w:rPr>
              <w:t>）冠县高标准良田建设项目。（</w:t>
            </w:r>
            <w:r>
              <w:rPr>
                <w:rFonts w:ascii="仿宋_GB2312" w:hAnsi="仿宋_GB2312" w:eastAsia="仿宋_GB2312" w:cs="仿宋_GB2312"/>
                <w:kern w:val="2"/>
                <w:sz w:val="28"/>
                <w:szCs w:val="28"/>
              </w:rPr>
              <w:t>3</w:t>
            </w:r>
            <w:r>
              <w:rPr>
                <w:rFonts w:hint="eastAsia" w:ascii="仿宋_GB2312" w:hAnsi="仿宋_GB2312" w:eastAsia="仿宋_GB2312" w:cs="仿宋_GB2312"/>
                <w:kern w:val="2"/>
                <w:sz w:val="28"/>
                <w:szCs w:val="28"/>
              </w:rPr>
              <w:t>）山东润涛生态农业发展有限公司农业产业园建设项目。（</w:t>
            </w:r>
            <w:r>
              <w:rPr>
                <w:rFonts w:ascii="仿宋_GB2312" w:hAnsi="仿宋_GB2312" w:eastAsia="仿宋_GB2312" w:cs="仿宋_GB2312"/>
                <w:kern w:val="2"/>
                <w:sz w:val="28"/>
                <w:szCs w:val="28"/>
              </w:rPr>
              <w:t>4</w:t>
            </w:r>
            <w:r>
              <w:rPr>
                <w:rFonts w:hint="eastAsia" w:ascii="仿宋_GB2312" w:hAnsi="仿宋_GB2312" w:eastAsia="仿宋_GB2312" w:cs="仿宋_GB2312"/>
                <w:kern w:val="2"/>
                <w:sz w:val="28"/>
                <w:szCs w:val="28"/>
              </w:rPr>
              <w:t>）山东冠优农谷田园综合体项目。</w:t>
            </w:r>
          </w:p>
        </w:tc>
      </w:tr>
    </w:tbl>
    <w:p>
      <w:pPr>
        <w:pStyle w:val="3"/>
        <w:spacing w:before="437" w:beforeLines="100" w:after="437" w:afterLines="100" w:line="580" w:lineRule="exact"/>
        <w:rPr>
          <w:rFonts w:ascii="黑体" w:hAnsi="黑体" w:eastAsia="黑体"/>
          <w:b w:val="0"/>
          <w:bCs w:val="0"/>
          <w:shd w:val="clear" w:color="auto" w:fill="FFFFFF"/>
        </w:rPr>
      </w:pPr>
      <w:r>
        <w:rPr>
          <w:rFonts w:hint="eastAsia" w:ascii="黑体" w:hAnsi="黑体" w:eastAsia="黑体"/>
          <w:b w:val="0"/>
          <w:bCs w:val="0"/>
          <w:shd w:val="clear" w:color="auto" w:fill="FFFFFF"/>
        </w:rPr>
        <w:t xml:space="preserve">第二十三章 </w:t>
      </w:r>
      <w:r>
        <w:rPr>
          <w:rFonts w:ascii="黑体" w:hAnsi="黑体" w:eastAsia="黑体"/>
          <w:b w:val="0"/>
          <w:bCs w:val="0"/>
          <w:shd w:val="clear" w:color="auto" w:fill="FFFFFF"/>
        </w:rPr>
        <w:t xml:space="preserve"> </w:t>
      </w:r>
      <w:r>
        <w:rPr>
          <w:rFonts w:hint="eastAsia" w:ascii="黑体" w:hAnsi="黑体" w:eastAsia="黑体"/>
          <w:b w:val="0"/>
          <w:bCs w:val="0"/>
          <w:shd w:val="clear" w:color="auto" w:fill="FFFFFF"/>
        </w:rPr>
        <w:t>实施乡村建设行动</w:t>
      </w:r>
      <w:bookmarkEnd w:id="58"/>
      <w:bookmarkStart w:id="59" w:name="_Toc60646225"/>
    </w:p>
    <w:p>
      <w:pPr>
        <w:spacing w:line="580" w:lineRule="exact"/>
        <w:ind w:firstLine="640"/>
        <w:rPr>
          <w:rFonts w:ascii="仿宋_GB2312"/>
        </w:rPr>
      </w:pPr>
      <w:r>
        <w:rPr>
          <w:rFonts w:hint="eastAsia" w:ascii="楷体_GB2312" w:eastAsia="楷体_GB2312"/>
        </w:rPr>
        <w:t>推进美丽宜居乡村</w:t>
      </w:r>
      <w:bookmarkEnd w:id="59"/>
      <w:r>
        <w:rPr>
          <w:rFonts w:hint="eastAsia" w:ascii="楷体_GB2312" w:eastAsia="楷体_GB2312"/>
        </w:rPr>
        <w:t>建设。</w:t>
      </w:r>
      <w:r>
        <w:rPr>
          <w:rFonts w:hint="eastAsia" w:ascii="仿宋_GB2312" w:hAnsi="仿宋_GB2312"/>
        </w:rPr>
        <w:t>坚持从实际出发，充分尊重农民意愿，综合考虑土地利用、生态保护、居住规模、服务功能、产业形态和历史文化传承等因素，充分发挥各村庄优势资源，统筹推进示范引领型、特色发展型、改造提升型和搬迁撤并型村庄规划建设。科学布局乡村生产生活生态空间，适应村庄发展演变规律，细化完善村庄分类，“一村一策”科学确定村庄发展方向，加强详细规划和建筑设计，立足实际稳步有序推进美丽宜居乡村建设，注重保护传统村落和乡村风貌，注重保留乡土味道，坚持推进生活、生产、生态“三生共融”，生态宜居农村新型社区、现代农业产业园区、水乡田园旅游景区“三区联建”，生产美产业强、生态美环境优、生活美家园好“三美同创”，把乡镇建设成为服务农民的区域中心，把村庄建设成为特色生态宜居美丽乡村。</w:t>
      </w:r>
    </w:p>
    <w:p>
      <w:pPr>
        <w:spacing w:line="620" w:lineRule="exact"/>
        <w:ind w:firstLine="640"/>
        <w:rPr>
          <w:rFonts w:ascii="仿宋_GB2312" w:hAnsi="仿宋_GB2312"/>
          <w:szCs w:val="32"/>
        </w:rPr>
      </w:pPr>
      <w:r>
        <w:rPr>
          <w:rFonts w:hint="eastAsia" w:ascii="楷体_GB2312" w:eastAsia="楷体_GB2312"/>
        </w:rPr>
        <w:t>推进乡村基础设施建设。</w:t>
      </w:r>
      <w:r>
        <w:rPr>
          <w:rFonts w:hint="eastAsia" w:ascii="仿宋_GB2312"/>
        </w:rPr>
        <w:t>加快农村公路改造提升，深入实施“四好农村路”建设工程，实施路网提档升级，自然村通达、农村道路路面改善等工程，开展日常路面养护，实现农村公路列养全覆盖，到</w:t>
      </w:r>
      <w:r>
        <w:rPr>
          <w:rFonts w:ascii="仿宋_GB2312"/>
        </w:rPr>
        <w:t>2025</w:t>
      </w:r>
      <w:r>
        <w:rPr>
          <w:rFonts w:hint="eastAsia" w:ascii="仿宋_GB2312"/>
        </w:rPr>
        <w:t>年，全县农村公路总里程达到</w:t>
      </w:r>
      <w:r>
        <w:rPr>
          <w:rFonts w:ascii="仿宋_GB2312"/>
        </w:rPr>
        <w:t>2500</w:t>
      </w:r>
      <w:r>
        <w:rPr>
          <w:rFonts w:hint="eastAsia" w:ascii="仿宋_GB2312"/>
        </w:rPr>
        <w:t>公里，全县乡村通硬化路率达到</w:t>
      </w:r>
      <w:r>
        <w:rPr>
          <w:rFonts w:ascii="仿宋_GB2312"/>
        </w:rPr>
        <w:t>100%</w:t>
      </w:r>
      <w:r>
        <w:rPr>
          <w:rFonts w:hint="eastAsia" w:ascii="仿宋_GB2312"/>
        </w:rPr>
        <w:t>。依托邮政、商贸、供销等物流设施，加快农村物流网络节点建设，构建城乡互动、县乡村互联、畅通高效的物流网络体系。加快实施农村饮水安全巩固提升工程，实现城乡供水同网、同源、同质。持续推进农村电网改造升级，推动城镇集中供气、供热设施向农村延伸。实施“信息进村入户”工程，实现农村地区</w:t>
      </w:r>
      <w:r>
        <w:rPr>
          <w:rFonts w:ascii="仿宋_GB2312"/>
        </w:rPr>
        <w:t>5G</w:t>
      </w:r>
      <w:r>
        <w:rPr>
          <w:rFonts w:hint="eastAsia" w:ascii="仿宋_GB2312"/>
        </w:rPr>
        <w:t>网络基本覆盖。</w:t>
      </w:r>
    </w:p>
    <w:p>
      <w:pPr>
        <w:spacing w:line="620" w:lineRule="exact"/>
        <w:ind w:firstLine="640"/>
        <w:rPr>
          <w:rFonts w:ascii="仿宋_GB2312"/>
        </w:rPr>
      </w:pPr>
      <w:r>
        <w:rPr>
          <w:rFonts w:hint="eastAsia" w:ascii="楷体_GB2312" w:hAnsi="仿宋_GB2312" w:eastAsia="楷体_GB2312"/>
        </w:rPr>
        <w:t>推进人居环境持续改善。</w:t>
      </w:r>
      <w:r>
        <w:rPr>
          <w:rFonts w:hint="eastAsia" w:ascii="仿宋_GB2312" w:hAnsi="仿宋_GB2312"/>
        </w:rPr>
        <w:t>在完成农村人居环境整治三年行动计划的基础上，开展农村人居环境整治五年提升行动，全面推进农村清洁取暖、厕所革命、垃圾处理、污水治理、绿化美化五大攻坚行动。推广地热能、太阳能、生物质能等可再生资源取暖。健全农村改厕后续管护长效机制，建立推广“四中心五试点”粪液无害化处理、资源化利用新模式；开展农村生活垃圾分类处理试点示范，推进农村生活垃圾分类减量，全面提升农村生活垃圾治理水平；实施农村生活污水治理提升行动，重点整治农村生活污水乱排、坑塘黑臭水体、企业乱排乱放污染水体问题，把农村生活污水治理工作纳入网格化管理，推动城镇污水管网向农村延伸；持续开展村庄清洁行动，开展美丽庭院创建活动，加快推进乡村绿化美化，全面提升农村村容村貌。推行农村人居环境整治责任制，构建农村人居环境整治长效管护机制。</w:t>
      </w:r>
    </w:p>
    <w:p>
      <w:pPr>
        <w:spacing w:line="580" w:lineRule="exact"/>
        <w:ind w:firstLine="640"/>
      </w:pPr>
      <w:r>
        <w:rPr>
          <w:rFonts w:hint="eastAsia" w:ascii="楷体_GB2312" w:eastAsia="楷体_GB2312"/>
        </w:rPr>
        <w:t>提升乡村公共服务水平。</w:t>
      </w:r>
      <w:r>
        <w:rPr>
          <w:rFonts w:hint="eastAsia"/>
        </w:rPr>
        <w:t>统筹县、乡、村三级公共服务供给，提升城乡服务均等化水平。推动城镇生活性服务网向农村延伸，鼓励商贸流通龙头企业积极布局乡镇连锁超市，实现全县所有乡镇全覆盖，改造农村传统小商业、小门店、小集市，引导益农信息社加入，构建差异化、特色化、便利化商贸服务体系。推动“互联网</w:t>
      </w:r>
      <w:r>
        <w:t>+</w:t>
      </w:r>
      <w:r>
        <w:rPr>
          <w:rFonts w:hint="eastAsia"/>
        </w:rPr>
        <w:t>”社区向农村延伸，提高村级综合服务信息化水平，逐步实现村级事务网上运行。完善城乡教育资源均衡配置机制，推动教师资源向乡村倾斜，合理布局乡村小规模学校。改善乡村学前教育办园条件和质量，提高普惠性学前教育资源覆盖率，提升乡村幼儿园办园水平。推进健康村镇建设，健全乡村医疗卫生服务体系，加强乡村医疗机构和医务人员队伍建设，逐步建立完善乡村医生退出机制。实施养老服务进村工程，鼓励多种方式建设幸福院、日间照料中心等农村互助养老服务设施。推进乡村公共文化服务体系建设，强化优质文化产品和服务供给。实施生活习俗文明健康行动，倡导现代生活方式，倡树文明乡风、良好家风、淳朴民风。</w:t>
      </w:r>
      <w:bookmarkStart w:id="60" w:name="_Toc60646228"/>
    </w:p>
    <w:p>
      <w:pPr>
        <w:spacing w:before="437" w:beforeLines="100" w:after="437" w:afterLines="100" w:line="580" w:lineRule="exact"/>
        <w:ind w:firstLine="0" w:firstLineChars="0"/>
        <w:jc w:val="center"/>
        <w:rPr>
          <w:rFonts w:ascii="黑体" w:hAnsi="黑体" w:eastAsia="黑体"/>
          <w:bCs/>
          <w:shd w:val="clear" w:color="auto" w:fill="FFFFFF"/>
        </w:rPr>
      </w:pPr>
      <w:r>
        <w:rPr>
          <w:rFonts w:hint="eastAsia" w:ascii="黑体" w:hAnsi="黑体" w:eastAsia="黑体"/>
          <w:bCs/>
          <w:shd w:val="clear" w:color="auto" w:fill="FFFFFF"/>
        </w:rPr>
        <w:t xml:space="preserve">第二十四章 </w:t>
      </w:r>
      <w:r>
        <w:rPr>
          <w:rFonts w:ascii="黑体" w:hAnsi="黑体" w:eastAsia="黑体"/>
          <w:bCs/>
          <w:shd w:val="clear" w:color="auto" w:fill="FFFFFF"/>
        </w:rPr>
        <w:t xml:space="preserve"> </w:t>
      </w:r>
      <w:r>
        <w:rPr>
          <w:rFonts w:hint="eastAsia" w:ascii="黑体" w:hAnsi="黑体" w:eastAsia="黑体"/>
          <w:bCs/>
          <w:shd w:val="clear" w:color="auto" w:fill="FFFFFF"/>
        </w:rPr>
        <w:t>构建新型城乡关系</w:t>
      </w:r>
      <w:bookmarkEnd w:id="60"/>
      <w:bookmarkStart w:id="61" w:name="_Toc60646229"/>
    </w:p>
    <w:p>
      <w:pPr>
        <w:spacing w:line="600" w:lineRule="exact"/>
        <w:ind w:firstLine="640"/>
        <w:rPr>
          <w:rFonts w:ascii="仿宋_GB2312"/>
        </w:rPr>
      </w:pPr>
      <w:r>
        <w:rPr>
          <w:rFonts w:hint="eastAsia" w:ascii="楷体_GB2312" w:hAnsi="仿宋_GB2312" w:eastAsia="楷体_GB2312"/>
        </w:rPr>
        <w:t>深化农业农村改革。</w:t>
      </w:r>
      <w:r>
        <w:rPr>
          <w:rFonts w:hint="eastAsia" w:ascii="仿宋_GB2312" w:hAnsi="仿宋_GB2312"/>
        </w:rPr>
        <w:t>巩固完善农村基本经营制度，落实第二轮土地承包到期后再延长三十年政策。加快推进农村集体产权制度改革试点，明确农村集体资产所有权，加强集体资产监督管理，推进经营性资产股份合作制改革，切实维护集体经济组织成员权益，建立健全农村集体经济组织。积极探索实施农村集体经营性建设用地入市制度，建立公平合理的增值收益分配机制。稳步推进农村宅基地制度改革，探索宅基地所有权、资格权、使用权分置实现形式。加快推进农村宅基地使用权确权登记颁证，探索赋予宅基地使用权作为用益物权更加充分的权能。严格落实“一户一宅”规定，加强宅基地管理。保障进城落户农民土地承包权、宅基地使用权、集体收益分配权，鼓励依法自愿有偿转让，探索自愿有偿退出机制。大力实施村级集体经济“增收固本工程”，健全完善农村“三资”管理制度，推广“互联网</w:t>
      </w:r>
      <w:r>
        <w:rPr>
          <w:rFonts w:ascii="仿宋_GB2312" w:hAnsi="仿宋_GB2312"/>
        </w:rPr>
        <w:t>+</w:t>
      </w:r>
      <w:r>
        <w:rPr>
          <w:rFonts w:hint="eastAsia" w:ascii="仿宋_GB2312" w:hAnsi="仿宋_GB2312"/>
        </w:rPr>
        <w:t>农村三资管理”典型经验。健全乡村社会治理工作体系，扎实推动平安乡村建设，推行自治、法治、德治结合的乡村治理机制。</w:t>
      </w:r>
    </w:p>
    <w:p>
      <w:pPr>
        <w:spacing w:line="620" w:lineRule="exact"/>
        <w:ind w:firstLine="640"/>
        <w:rPr>
          <w:rFonts w:ascii="仿宋_GB2312"/>
        </w:rPr>
      </w:pPr>
      <w:r>
        <w:rPr>
          <w:rFonts w:hint="eastAsia" w:ascii="楷体_GB2312" w:eastAsia="楷体_GB2312"/>
        </w:rPr>
        <w:t>加强农村发展要素保障。</w:t>
      </w:r>
      <w:r>
        <w:rPr>
          <w:rFonts w:hint="eastAsia" w:ascii="仿宋_GB2312" w:hAnsi="仿宋_GB2312"/>
        </w:rPr>
        <w:t>建立健全财政投入持续增长机制。发挥财政资金的引导和杠杆作用，通过政府与社会资本合作、政府购买服务、担保贴息、以奖代补、民办公助、风险补偿等措施，引导和撬动更多金融资本和社会资本投向农业农村。创新金融税收服务，健全完善金融机构金融支农工作机制，大力开展“鲁担惠农贷”业务。积极推广农地抵押贷款，推动农村集体资产股权质押贷款增量扩面。探索开展与农村土地、生产生活要素相关的新型权益类抵质押信贷产品。大力发展农业保险，推进扩面、赠品、提标，推动农业保险向保完全成本、保价格、保收入转变，鼓励保险机构开展涉农商业保险，形成“政策性保险引导、商业性保险补充”的农业保险格局。落实土地保障政策，统筹新增建设用地指标和挖潜指标，城乡建设用地增减挂钩节余指标所得收益用于巩固脱贫攻坚成果和支持乡村振兴。稳步提高土地出让收入用于农业农村的比例，到</w:t>
      </w:r>
      <w:r>
        <w:rPr>
          <w:rFonts w:ascii="仿宋_GB2312" w:hAnsi="仿宋_GB2312"/>
        </w:rPr>
        <w:t>2025</w:t>
      </w:r>
      <w:r>
        <w:rPr>
          <w:rFonts w:hint="eastAsia" w:ascii="仿宋_GB2312" w:hAnsi="仿宋_GB2312"/>
        </w:rPr>
        <w:t>年，土地出让收益用于农业农村的比例要达到</w:t>
      </w:r>
      <w:r>
        <w:rPr>
          <w:rFonts w:ascii="仿宋_GB2312" w:hAnsi="仿宋_GB2312"/>
        </w:rPr>
        <w:t>5</w:t>
      </w:r>
      <w:r>
        <w:rPr>
          <w:rFonts w:ascii="仿宋_GB2312"/>
        </w:rPr>
        <w:t>0</w:t>
      </w:r>
      <w:r>
        <w:rPr>
          <w:rFonts w:ascii="仿宋_GB2312" w:hAnsi="仿宋_GB2312"/>
        </w:rPr>
        <w:t>%</w:t>
      </w:r>
      <w:r>
        <w:rPr>
          <w:rFonts w:hint="eastAsia" w:ascii="仿宋_GB2312" w:hAnsi="仿宋_GB2312"/>
        </w:rPr>
        <w:t>以上。</w:t>
      </w:r>
    </w:p>
    <w:p>
      <w:pPr>
        <w:spacing w:line="620" w:lineRule="exact"/>
        <w:ind w:firstLine="640"/>
        <w:rPr>
          <w:rFonts w:ascii="仿宋_GB2312"/>
        </w:rPr>
      </w:pPr>
      <w:r>
        <w:rPr>
          <w:rFonts w:hint="eastAsia" w:ascii="楷体_GB2312" w:hAnsi="仿宋_GB2312" w:eastAsia="楷体_GB2312"/>
        </w:rPr>
        <w:t>千方百计增加农民收入。</w:t>
      </w:r>
      <w:r>
        <w:rPr>
          <w:rFonts w:hint="eastAsia" w:ascii="仿宋_GB2312" w:hAnsi="仿宋_GB2312"/>
        </w:rPr>
        <w:t>实施高素质农民培育工程，培育造就一批爱农业、懂技术、善经营、会管理的高素质农民队伍。实施“头雁工程”，选拔一批有情怀、有能力、有文化、有口碑的优秀党员担任村党组织书记。实施“归雁工程”，吸引一批回乡创业置业的能工巧匠。实施“雏雁工程”，发展一批服务乡村振兴的优秀青年人才。加强培育农民合作社、家庭农场等新型农业经营主体，健全农业社会化服务体系，通过订单农业、入股分红、托管服务等方式，发展农业适度规模经营，实现小农户和现代农业有机衔接。振兴乡村传统工艺，挖掘乡村特色产业，培育家庭工坊、手工作坊等，大力发展农村电商，促进产销精准对接，促进乡村经济多元化。加强城乡劳务对接，开展新生代农民工、巾帼家政人才培训，支持农民就地就近转移就业，增加农民工资性收入。发挥特色优势产业集群的辐射带动作用，因地制宜发展乡村富民产业，多措并举增加农民经营性收入、财产性收入和转移性收入，确保农村居民可支配收入增速高于城镇居民。</w:t>
      </w:r>
      <w:bookmarkEnd w:id="61"/>
      <w:bookmarkStart w:id="62" w:name="_Toc60646231"/>
    </w:p>
    <w:p>
      <w:pPr>
        <w:pStyle w:val="3"/>
        <w:spacing w:before="437" w:beforeLines="100" w:after="437" w:afterLines="100" w:line="580" w:lineRule="exact"/>
        <w:rPr>
          <w:rFonts w:ascii="黑体" w:hAnsi="黑体" w:eastAsia="黑体"/>
          <w:b w:val="0"/>
          <w:bCs w:val="0"/>
          <w:shd w:val="clear" w:color="auto" w:fill="FFFFFF"/>
        </w:rPr>
      </w:pPr>
      <w:r>
        <w:rPr>
          <w:rFonts w:hint="eastAsia" w:ascii="黑体" w:hAnsi="黑体" w:eastAsia="黑体"/>
          <w:b w:val="0"/>
          <w:bCs w:val="0"/>
          <w:shd w:val="clear" w:color="auto" w:fill="FFFFFF"/>
        </w:rPr>
        <w:t xml:space="preserve">第二十五章 </w:t>
      </w:r>
      <w:r>
        <w:rPr>
          <w:rFonts w:ascii="黑体" w:hAnsi="黑体" w:eastAsia="黑体"/>
          <w:b w:val="0"/>
          <w:bCs w:val="0"/>
          <w:shd w:val="clear" w:color="auto" w:fill="FFFFFF"/>
        </w:rPr>
        <w:t xml:space="preserve"> </w:t>
      </w:r>
      <w:r>
        <w:rPr>
          <w:rFonts w:hint="eastAsia" w:ascii="黑体" w:hAnsi="黑体" w:eastAsia="黑体"/>
          <w:b w:val="0"/>
          <w:bCs w:val="0"/>
          <w:shd w:val="clear" w:color="auto" w:fill="FFFFFF"/>
        </w:rPr>
        <w:t>巩固脱贫攻坚成果</w:t>
      </w:r>
      <w:bookmarkEnd w:id="62"/>
      <w:bookmarkStart w:id="63" w:name="_Toc60646232"/>
    </w:p>
    <w:p>
      <w:pPr>
        <w:spacing w:line="600" w:lineRule="exact"/>
        <w:ind w:firstLine="640"/>
        <w:rPr>
          <w:rFonts w:ascii="仿宋_GB2312"/>
        </w:rPr>
      </w:pPr>
      <w:r>
        <w:rPr>
          <w:rFonts w:hint="eastAsia" w:ascii="楷体_GB2312" w:hAnsi="仿宋_GB2312" w:eastAsia="楷体_GB2312"/>
        </w:rPr>
        <w:t>建立解决农村相对贫困的长效机制</w:t>
      </w:r>
      <w:bookmarkEnd w:id="63"/>
      <w:r>
        <w:rPr>
          <w:rFonts w:hint="eastAsia" w:ascii="楷体_GB2312" w:hAnsi="仿宋_GB2312" w:eastAsia="楷体_GB2312"/>
        </w:rPr>
        <w:t>。</w:t>
      </w:r>
      <w:r>
        <w:rPr>
          <w:rFonts w:hint="eastAsia" w:ascii="仿宋_GB2312" w:hAnsi="仿宋_GB2312"/>
        </w:rPr>
        <w:t>以解决相对贫困为重点，建立长短结合、标本兼治的体制机制，着力激发农村低收入群体的内生动力。合理确定农村相对贫困标准，规范相对贫困人口动态调整，建立健全防止返贫监测预警机制，对脱贫不稳定户、边缘易致贫户开展常态化监测预警。完善即时发现即时帮扶机制，对容易返贫和存在致贫风险的人群提前实施有针对性的帮扶措施，及时将返贫人口和新发生贫困人口纳入帮扶政策范围，确保农村低收入群体不返贫、稳增收。健全农村社会保障和救助制度，以现有社会救助和社会保障体系为基础，健全农村低收入人口分类帮扶机制，特别是对建档立卡贫困户中完全丧失劳动能力或部分丧失劳动能力、无法通过产业就业获得稳定收入的人口，要应保尽保、应兜尽兜，切实保障基本生活。</w:t>
      </w:r>
      <w:bookmarkStart w:id="64" w:name="_Toc60646233"/>
    </w:p>
    <w:p>
      <w:pPr>
        <w:spacing w:line="600" w:lineRule="exact"/>
        <w:ind w:firstLine="640"/>
      </w:pPr>
      <w:r>
        <w:rPr>
          <w:rFonts w:hint="eastAsia" w:ascii="楷体_GB2312" w:eastAsia="楷体_GB2312"/>
        </w:rPr>
        <w:t>持续巩固拓展脱贫攻坚成果</w:t>
      </w:r>
      <w:bookmarkEnd w:id="64"/>
      <w:r>
        <w:rPr>
          <w:rFonts w:hint="eastAsia" w:ascii="楷体_GB2312" w:eastAsia="楷体_GB2312"/>
        </w:rPr>
        <w:t>。</w:t>
      </w:r>
      <w:r>
        <w:rPr>
          <w:rFonts w:hint="eastAsia"/>
        </w:rPr>
        <w:t>推动产业扶贫政策向乡村振兴转化，立足全县资源禀赋和产业优势，以市场需求为导向，打造一批各具特色、辐射带动能力强的产业扶贫项目，壮大村集体经济，带动群众增收致富，促进扶贫产业升级和乡村产业兴旺，加强扶贫项目资金资产管理和监督，建立健全资产管理制度，确保公益性资产持续发挥作用、经营性资产不流失、不被侵占。保持财政投入力度总体稳定，统筹整合涉农资金、扶贫资金等专项资金，注重扶贫产业可持续发展，改进帮扶方式方法，加强健全脱贫和易致贫群众教育和技能培训，更多采用生产奖补、劳务补助、以工代赈等方式。继续强化健康和教育扶贫政策，继续落实好贫困人口“基本医疗有保障”的标准和要求，继续实施建档立卡人口的城乡基本医疗保险缴费补助措施。落实各项教育资助政策，保障家庭经济困难子女顺利就学。对建档立卡贫困户的住房质量进行动态监测，及时发现新出现的住房安全隐患，通过维修、重建、租赁等方式解决贫困群众的住房安全保障问题。</w:t>
      </w:r>
    </w:p>
    <w:p>
      <w:pPr>
        <w:pStyle w:val="2"/>
        <w:spacing w:before="655" w:beforeLines="150" w:after="218"/>
        <w:rPr>
          <w:rFonts w:ascii="方正小标宋简体" w:eastAsia="方正小标宋简体"/>
          <w:sz w:val="36"/>
          <w:szCs w:val="36"/>
        </w:rPr>
      </w:pPr>
      <w:bookmarkStart w:id="65" w:name="_Toc60646234"/>
      <w:r>
        <w:rPr>
          <w:rFonts w:hint="eastAsia" w:ascii="方正小标宋简体" w:hAnsi="宋体" w:eastAsia="方正小标宋简体" w:cs="宋体"/>
          <w:sz w:val="36"/>
          <w:szCs w:val="36"/>
        </w:rPr>
        <w:t xml:space="preserve">第七篇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实现城乡协调新发展</w:t>
      </w:r>
      <w:bookmarkEnd w:id="65"/>
    </w:p>
    <w:p>
      <w:pPr>
        <w:spacing w:line="600" w:lineRule="exact"/>
        <w:ind w:firstLine="640"/>
      </w:pPr>
      <w:r>
        <w:rPr>
          <w:rFonts w:hint="eastAsia"/>
        </w:rPr>
        <w:t>坚持以工补农、以城带乡，健全城乡融合发展体制机制，推动城乡要素平等交换、合理配置和基本公共服务均等化，构筑工农互促、城乡互补、协调发展、共同繁荣的城乡协调发展新格局，加快新型城镇化步伐。</w:t>
      </w:r>
    </w:p>
    <w:p>
      <w:pPr>
        <w:pStyle w:val="3"/>
        <w:spacing w:before="437" w:beforeLines="100" w:after="437" w:afterLines="100" w:line="600" w:lineRule="exact"/>
        <w:rPr>
          <w:rFonts w:ascii="黑体" w:hAnsi="黑体" w:eastAsia="黑体"/>
          <w:b w:val="0"/>
          <w:bCs w:val="0"/>
        </w:rPr>
      </w:pPr>
      <w:bookmarkStart w:id="66" w:name="_Toc60646235"/>
      <w:r>
        <w:rPr>
          <w:rFonts w:hint="eastAsia" w:ascii="黑体" w:hAnsi="黑体" w:eastAsia="黑体"/>
          <w:b w:val="0"/>
          <w:bCs w:val="0"/>
        </w:rPr>
        <w:t xml:space="preserve">第二十六章 </w:t>
      </w:r>
      <w:r>
        <w:rPr>
          <w:rFonts w:ascii="黑体" w:hAnsi="黑体" w:eastAsia="黑体"/>
          <w:b w:val="0"/>
          <w:bCs w:val="0"/>
        </w:rPr>
        <w:t xml:space="preserve"> </w:t>
      </w:r>
      <w:r>
        <w:rPr>
          <w:rFonts w:hint="eastAsia" w:ascii="黑体" w:hAnsi="黑体" w:eastAsia="黑体"/>
          <w:b w:val="0"/>
          <w:bCs w:val="0"/>
        </w:rPr>
        <w:t>加快推进新型城镇化</w:t>
      </w:r>
      <w:bookmarkEnd w:id="66"/>
    </w:p>
    <w:p>
      <w:pPr>
        <w:spacing w:line="600" w:lineRule="exact"/>
        <w:ind w:firstLine="640"/>
        <w:rPr>
          <w:rFonts w:ascii="楷体_GB2312" w:eastAsia="楷体_GB2312"/>
          <w:bCs/>
          <w:color w:val="000000"/>
        </w:rPr>
      </w:pPr>
      <w:bookmarkStart w:id="67" w:name="_Toc60646236"/>
      <w:r>
        <w:rPr>
          <w:rStyle w:val="69"/>
          <w:rFonts w:hint="eastAsia" w:ascii="楷体_GB2312" w:eastAsia="楷体_GB2312"/>
          <w:b w:val="0"/>
          <w:bCs/>
          <w:color w:val="000000"/>
          <w:szCs w:val="32"/>
        </w:rPr>
        <w:t>提升城市规划水平。</w:t>
      </w:r>
      <w:r>
        <w:rPr>
          <w:rFonts w:hint="eastAsia" w:ascii="仿宋_GB2312" w:hAnsi="仿宋_GB2312" w:cs="仿宋_GB2312"/>
          <w:color w:val="000000"/>
        </w:rPr>
        <w:t>科学把握城市现状与未来发展的关系，综合考虑空间布局、功能定位等因素，精心融入文化特色、建筑风格等内容，以战略眼光、前瞻意识做好规划。按照“东进、西控、北优、南展”发展方向，向东跨越东环路主动对接聊城主城区，控制西环路以西建设，优化铁路以北产业布局。大力推动南部新城建设，前瞻性考虑高铁站布局，</w:t>
      </w:r>
      <w:r>
        <w:rPr>
          <w:rFonts w:hint="eastAsia"/>
          <w:color w:val="000000"/>
        </w:rPr>
        <w:t>合理配置新城现代商贸、高端商务、休闲健身、文化创意以及优质教育、医疗、养老等功能</w:t>
      </w:r>
      <w:r>
        <w:rPr>
          <w:rFonts w:hint="eastAsia" w:ascii="仿宋_GB2312" w:hAnsi="仿宋_GB2312" w:cs="仿宋_GB2312"/>
          <w:color w:val="000000"/>
        </w:rPr>
        <w:t>。</w:t>
      </w:r>
      <w:r>
        <w:rPr>
          <w:rFonts w:hint="eastAsia"/>
          <w:color w:val="000000"/>
        </w:rPr>
        <w:t>加快推进东部新旧动能转换发展引领区建设，适度延伸拓展工业、仓储物流、商贸等功能，充实配套生活服务功能。加快中部老城区有机更新，</w:t>
      </w:r>
      <w:r>
        <w:rPr>
          <w:rFonts w:hint="eastAsia" w:ascii="仿宋_GB2312" w:hAnsi="仿宋_GB2312" w:cs="仿宋_GB2312"/>
          <w:color w:val="000000"/>
        </w:rPr>
        <w:t>大力推进老旧小区改造，加大环保设施、社区公共服务、智能化改造、公共停车场等薄弱环节建设，进一步改善群众生活居住条件。</w:t>
      </w:r>
      <w:r>
        <w:rPr>
          <w:rFonts w:hint="eastAsia"/>
          <w:color w:val="000000"/>
        </w:rPr>
        <w:t>深化北部产城融合发展区建设，重点布局高端装备制造、新材料、信息技术、现代物流、生产性服务业等新兴产业。保护开发西部地区，重点推进周边村庄融入城市发展。</w:t>
      </w:r>
    </w:p>
    <w:p>
      <w:pPr>
        <w:spacing w:line="600" w:lineRule="exact"/>
        <w:ind w:firstLine="640"/>
        <w:rPr>
          <w:rFonts w:ascii="仿宋_GB2312"/>
          <w:color w:val="000000"/>
        </w:rPr>
      </w:pPr>
      <w:r>
        <w:rPr>
          <w:rStyle w:val="69"/>
          <w:rFonts w:hint="eastAsia" w:ascii="楷体_GB2312" w:eastAsia="楷体_GB2312"/>
          <w:b w:val="0"/>
          <w:bCs/>
          <w:color w:val="000000"/>
          <w:szCs w:val="32"/>
        </w:rPr>
        <w:t>提升城市建设水平。</w:t>
      </w:r>
      <w:r>
        <w:rPr>
          <w:rStyle w:val="69"/>
          <w:rFonts w:hint="eastAsia" w:ascii="仿宋_GB2312" w:hAnsi="仿宋_GB2312"/>
          <w:b w:val="0"/>
          <w:bCs/>
          <w:color w:val="000000"/>
          <w:szCs w:val="32"/>
        </w:rPr>
        <w:t>建设宜居城市，</w:t>
      </w:r>
      <w:r>
        <w:rPr>
          <w:rFonts w:hint="eastAsia" w:ascii="仿宋_GB2312"/>
          <w:color w:val="000000"/>
        </w:rPr>
        <w:t>有序推进老旧小区、棚户区改造，加强社区建设，配套完善基础设施和公共服务设施，推动“</w:t>
      </w:r>
      <w:r>
        <w:rPr>
          <w:rFonts w:ascii="仿宋_GB2312"/>
          <w:color w:val="000000"/>
        </w:rPr>
        <w:t>15</w:t>
      </w:r>
      <w:r>
        <w:rPr>
          <w:rFonts w:hint="eastAsia" w:ascii="仿宋_GB2312"/>
          <w:color w:val="000000"/>
        </w:rPr>
        <w:t>分钟生活圈”全覆盖。</w:t>
      </w:r>
      <w:r>
        <w:rPr>
          <w:rFonts w:hint="eastAsia" w:ascii="仿宋_GB2312" w:hAnsi="仿宋_GB2312" w:cs="仿宋_GB2312"/>
          <w:color w:val="000000"/>
        </w:rPr>
        <w:t>完善供热、供气、供水、供电、高速宽带网络等城市公用设施，</w:t>
      </w:r>
      <w:r>
        <w:rPr>
          <w:rFonts w:hint="eastAsia" w:ascii="仿宋_GB2312"/>
          <w:color w:val="000000"/>
        </w:rPr>
        <w:t>合理设置城区公共厕所。实施柳林路、滨河路等城区道路改建及绿化亮化工程，</w:t>
      </w:r>
      <w:r>
        <w:rPr>
          <w:rFonts w:hint="eastAsia" w:ascii="仿宋_GB2312" w:hAnsi="仿宋_GB2312" w:cs="仿宋_GB2312"/>
          <w:color w:val="000000"/>
        </w:rPr>
        <w:t>持续打通断头路，</w:t>
      </w:r>
      <w:r>
        <w:rPr>
          <w:rFonts w:hint="eastAsia" w:ascii="仿宋_GB2312"/>
          <w:color w:val="000000"/>
        </w:rPr>
        <w:t>逐步形成外成环、内成网、主次分明的城市道路体系。</w:t>
      </w:r>
      <w:r>
        <w:rPr>
          <w:rFonts w:hint="eastAsia" w:ascii="仿宋_GB2312"/>
        </w:rPr>
        <w:t>建设智慧停车系统，增加公共停车泊位、公共停车场。加快建设城市公园，规划建设更多的“口袋公园”“袖珍绿地”。开展“无废城市”建设，加快城市污水处理和再生利用设施建设，实现垃圾分类处置全覆盖，生活垃圾实现零填埋。推广绿色建筑和建材，新开工项目绿色建筑实现全覆盖</w:t>
      </w:r>
      <w:r>
        <w:rPr>
          <w:rFonts w:hint="eastAsia" w:ascii="仿宋_GB2312"/>
          <w:color w:val="C00000"/>
        </w:rPr>
        <w:t>。</w:t>
      </w:r>
      <w:r>
        <w:rPr>
          <w:rFonts w:hint="eastAsia" w:ascii="仿宋_GB2312"/>
          <w:color w:val="000000"/>
        </w:rPr>
        <w:t>推进县委党校、图书馆、文化馆、科技馆、博物馆、档案馆、青少年活动中心、政务服务中心等“一校七馆”建设。加快排水设施及管网建设、雨污分流改造和易涝点整治，推进海绵城市建设。</w:t>
      </w:r>
    </w:p>
    <w:p>
      <w:pPr>
        <w:spacing w:line="600" w:lineRule="exact"/>
        <w:ind w:firstLine="640"/>
        <w:rPr>
          <w:rFonts w:ascii="仿宋_GB2312"/>
          <w:color w:val="000000"/>
        </w:rPr>
      </w:pPr>
      <w:r>
        <w:rPr>
          <w:rStyle w:val="69"/>
          <w:rFonts w:hint="eastAsia" w:ascii="楷体_GB2312" w:eastAsia="楷体_GB2312"/>
          <w:b w:val="0"/>
          <w:bCs/>
          <w:color w:val="000000"/>
          <w:szCs w:val="32"/>
        </w:rPr>
        <w:t>提升城市管理水平。</w:t>
      </w:r>
      <w:r>
        <w:rPr>
          <w:rFonts w:hint="eastAsia" w:ascii="仿宋_GB2312"/>
          <w:color w:val="000000"/>
        </w:rPr>
        <w:t>深化“智慧冠县”建设，加强各类服务数据资源整合、共享、开放和应用。推进全县视频监控资源共享，建设视联网。完善数字化城市管理平台，加快建成“新型智慧城市”，推进城市治理体系和治理能力现代化。强化科学管理，加强执法队伍建设，提升城市园林绿化、城市道路清扫保洁等专业化服务水平。加快生活垃圾分类投放、分类收运和分类处理。加强城市日常运行管理，充分挖掘停车资源，解决停车难问题。严格落实“街长制”、门前“五包”责任制，深入开展城市“十乱”专项治理行动，加大违章建筑拆除力度。继续理顺物业管理体制，开展“红色物业”建设三年攻坚行动，不断提升物业服务水平。</w:t>
      </w:r>
    </w:p>
    <w:bookmarkEnd w:id="67"/>
    <w:p>
      <w:pPr>
        <w:pStyle w:val="4"/>
        <w:spacing w:after="218" w:line="600" w:lineRule="exact"/>
        <w:ind w:firstLine="640"/>
        <w:rPr>
          <w:rFonts w:ascii="仿宋_GB2312" w:hAnsi="仿宋_GB2312" w:eastAsia="仿宋_GB2312"/>
        </w:rPr>
      </w:pPr>
      <w:bookmarkStart w:id="68" w:name="_Toc60646239"/>
      <w:r>
        <w:rPr>
          <w:rFonts w:hint="eastAsia" w:ascii="楷体_GB2312" w:eastAsia="楷体_GB2312"/>
        </w:rPr>
        <w:t>加快农业转移人口市民化</w:t>
      </w:r>
      <w:bookmarkEnd w:id="68"/>
      <w:r>
        <w:rPr>
          <w:rFonts w:hint="eastAsia" w:ascii="楷体_GB2312" w:eastAsia="楷体_GB2312"/>
        </w:rPr>
        <w:t>。</w:t>
      </w:r>
      <w:r>
        <w:rPr>
          <w:rFonts w:hint="eastAsia" w:ascii="仿宋_GB2312" w:hAnsi="仿宋_GB2312" w:eastAsia="仿宋_GB2312"/>
        </w:rPr>
        <w:t>深化户籍制度改革，全面放开放宽城市落户限制，推动城中村、城郊村、镇驻地常住居民有序市民化，实现农业转移人口按意愿在城市便捷落户。全面实施居住证制度，确保未落户常住人口全部持有居住证。完善财政转移支持、城镇建设用地年度指标与农业转移人口市民化挂钩政策。推进城镇基本公共服务常住人口全覆盖，以公办学校为主将农业转移人口随迁子女纳入流入地义务教育保障范围，将稳定就业的非户籍常住人口纳入保障性住房体系，保障落户农民平等享受市民待遇。</w:t>
      </w:r>
    </w:p>
    <w:p>
      <w:pPr>
        <w:pStyle w:val="3"/>
        <w:spacing w:before="437" w:beforeLines="100" w:after="437" w:afterLines="100" w:line="600" w:lineRule="exact"/>
        <w:rPr>
          <w:rFonts w:ascii="黑体" w:hAnsi="黑体" w:eastAsia="黑体"/>
          <w:b w:val="0"/>
          <w:bCs w:val="0"/>
        </w:rPr>
      </w:pPr>
      <w:bookmarkStart w:id="69" w:name="_Toc60646240"/>
      <w:r>
        <w:rPr>
          <w:rFonts w:hint="eastAsia" w:ascii="黑体" w:hAnsi="黑体" w:eastAsia="黑体"/>
          <w:b w:val="0"/>
          <w:bCs w:val="0"/>
        </w:rPr>
        <w:t xml:space="preserve">第二十七章 </w:t>
      </w:r>
      <w:r>
        <w:rPr>
          <w:rFonts w:ascii="黑体" w:hAnsi="黑体" w:eastAsia="黑体"/>
          <w:b w:val="0"/>
          <w:bCs w:val="0"/>
        </w:rPr>
        <w:t xml:space="preserve"> </w:t>
      </w:r>
      <w:r>
        <w:rPr>
          <w:rFonts w:hint="eastAsia" w:ascii="黑体" w:hAnsi="黑体" w:eastAsia="黑体"/>
          <w:b w:val="0"/>
          <w:bCs w:val="0"/>
        </w:rPr>
        <w:t>推动乡镇</w:t>
      </w:r>
      <w:bookmarkEnd w:id="69"/>
      <w:r>
        <w:rPr>
          <w:rFonts w:hint="eastAsia" w:ascii="黑体" w:hAnsi="黑体" w:eastAsia="黑体"/>
          <w:b w:val="0"/>
          <w:bCs w:val="0"/>
        </w:rPr>
        <w:t>经济发展</w:t>
      </w:r>
    </w:p>
    <w:p>
      <w:pPr>
        <w:spacing w:line="600" w:lineRule="exact"/>
        <w:ind w:firstLine="640"/>
        <w:rPr>
          <w:rFonts w:ascii="仿宋_GB2312"/>
        </w:rPr>
      </w:pPr>
      <w:r>
        <w:rPr>
          <w:rFonts w:hint="eastAsia" w:ascii="楷体_GB2312" w:eastAsia="楷体_GB2312"/>
        </w:rPr>
        <w:t>打造镇域特色经济。</w:t>
      </w:r>
      <w:r>
        <w:rPr>
          <w:rFonts w:hint="eastAsia" w:ascii="仿宋_GB2312"/>
        </w:rPr>
        <w:t>积极推进“一镇一业”“一村一品”，按照“宜农则农、宜工则工、宜商则商、宜游则游”的原则，优化产业经济结构，逐步打造一批功能集中、产业繁荣、特色鲜明的重点镇，着力构建分工协作、错位发展、多点支撑的产业布局。</w:t>
      </w:r>
    </w:p>
    <w:p>
      <w:pPr>
        <w:spacing w:line="600" w:lineRule="exact"/>
        <w:ind w:firstLine="640"/>
      </w:pPr>
      <w:r>
        <w:rPr>
          <w:rFonts w:hint="eastAsia" w:ascii="楷体_GB2312" w:eastAsia="楷体_GB2312"/>
        </w:rPr>
        <w:t>壮大乡镇民营经济。</w:t>
      </w:r>
      <w:r>
        <w:rPr>
          <w:rFonts w:hint="eastAsia"/>
        </w:rPr>
        <w:t>加大对民营企业发展的支持力度，推动各类市场主体在数量、规模、结构、效益上实现突破。积极培育乡镇龙头企业，带动中小企业加快发展。引导企业树立自身品牌形象，根据实际情况适当加大投资力度。</w:t>
      </w:r>
    </w:p>
    <w:p>
      <w:pPr>
        <w:spacing w:line="600" w:lineRule="exact"/>
        <w:ind w:firstLine="640"/>
      </w:pPr>
      <w:r>
        <w:rPr>
          <w:rFonts w:hint="eastAsia" w:ascii="楷体_GB2312" w:eastAsia="楷体_GB2312"/>
        </w:rPr>
        <w:t>强化发展要素支撑。</w:t>
      </w:r>
      <w:r>
        <w:rPr>
          <w:rFonts w:hint="eastAsia"/>
        </w:rPr>
        <w:t>按照城市标准进行规划建设管理，加大乡镇基础设施和公共服务设施建设力度，提升各乡镇支撑能力。鼓励和支持农民工、退役军人、工商企业主等返乡下乡、创业创新，吸引在外成功企业家回乡兴办工商企业。落实和完善促进乡镇经济发展政策，推动资源要素向优势区域集中，使各乡镇产业上规模、上层次、上水平。</w:t>
      </w:r>
    </w:p>
    <w:p>
      <w:pPr>
        <w:pStyle w:val="2"/>
        <w:spacing w:before="655" w:beforeLines="150" w:after="218"/>
        <w:rPr>
          <w:rFonts w:ascii="方正小标宋简体" w:eastAsia="方正小标宋简体"/>
          <w:sz w:val="36"/>
          <w:szCs w:val="36"/>
        </w:rPr>
      </w:pPr>
      <w:bookmarkStart w:id="70" w:name="_Toc60646245"/>
      <w:r>
        <w:rPr>
          <w:rFonts w:hint="eastAsia" w:ascii="方正小标宋简体" w:hAnsi="宋体" w:eastAsia="方正小标宋简体" w:cs="宋体"/>
          <w:sz w:val="36"/>
          <w:szCs w:val="36"/>
        </w:rPr>
        <w:t>第八篇</w:t>
      </w:r>
      <w:bookmarkEnd w:id="70"/>
      <w:r>
        <w:rPr>
          <w:rFonts w:hint="eastAsia" w:ascii="方正小标宋简体" w:hAnsi="宋体" w:eastAsia="方正小标宋简体" w:cs="宋体"/>
          <w:sz w:val="36"/>
          <w:szCs w:val="36"/>
        </w:rPr>
        <w:t xml:space="preserve">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增强内生发展新动力</w:t>
      </w:r>
    </w:p>
    <w:p>
      <w:pPr>
        <w:spacing w:line="620" w:lineRule="exact"/>
        <w:ind w:firstLine="640"/>
        <w:rPr>
          <w:rFonts w:ascii="仿宋_GB2312" w:cs="仿宋_GB2312"/>
          <w:color w:val="000000"/>
        </w:rPr>
      </w:pPr>
      <w:bookmarkStart w:id="71" w:name="_Toc60646246"/>
      <w:r>
        <w:rPr>
          <w:rFonts w:hint="eastAsia" w:ascii="仿宋_GB2312" w:hAnsi="仿宋_GB2312" w:cs="仿宋_GB2312"/>
          <w:color w:val="000000"/>
        </w:rPr>
        <w:t>充分发挥市场在资源配置中的决定性作用，聚焦影响和制约发展的重要领域和关键环节，完善各项制度建设，将改革进行到底，不断增强发展动力，激发发展活力。</w:t>
      </w:r>
      <w:bookmarkStart w:id="72" w:name="_Toc60646249"/>
    </w:p>
    <w:p>
      <w:pPr>
        <w:pStyle w:val="3"/>
        <w:spacing w:before="437" w:beforeLines="100" w:after="437" w:afterLines="100" w:line="620" w:lineRule="exact"/>
        <w:rPr>
          <w:rFonts w:ascii="黑体" w:hAnsi="黑体" w:eastAsia="黑体"/>
          <w:b w:val="0"/>
          <w:bCs w:val="0"/>
        </w:rPr>
      </w:pPr>
      <w:r>
        <w:rPr>
          <w:rFonts w:hint="eastAsia" w:ascii="黑体" w:hAnsi="黑体" w:eastAsia="黑体"/>
          <w:b w:val="0"/>
          <w:bCs w:val="0"/>
        </w:rPr>
        <w:t>第二十八章</w:t>
      </w:r>
      <w:bookmarkEnd w:id="72"/>
      <w:r>
        <w:rPr>
          <w:rFonts w:hint="eastAsia" w:ascii="黑体" w:hAnsi="黑体" w:eastAsia="黑体"/>
          <w:b w:val="0"/>
          <w:bCs w:val="0"/>
        </w:rPr>
        <w:t xml:space="preserve"> </w:t>
      </w:r>
      <w:r>
        <w:rPr>
          <w:rFonts w:ascii="黑体" w:hAnsi="黑体" w:eastAsia="黑体"/>
          <w:b w:val="0"/>
          <w:bCs w:val="0"/>
        </w:rPr>
        <w:t xml:space="preserve"> </w:t>
      </w:r>
      <w:r>
        <w:rPr>
          <w:rFonts w:hint="eastAsia" w:ascii="黑体" w:hAnsi="黑体" w:eastAsia="黑体"/>
          <w:b w:val="0"/>
          <w:bCs w:val="0"/>
        </w:rPr>
        <w:t>推进要素配置改革</w:t>
      </w:r>
      <w:bookmarkStart w:id="73" w:name="_Toc60646250"/>
    </w:p>
    <w:p>
      <w:pPr>
        <w:spacing w:line="600" w:lineRule="exact"/>
        <w:ind w:firstLine="640"/>
        <w:rPr>
          <w:rFonts w:ascii="仿宋_GB2312"/>
        </w:rPr>
      </w:pPr>
      <w:r>
        <w:rPr>
          <w:rFonts w:hint="eastAsia" w:ascii="楷体_GB2312" w:eastAsia="楷体_GB2312"/>
          <w:lang w:val="zh-CN"/>
        </w:rPr>
        <w:t>推动要素市场化</w:t>
      </w:r>
      <w:bookmarkEnd w:id="73"/>
      <w:r>
        <w:rPr>
          <w:rFonts w:hint="eastAsia" w:ascii="楷体_GB2312" w:eastAsia="楷体_GB2312"/>
          <w:lang w:val="zh-CN"/>
        </w:rPr>
        <w:t>改革。</w:t>
      </w:r>
      <w:r>
        <w:rPr>
          <w:rFonts w:hint="eastAsia" w:ascii="仿宋_GB2312" w:hAnsi="仿宋_GB2312"/>
        </w:rPr>
        <w:t>健全要素市场体系，发挥市场在要素资源配置中的决定性作用，优化劳动力、土地、资本等传统生产要素配置，促进知识、技术、信息、数据等新生产要素合理流动、有效集聚，加快破除制约要素市场化改革的体制障碍、利益格局和惯性依赖，实现市场化高效配置和有效供给。深化用地市场化配置改革，健全城乡建设用地增减挂钩政策，鼓励盘活存量土地和低效用地。实施“亩均效益”评价改革，建立开发区亩均效益指标定期调度机制，开发区新上项目投资强度不低于</w:t>
      </w:r>
      <w:r>
        <w:rPr>
          <w:rFonts w:ascii="仿宋_GB2312" w:hAnsi="仿宋_GB2312"/>
        </w:rPr>
        <w:t>280</w:t>
      </w:r>
      <w:r>
        <w:rPr>
          <w:rFonts w:hint="eastAsia" w:ascii="仿宋_GB2312" w:hAnsi="仿宋_GB2312"/>
        </w:rPr>
        <w:t>万元</w:t>
      </w:r>
      <w:r>
        <w:rPr>
          <w:rFonts w:ascii="仿宋_GB2312" w:hAnsi="仿宋_GB2312"/>
        </w:rPr>
        <w:t>/</w:t>
      </w:r>
      <w:r>
        <w:rPr>
          <w:rFonts w:hint="eastAsia" w:ascii="仿宋_GB2312" w:hAnsi="仿宋_GB2312"/>
        </w:rPr>
        <w:t>亩。支持供销合作社开展土地托管服务。畅通劳动力要素流动渠道，健全人力资源市场体系，促进人口有序流动、合理分布。加大各类人才引进力度，为各类人才来冠创新创业提供便利。加快发展技术要素市场，积极培育应用技术类科研机构，促进其市场化、企业化改革。培育数据要素市场，建立数据确权、数据资产管理、数据隐私保护、数据安全审查等制度，加快开放公共数据资源。完善市场出清机制，促进资源向高效市场主体流动。</w:t>
      </w:r>
    </w:p>
    <w:p>
      <w:pPr>
        <w:spacing w:line="600" w:lineRule="exact"/>
        <w:ind w:firstLine="640"/>
        <w:rPr>
          <w:rFonts w:ascii="仿宋_GB2312"/>
          <w:lang w:val="zh-CN"/>
        </w:rPr>
      </w:pPr>
      <w:r>
        <w:rPr>
          <w:rFonts w:hint="eastAsia" w:ascii="楷体_GB2312" w:eastAsia="楷体_GB2312"/>
          <w:lang w:val="zh-CN"/>
        </w:rPr>
        <w:t>推进生产要素优化配置。</w:t>
      </w:r>
      <w:r>
        <w:rPr>
          <w:rFonts w:hint="eastAsia" w:ascii="仿宋_GB2312" w:hAnsi="仿宋_GB2312"/>
          <w:lang w:val="zh-CN"/>
        </w:rPr>
        <w:t>推动政府定价机制由制定具体价格水平向制定定价规则转变，引导市场主体依法合理行使要素定价自主权。构建要素价格公示、发布和动态监测预警体系，有效维护市场价格秩序。完善各类要素市场交易管理制度，推动用能权、用水权、排污权、碳排放权等要素交易。鼓励要素交易平台与金融机构、中介机构合作，形成涵盖产权界定、价格评估、流转交易、担保、保险等业务的综合服务体系。</w:t>
      </w:r>
      <w:bookmarkStart w:id="74" w:name="_Toc60646252"/>
    </w:p>
    <w:p>
      <w:pPr>
        <w:spacing w:line="600" w:lineRule="exact"/>
        <w:ind w:firstLine="0" w:firstLineChars="0"/>
        <w:rPr>
          <w:rFonts w:ascii="仿宋_GB2312"/>
          <w:lang w:val="zh-CN"/>
        </w:rPr>
      </w:pPr>
    </w:p>
    <w:p>
      <w:pPr>
        <w:spacing w:line="600" w:lineRule="exact"/>
        <w:ind w:firstLine="0" w:firstLineChars="0"/>
        <w:jc w:val="center"/>
        <w:rPr>
          <w:rFonts w:ascii="黑体" w:hAnsi="黑体" w:eastAsia="黑体"/>
        </w:rPr>
      </w:pPr>
      <w:r>
        <w:rPr>
          <w:rFonts w:hint="eastAsia" w:ascii="黑体" w:hAnsi="黑体" w:eastAsia="黑体"/>
        </w:rPr>
        <w:t xml:space="preserve">第二十九章 </w:t>
      </w:r>
      <w:r>
        <w:rPr>
          <w:rFonts w:ascii="黑体" w:hAnsi="黑体" w:eastAsia="黑体"/>
        </w:rPr>
        <w:t xml:space="preserve"> </w:t>
      </w:r>
      <w:r>
        <w:rPr>
          <w:rFonts w:hint="eastAsia" w:ascii="黑体" w:hAnsi="黑体" w:eastAsia="黑体"/>
        </w:rPr>
        <w:t>激发市场主体活力</w:t>
      </w:r>
      <w:bookmarkEnd w:id="74"/>
      <w:bookmarkStart w:id="75" w:name="_Toc60646254"/>
      <w:bookmarkStart w:id="76" w:name="_Toc60646253"/>
    </w:p>
    <w:p>
      <w:pPr>
        <w:spacing w:line="600" w:lineRule="exact"/>
        <w:ind w:firstLine="0" w:firstLineChars="0"/>
        <w:rPr>
          <w:rFonts w:ascii="楷体_GB2312" w:eastAsia="楷体_GB2312"/>
          <w:bCs/>
          <w:szCs w:val="32"/>
          <w:lang w:val="zh-CN"/>
        </w:rPr>
      </w:pPr>
    </w:p>
    <w:p>
      <w:pPr>
        <w:spacing w:line="600" w:lineRule="exact"/>
        <w:ind w:firstLine="640"/>
      </w:pPr>
      <w:r>
        <w:rPr>
          <w:rFonts w:hint="eastAsia" w:ascii="楷体_GB2312" w:eastAsia="楷体_GB2312"/>
          <w:bCs/>
          <w:szCs w:val="32"/>
          <w:lang w:val="zh-CN"/>
        </w:rPr>
        <w:t>深化国资国企改革</w:t>
      </w:r>
      <w:bookmarkEnd w:id="75"/>
      <w:r>
        <w:rPr>
          <w:rFonts w:hint="eastAsia" w:ascii="楷体_GB2312" w:eastAsia="楷体_GB2312"/>
          <w:b/>
          <w:bCs/>
          <w:szCs w:val="32"/>
          <w:lang w:val="zh-CN"/>
        </w:rPr>
        <w:t>。</w:t>
      </w:r>
      <w:r>
        <w:rPr>
          <w:rFonts w:hint="eastAsia" w:ascii="仿宋_GB2312"/>
          <w:bCs/>
          <w:szCs w:val="32"/>
          <w:lang w:val="zh-CN"/>
        </w:rPr>
        <w:t>持续</w:t>
      </w:r>
      <w:r>
        <w:rPr>
          <w:rFonts w:hint="eastAsia" w:ascii="仿宋_GB2312" w:hAnsi="仿宋_GB2312"/>
          <w:szCs w:val="32"/>
          <w:lang w:val="zh-CN"/>
        </w:rPr>
        <w:t>实施国有企业改革“三年行动实施方案”。</w:t>
      </w:r>
      <w:r>
        <w:rPr>
          <w:rFonts w:hint="eastAsia"/>
        </w:rPr>
        <w:t>推动国有资本向九大产业集群、优势企业、核心主业和公共服务领域集中，确保国有资产保值增值。深化国有企业劳动、人事、分配三项制度改革，推动县属企业深化全员绩效考核，按照业绩贡献决定薪酬。加强国资监管体系建设，实现由管资产向管资本转变。探索行政事业性资产统一运营，建立政府“公物仓”，推动跨部门跨层级共享共用。实施县属企业“混改”计划，推动国有资本、非公有资本等交叉持股、优势互补。</w:t>
      </w:r>
    </w:p>
    <w:p>
      <w:pPr>
        <w:spacing w:line="620" w:lineRule="exact"/>
        <w:ind w:firstLine="640"/>
        <w:rPr>
          <w:rFonts w:ascii="仿宋_GB2312"/>
          <w:szCs w:val="32"/>
          <w:lang w:val="zh-CN"/>
        </w:rPr>
      </w:pPr>
      <w:r>
        <w:rPr>
          <w:rFonts w:hint="eastAsia" w:ascii="楷体_GB2312" w:eastAsia="楷体_GB2312"/>
          <w:szCs w:val="32"/>
          <w:lang w:val="zh-CN"/>
        </w:rPr>
        <w:t>推动民营经济高质量发展。</w:t>
      </w:r>
      <w:r>
        <w:rPr>
          <w:rFonts w:hint="eastAsia" w:ascii="仿宋_GB2312" w:hAnsi="仿宋_GB2312"/>
          <w:szCs w:val="32"/>
          <w:lang w:val="zh-CN"/>
        </w:rPr>
        <w:t>优化民营经济发展环境，坚决破除制约民营企业发展的各种壁垒。落实“企业直通车”制度，对民营企业提供全生命周期服务。健全民营企业转型升级促进机制，鼓励民营企业完善公司治理结构，引导企业加快建立现代化企业制度。健全支持中小微企业发展制度，建立中小企业公共服务平台，落实纾困惠企政策，持续减税降费、减租降息，多措并举破解中小企业融资难、融资贵问题。实施民营企业精准帮扶机制，确保各项扶持政策直达基层。进一步增强对个体工商户的帮扶。</w:t>
      </w:r>
    </w:p>
    <w:p>
      <w:pPr>
        <w:spacing w:line="620" w:lineRule="exact"/>
        <w:ind w:firstLine="640"/>
      </w:pPr>
      <w:r>
        <w:rPr>
          <w:rFonts w:hint="eastAsia" w:ascii="楷体_GB2312" w:eastAsia="楷体_GB2312"/>
        </w:rPr>
        <w:t>关心关爱企业家。</w:t>
      </w:r>
      <w:r>
        <w:rPr>
          <w:rFonts w:hint="eastAsia"/>
        </w:rPr>
        <w:t>树立尊商、敬商、重商、爱商的鲜明导向，引导企业家拥护党的领导，坚定理想信念，增强爱国情怀，坚持遵规守法，强化社会责任，培育发展创新型一流企业。严格落实冠县关心支持企业家干事创业“九条措施”，弘扬企业家精神。实施新一轮企业家素质提升工程，每年选送一批中青年企业家进修学习。完善企业家参政议政制度，落实企业家参与涉企政策制定的制度，建立领导干部联系企业家制度及企业家担任改革监督员工作机制。</w:t>
      </w:r>
    </w:p>
    <w:p>
      <w:pPr>
        <w:pStyle w:val="3"/>
        <w:spacing w:before="437" w:beforeLines="100" w:after="437" w:afterLines="100" w:line="620" w:lineRule="exact"/>
        <w:rPr>
          <w:rFonts w:ascii="黑体" w:hAnsi="黑体" w:eastAsia="黑体"/>
          <w:b w:val="0"/>
          <w:bCs w:val="0"/>
        </w:rPr>
      </w:pPr>
      <w:r>
        <w:rPr>
          <w:rFonts w:hint="eastAsia" w:ascii="黑体" w:hAnsi="黑体" w:eastAsia="黑体"/>
          <w:b w:val="0"/>
          <w:bCs w:val="0"/>
        </w:rPr>
        <w:t xml:space="preserve">第三十章 </w:t>
      </w:r>
      <w:r>
        <w:rPr>
          <w:rFonts w:ascii="黑体" w:hAnsi="黑体" w:eastAsia="黑体"/>
          <w:b w:val="0"/>
          <w:bCs w:val="0"/>
        </w:rPr>
        <w:t xml:space="preserve"> </w:t>
      </w:r>
      <w:r>
        <w:rPr>
          <w:rFonts w:hint="eastAsia" w:ascii="黑体" w:hAnsi="黑体" w:eastAsia="黑体"/>
          <w:b w:val="0"/>
          <w:bCs w:val="0"/>
        </w:rPr>
        <w:t>深化财政金融改革</w:t>
      </w:r>
    </w:p>
    <w:p>
      <w:pPr>
        <w:spacing w:line="620" w:lineRule="exact"/>
        <w:ind w:firstLine="640"/>
        <w:rPr>
          <w:color w:val="000000"/>
          <w:shd w:val="clear" w:color="auto" w:fill="FFFFFF"/>
        </w:rPr>
      </w:pPr>
      <w:bookmarkStart w:id="77" w:name="_Toc60646255"/>
      <w:r>
        <w:rPr>
          <w:rFonts w:hint="eastAsia" w:ascii="楷体_GB2312" w:eastAsia="楷体_GB2312"/>
          <w:bCs/>
          <w:szCs w:val="32"/>
          <w:lang w:val="zh-CN"/>
        </w:rPr>
        <w:t>推进财税体制改革。</w:t>
      </w:r>
      <w:r>
        <w:rPr>
          <w:rFonts w:hint="eastAsia" w:ascii="Arial" w:hAnsi="Arial" w:cs="Arial"/>
          <w:color w:val="000000"/>
          <w:spacing w:val="8"/>
          <w:kern w:val="0"/>
          <w:shd w:val="clear" w:color="auto" w:fill="FFFFFF"/>
        </w:rPr>
        <w:t>加大财政资金统筹力度，</w:t>
      </w:r>
      <w:r>
        <w:rPr>
          <w:rFonts w:hint="eastAsia"/>
          <w:color w:val="000000"/>
          <w:shd w:val="clear" w:color="auto" w:fill="FFFFFF"/>
        </w:rPr>
        <w:t>构建以绩效为核心的集中财力办大事的财政政策体系和资金管理机制。深化预算管理制度改革，加快建立规范透明、标准科学、约束有力的预算制度，全面实施预算绩效管理，争创全国财政管理绩效综合评价先进县。加强政府债务管理，防范和化解政府债务风险。深化税收征管制度改革，提高征管质量和效率。</w:t>
      </w:r>
    </w:p>
    <w:p>
      <w:pPr>
        <w:spacing w:line="620" w:lineRule="exact"/>
        <w:ind w:firstLine="640"/>
        <w:rPr>
          <w:rFonts w:ascii="仿宋_GB2312" w:cs="仿宋_GB2312"/>
          <w:color w:val="000000"/>
        </w:rPr>
      </w:pPr>
      <w:r>
        <w:rPr>
          <w:rFonts w:hint="eastAsia" w:ascii="楷体_GB2312" w:eastAsia="楷体_GB2312"/>
          <w:color w:val="000000"/>
          <w:shd w:val="clear" w:color="auto" w:fill="FFFFFF"/>
        </w:rPr>
        <w:t>推动金融服务实体经济。</w:t>
      </w:r>
      <w:r>
        <w:rPr>
          <w:rFonts w:hint="eastAsia"/>
          <w:color w:val="000000"/>
          <w:shd w:val="clear" w:color="auto" w:fill="FFFFFF"/>
        </w:rPr>
        <w:t>构建金融有效支持实体经济的体制机制，增强银行对县九大产业和重点项目服务能力，加大对轻资产企业的融资支持，提高新兴行业、中小微企业及三农融资可得性。发展多层次资本市场，</w:t>
      </w:r>
      <w:r>
        <w:rPr>
          <w:rFonts w:hint="eastAsia" w:ascii="仿宋_GB2312" w:hAnsi="仿宋_GB2312" w:cs="仿宋_GB2312"/>
          <w:color w:val="000000"/>
        </w:rPr>
        <w:t>提高直接融资比重，开展优势产业企业上市培育行动。大力发展普惠金融，持续开展民营小微企业首贷培植行动。深入推进润昌农商行等金融机构改革。加快科创金融发展，完善金融服务乡村振兴体系，更好满足乡村振兴多样化、多层次的金融需求。</w:t>
      </w:r>
      <w:bookmarkEnd w:id="76"/>
      <w:bookmarkEnd w:id="77"/>
    </w:p>
    <w:p>
      <w:pPr>
        <w:pStyle w:val="3"/>
        <w:spacing w:before="437" w:beforeLines="100" w:after="437" w:afterLines="100" w:line="620" w:lineRule="exact"/>
        <w:rPr>
          <w:rFonts w:ascii="黑体" w:hAnsi="黑体" w:eastAsia="黑体"/>
          <w:b w:val="0"/>
          <w:bCs w:val="0"/>
        </w:rPr>
      </w:pPr>
      <w:r>
        <w:rPr>
          <w:rFonts w:hint="eastAsia" w:ascii="黑体" w:hAnsi="黑体" w:eastAsia="黑体"/>
          <w:b w:val="0"/>
          <w:bCs w:val="0"/>
        </w:rPr>
        <w:t xml:space="preserve">第三十一章 </w:t>
      </w:r>
      <w:r>
        <w:rPr>
          <w:rFonts w:ascii="黑体" w:hAnsi="黑体" w:eastAsia="黑体"/>
          <w:b w:val="0"/>
          <w:bCs w:val="0"/>
        </w:rPr>
        <w:t xml:space="preserve"> </w:t>
      </w:r>
      <w:r>
        <w:rPr>
          <w:rFonts w:hint="eastAsia" w:ascii="黑体" w:hAnsi="黑体" w:eastAsia="黑体"/>
          <w:b w:val="0"/>
          <w:bCs w:val="0"/>
        </w:rPr>
        <w:t>打造一流营商环境</w:t>
      </w:r>
      <w:bookmarkEnd w:id="71"/>
    </w:p>
    <w:p>
      <w:pPr>
        <w:ind w:firstLine="640"/>
        <w:rPr>
          <w:rFonts w:ascii="仿宋_GB2312"/>
          <w:color w:val="000000"/>
        </w:rPr>
      </w:pPr>
      <w:r>
        <w:rPr>
          <w:rFonts w:hint="eastAsia" w:ascii="楷体_GB2312" w:hAnsi="仿宋_GB2312" w:eastAsia="楷体_GB2312" w:cs="仿宋_GB2312"/>
          <w:color w:val="000000"/>
        </w:rPr>
        <w:t>建设服务型政府。</w:t>
      </w:r>
      <w:r>
        <w:rPr>
          <w:rFonts w:hint="eastAsia" w:ascii="仿宋_GB2312" w:hAnsi="仿宋_GB2312" w:cs="仿宋_GB2312"/>
          <w:color w:val="000000"/>
        </w:rPr>
        <w:t>完善经济调节、市场监管、社会管理、公共服务、生态环保等职能，加强和改进宏观调控。持续推进“放管服”改革，深化“一网通办、一次办好”“一窗受理、一链办理”，让“跑一次”为上限、“不用跑”为常态，</w:t>
      </w:r>
      <w:r>
        <w:rPr>
          <w:rFonts w:hint="eastAsia" w:ascii="仿宋_GB2312" w:hAnsi="仿宋_GB2312"/>
          <w:color w:val="000000"/>
        </w:rPr>
        <w:t>打造手续最简、环节最少、成本最低、效率最高的办事流程。对审批流程持续再造，深化“多规合一”“多证合一”“多评合一”“多测合一”“多审合一”，提高办事效率，对标国际国内先进水平。建立“服务专员”“项目专员”制度，完善“</w:t>
      </w:r>
      <w:r>
        <w:rPr>
          <w:rFonts w:ascii="仿宋_GB2312" w:hAnsi="仿宋_GB2312"/>
          <w:color w:val="000000"/>
        </w:rPr>
        <w:t>12345</w:t>
      </w:r>
      <w:r>
        <w:rPr>
          <w:rFonts w:hint="eastAsia" w:ascii="仿宋_GB2312" w:hAnsi="仿宋_GB2312"/>
          <w:color w:val="000000"/>
        </w:rPr>
        <w:t>”市民热线、“企业吹哨、部门报到”等工作机制，推进“三遍访”常态化。深化政务公开，强化公众监督。稳妥有序推进事业单位改革，深化行业协会、商会和中介机构改革。健全重大政策事前评估和事后评价制度。</w:t>
      </w:r>
    </w:p>
    <w:p>
      <w:pPr>
        <w:ind w:firstLine="640"/>
        <w:rPr>
          <w:rFonts w:ascii="仿宋_GB2312"/>
          <w:color w:val="000000"/>
        </w:rPr>
      </w:pPr>
      <w:r>
        <w:rPr>
          <w:rFonts w:hint="eastAsia" w:ascii="楷体_GB2312" w:hAnsi="仿宋_GB2312" w:eastAsia="楷体_GB2312"/>
          <w:color w:val="000000"/>
        </w:rPr>
        <w:t>加强市场综合监管。</w:t>
      </w:r>
      <w:r>
        <w:rPr>
          <w:rFonts w:hint="eastAsia" w:ascii="仿宋_GB2312" w:hAnsi="仿宋_GB2312"/>
          <w:color w:val="000000"/>
        </w:rPr>
        <w:t>完善市场竞争规则，提高公平竞争审查效能，健全统一规范、权责明确、公正高效、法治保障的市场监管和反垄断执法体系，营造竞争中性的公平市场环境。开展市场准入隐性壁垒清理行动，全面实施市场准入负面清单制度。坚持“法无禁止皆可为”，对新产业新业态实施包容审慎监管。杜绝“一刀切”执法方式。深化“证照分离”改革，大力推进“证照联办”，在生产许可、项目投资审批、证明事项等领域，广泛推行承诺制，畅通审管互动机制。推行“双随机、一公开”监管方式，提升事中事后监管实效。全面推行重要产品信息化追溯体系建设，建立打击假冒伪劣商品长效机制。</w:t>
      </w:r>
    </w:p>
    <w:p>
      <w:pPr>
        <w:ind w:firstLine="640"/>
        <w:rPr>
          <w:rFonts w:ascii="仿宋_GB2312"/>
          <w:color w:val="000000"/>
        </w:rPr>
      </w:pPr>
      <w:r>
        <w:rPr>
          <w:rFonts w:hint="eastAsia" w:ascii="楷体_GB2312" w:hAnsi="仿宋_GB2312" w:eastAsia="楷体_GB2312"/>
          <w:color w:val="000000"/>
        </w:rPr>
        <w:t>建设诚信冠县。</w:t>
      </w:r>
      <w:r>
        <w:rPr>
          <w:rFonts w:hint="eastAsia" w:ascii="仿宋_GB2312" w:hAnsi="仿宋_GB2312"/>
          <w:color w:val="000000"/>
        </w:rPr>
        <w:t>弘扬诚信文化，推进“信用冠县”建设。全面落实公共信用信息数据清单、应用清单和信用联合惩戒措施清单，完善守信联合激励和失信联合惩戒制度。以社会信用代码为标识，探索建立覆盖所有机构和个人的诚信账户，做好信用修复工作。加大财政资金、公共资源、环境保护、食药安全等领域信用信息公开力度。实施信用主体分级分类监管，健全差异化监管模式。引进和培育信用服务机构，加快发展信息服务业。</w:t>
      </w:r>
    </w:p>
    <w:p>
      <w:pPr>
        <w:pStyle w:val="3"/>
        <w:spacing w:before="437" w:beforeLines="100" w:after="437" w:afterLines="100" w:line="600" w:lineRule="exact"/>
        <w:rPr>
          <w:rFonts w:ascii="黑体" w:hAnsi="黑体" w:eastAsia="黑体"/>
          <w:b w:val="0"/>
          <w:bCs w:val="0"/>
        </w:rPr>
      </w:pPr>
      <w:r>
        <w:rPr>
          <w:rFonts w:hint="eastAsia" w:ascii="黑体" w:hAnsi="黑体" w:eastAsia="黑体"/>
          <w:b w:val="0"/>
          <w:bCs w:val="0"/>
        </w:rPr>
        <w:t xml:space="preserve">第三十二章 </w:t>
      </w:r>
      <w:r>
        <w:rPr>
          <w:rFonts w:ascii="黑体" w:hAnsi="黑体" w:eastAsia="黑体"/>
          <w:b w:val="0"/>
          <w:bCs w:val="0"/>
        </w:rPr>
        <w:t xml:space="preserve"> </w:t>
      </w:r>
      <w:r>
        <w:rPr>
          <w:rFonts w:hint="eastAsia" w:ascii="黑体" w:hAnsi="黑体" w:eastAsia="黑体"/>
          <w:b w:val="0"/>
          <w:bCs w:val="0"/>
        </w:rPr>
        <w:t>加快建设法治冠县</w:t>
      </w:r>
    </w:p>
    <w:p>
      <w:pPr>
        <w:spacing w:line="580" w:lineRule="exact"/>
        <w:ind w:firstLine="640"/>
        <w:rPr>
          <w:rFonts w:ascii="仿宋_GB2312" w:cs="仿宋_GB2312"/>
          <w:color w:val="000000"/>
        </w:rPr>
      </w:pPr>
      <w:r>
        <w:rPr>
          <w:rFonts w:hint="eastAsia" w:ascii="楷体_GB2312" w:hAnsi="仿宋_GB2312" w:eastAsia="楷体_GB2312" w:cs="仿宋_GB2312"/>
          <w:color w:val="000000"/>
        </w:rPr>
        <w:t>提高依法行政水平。</w:t>
      </w:r>
      <w:r>
        <w:rPr>
          <w:rFonts w:hint="eastAsia" w:ascii="仿宋_GB2312" w:hAnsi="仿宋_GB2312" w:cs="仿宋_GB2312"/>
          <w:color w:val="000000"/>
        </w:rPr>
        <w:t>深化法治政府建设，实现各级政府事权规范化、法治化。实行政府部门权责清单制度，规范行政执法行为，依法平等保护各类市场主体产权和合法权益。全面推行行政执法公示制度、执法全过程记录制度和重大执法决定法制审核制度，健全日常监督、专项监督和个案监督相结合的行政执法监督机制。完善提升综合行政执法体制机制，推动执法重心下移。健全“投诉即办”“免罚清单”“法律服务代理”“限时清欠”机制，全面落实行政执法责任制，规范实施民法典和相关法律法规。健全和完善重大行政决策合法性审查和行政规范性文件合法性审核制度。</w:t>
      </w:r>
    </w:p>
    <w:p>
      <w:pPr>
        <w:spacing w:line="580" w:lineRule="exact"/>
        <w:ind w:firstLine="640"/>
        <w:rPr>
          <w:rFonts w:ascii="仿宋_GB2312" w:cs="仿宋_GB2312"/>
          <w:color w:val="000000"/>
        </w:rPr>
      </w:pPr>
      <w:r>
        <w:rPr>
          <w:rFonts w:hint="eastAsia" w:ascii="楷体_GB2312" w:hAnsi="仿宋_GB2312" w:eastAsia="楷体_GB2312" w:cs="仿宋_GB2312"/>
          <w:color w:val="000000"/>
        </w:rPr>
        <w:t>促进司法公正。</w:t>
      </w:r>
      <w:r>
        <w:rPr>
          <w:rFonts w:hint="eastAsia" w:ascii="仿宋_GB2312" w:hAnsi="仿宋_GB2312" w:cs="仿宋_GB2312"/>
          <w:color w:val="000000"/>
        </w:rPr>
        <w:t>持续深化司法体制综合配套改革，全面落实司法责任制，完善审判权力运行机制。深入推进诉讼流程再造和审判模式创新，加快一站式多元解纷机制和诉讼服务体系建设，打造分调裁审无缝衔接的新型办案模式，促进审判体系和审判能力现代化。健全阳光司法机制，排除对司法活动的非法干预。解决执行难问题，充分发挥联合惩戒机制作用，积极营造全社会尊重和服从司法裁判的良好氛围，树立司法公信权威。</w:t>
      </w:r>
    </w:p>
    <w:p>
      <w:pPr>
        <w:spacing w:line="580" w:lineRule="exact"/>
        <w:ind w:firstLine="640"/>
        <w:rPr>
          <w:rFonts w:ascii="仿宋_GB2312" w:cs="仿宋_GB2312"/>
          <w:color w:val="000000"/>
        </w:rPr>
      </w:pPr>
      <w:r>
        <w:rPr>
          <w:rFonts w:hint="eastAsia" w:ascii="楷体_GB2312" w:hAnsi="仿宋_GB2312" w:eastAsia="楷体_GB2312" w:cs="仿宋_GB2312"/>
          <w:color w:val="000000"/>
        </w:rPr>
        <w:t>提高公共法律服务质量。</w:t>
      </w:r>
      <w:r>
        <w:rPr>
          <w:rFonts w:hint="eastAsia" w:ascii="仿宋_GB2312" w:hAnsi="仿宋_GB2312" w:cs="仿宋_GB2312"/>
          <w:color w:val="000000"/>
        </w:rPr>
        <w:t>建设社会主义法治文化，强化法治宣传教育，增强全面法治观念，提升尊法守法行动自觉。深入开展民法典“十进”活动，扎实开展青年普法志愿者法治文化基层行活动。充分发挥法学教育基础性、先导性作用，推进法治专门队伍正规化、专业化、职业化，努力培养造就一大批高素质法治人才及后备力量。深化律师执业管理制度，加强律师队伍建设。加强法律援助和司法救助，发挥仲裁在基层社会治理中的积极作用。</w:t>
      </w:r>
    </w:p>
    <w:p>
      <w:pPr>
        <w:pStyle w:val="2"/>
        <w:spacing w:before="655" w:beforeLines="150" w:after="218"/>
        <w:rPr>
          <w:rFonts w:ascii="方正小标宋简体" w:hAnsi="宋体" w:eastAsia="方正小标宋简体" w:cs="宋体"/>
          <w:sz w:val="36"/>
          <w:szCs w:val="36"/>
        </w:rPr>
      </w:pPr>
      <w:bookmarkStart w:id="78" w:name="_Toc60646256"/>
      <w:r>
        <w:rPr>
          <w:rFonts w:hint="eastAsia" w:ascii="方正小标宋简体" w:hAnsi="宋体" w:eastAsia="方正小标宋简体" w:cs="宋体"/>
          <w:sz w:val="36"/>
          <w:szCs w:val="36"/>
        </w:rPr>
        <w:t xml:space="preserve">第九篇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开创文化</w:t>
      </w:r>
      <w:bookmarkEnd w:id="78"/>
      <w:r>
        <w:rPr>
          <w:rFonts w:hint="eastAsia" w:ascii="方正小标宋简体" w:hAnsi="宋体" w:eastAsia="方正小标宋简体" w:cs="宋体"/>
          <w:sz w:val="36"/>
          <w:szCs w:val="36"/>
        </w:rPr>
        <w:t>建设新局面</w:t>
      </w:r>
    </w:p>
    <w:p>
      <w:pPr>
        <w:ind w:firstLine="672"/>
        <w:jc w:val="left"/>
        <w:rPr>
          <w:rFonts w:ascii="仿宋_GB2312" w:hAnsi="Arial" w:cs="Arial"/>
          <w:color w:val="000000"/>
          <w:spacing w:val="8"/>
          <w:kern w:val="0"/>
          <w:shd w:val="clear" w:color="auto" w:fill="FFFFFF"/>
        </w:rPr>
      </w:pPr>
      <w:r>
        <w:rPr>
          <w:rFonts w:hint="eastAsia" w:ascii="仿宋_GB2312" w:hAnsi="Arial" w:cs="Arial"/>
          <w:color w:val="000000"/>
          <w:spacing w:val="8"/>
          <w:kern w:val="0"/>
          <w:shd w:val="clear" w:color="auto" w:fill="FFFFFF"/>
        </w:rPr>
        <w:t>坚持以社会主义核心价值观引领文化建设，加强社会主义精神文明建设</w:t>
      </w:r>
      <w:r>
        <w:rPr>
          <w:rFonts w:ascii="仿宋_GB2312" w:hAnsi="Arial" w:cs="Arial"/>
          <w:color w:val="000000"/>
          <w:spacing w:val="8"/>
          <w:kern w:val="0"/>
          <w:shd w:val="clear" w:color="auto" w:fill="FFFFFF"/>
        </w:rPr>
        <w:t>,</w:t>
      </w:r>
      <w:r>
        <w:rPr>
          <w:rFonts w:hint="eastAsia" w:ascii="仿宋_GB2312" w:hAnsi="Arial" w:cs="Arial"/>
          <w:color w:val="000000"/>
          <w:spacing w:val="8"/>
          <w:kern w:val="0"/>
          <w:shd w:val="clear" w:color="auto" w:fill="FFFFFF"/>
        </w:rPr>
        <w:t>提升文化公共服务水平，挖掘文化资源，培育城市文化品牌，提升冠县知名度和美誉度。</w:t>
      </w:r>
    </w:p>
    <w:p>
      <w:pPr>
        <w:pStyle w:val="3"/>
        <w:spacing w:before="437" w:beforeLines="100" w:after="437" w:afterLines="100" w:line="600" w:lineRule="exact"/>
        <w:rPr>
          <w:rFonts w:ascii="黑体" w:hAnsi="黑体" w:eastAsia="黑体"/>
          <w:b w:val="0"/>
          <w:bCs w:val="0"/>
        </w:rPr>
      </w:pPr>
      <w:bookmarkStart w:id="79" w:name="_Toc60646257"/>
      <w:r>
        <w:rPr>
          <w:rFonts w:hint="eastAsia" w:ascii="黑体" w:hAnsi="黑体" w:eastAsia="黑体"/>
          <w:b w:val="0"/>
          <w:bCs w:val="0"/>
        </w:rPr>
        <w:t xml:space="preserve">第三十三章 </w:t>
      </w:r>
      <w:r>
        <w:rPr>
          <w:rFonts w:ascii="黑体" w:hAnsi="黑体" w:eastAsia="黑体"/>
          <w:b w:val="0"/>
          <w:bCs w:val="0"/>
        </w:rPr>
        <w:t xml:space="preserve"> </w:t>
      </w:r>
      <w:r>
        <w:rPr>
          <w:rFonts w:hint="eastAsia" w:ascii="黑体" w:hAnsi="黑体" w:eastAsia="黑体"/>
          <w:b w:val="0"/>
          <w:bCs w:val="0"/>
        </w:rPr>
        <w:t>建设文明冠县</w:t>
      </w:r>
    </w:p>
    <w:bookmarkEnd w:id="79"/>
    <w:p>
      <w:pPr>
        <w:spacing w:line="600" w:lineRule="exact"/>
        <w:ind w:firstLine="640"/>
      </w:pPr>
      <w:r>
        <w:rPr>
          <w:rFonts w:hint="eastAsia" w:ascii="楷体_GB2312" w:eastAsia="楷体_GB2312"/>
        </w:rPr>
        <w:t>筑牢理想信念基础。</w:t>
      </w:r>
      <w:r>
        <w:rPr>
          <w:rFonts w:hint="eastAsia"/>
        </w:rPr>
        <w:t>深入开展习近平新时代中国特色社会主义思想学习教育，推动形成适应新时代要求的思想观念、精神面貌、文明风尚、行为规范。落实“不忘初心、牢记使命”制度，推动理想信念教育常态化制度化，加强党史、新中国史、改革开放史、社会主义发展史教育，加强爱国主义、集体主义、社会主义教育。完善党委（党组）理论中心组等各层级学习制度。</w:t>
      </w:r>
    </w:p>
    <w:p>
      <w:pPr>
        <w:spacing w:line="600" w:lineRule="exact"/>
        <w:ind w:firstLine="640"/>
      </w:pPr>
      <w:r>
        <w:rPr>
          <w:rFonts w:hint="eastAsia" w:ascii="楷体_GB2312" w:eastAsia="楷体_GB2312"/>
        </w:rPr>
        <w:t>提高市民文明素养。</w:t>
      </w:r>
      <w:r>
        <w:rPr>
          <w:rFonts w:hint="eastAsia"/>
        </w:rPr>
        <w:t>引导人民群众把社会主义核心价值观作为明德修身、立德树人的根本遵循，将其融入日常生活。深入实施新时代公民道德建设行动，加强社会公德、职业道德、家庭美德、个人品德建设，持续强化教育引导、实践养成、制度保障。深化群众性精神文明创建，深入开展文明单位、文明校园创建活动，提升文明城市创建水平。建好用好新时代文明实践中心，培育文明乡风、良好家风、淳朴民风。大力宣传展示“最美故事”“最美人物”“最美冠县”。健全志愿服务体系，广泛开展志愿服务关爱行动。加强家庭、家教、家风建设。加强网络文明建设，营造清朗网络空间。</w:t>
      </w:r>
    </w:p>
    <w:p>
      <w:pPr>
        <w:spacing w:line="620" w:lineRule="exact"/>
        <w:ind w:firstLine="640"/>
        <w:rPr>
          <w:rFonts w:ascii="仿宋_GB2312" w:cs="仿宋_GB2312"/>
          <w:color w:val="000000"/>
        </w:rPr>
      </w:pPr>
      <w:r>
        <w:rPr>
          <w:rFonts w:hint="eastAsia" w:ascii="楷体_GB2312" w:eastAsia="楷体_GB2312"/>
        </w:rPr>
        <w:t>弘扬传承红色基因。</w:t>
      </w:r>
      <w:r>
        <w:rPr>
          <w:rFonts w:hint="eastAsia" w:ascii="仿宋_GB2312"/>
        </w:rPr>
        <w:t>依托</w:t>
      </w:r>
      <w:r>
        <w:rPr>
          <w:rFonts w:hint="eastAsia" w:ascii="仿宋_GB2312" w:hAnsi="仿宋_GB2312" w:cs="仿宋_GB2312"/>
          <w:color w:val="000000"/>
        </w:rPr>
        <w:t>中共鲁西北地委旧址、王村支部旧址、六十二烈士墓、</w:t>
      </w:r>
      <w:r>
        <w:rPr>
          <w:rFonts w:hint="eastAsia" w:ascii="仿宋_GB2312" w:hAnsi="仿宋_GB2312" w:cs="仿宋_GB2312"/>
        </w:rPr>
        <w:t>赵建民故居</w:t>
      </w:r>
      <w:r>
        <w:rPr>
          <w:rFonts w:hint="eastAsia" w:ascii="仿宋_GB2312" w:hAnsi="仿宋_GB2312" w:cs="仿宋_GB2312"/>
          <w:color w:val="000000"/>
        </w:rPr>
        <w:t>等，打造红色文化保护传承基地，推进爱国主义教育基地建设。创新革命文化传播方式，鼓励社会资本参与红色文化保护利用，加强红色文化旅游产业建设，推进红色文化资源多元化利用。</w:t>
      </w:r>
    </w:p>
    <w:p>
      <w:pPr>
        <w:pStyle w:val="3"/>
        <w:spacing w:before="437" w:beforeLines="100" w:after="437" w:afterLines="100" w:line="600" w:lineRule="exact"/>
        <w:rPr>
          <w:rFonts w:ascii="黑体" w:hAnsi="黑体" w:eastAsia="黑体" w:cs="仿宋_GB2312"/>
          <w:b w:val="0"/>
          <w:bCs w:val="0"/>
          <w:color w:val="000000"/>
        </w:rPr>
      </w:pPr>
      <w:r>
        <w:rPr>
          <w:rFonts w:hint="eastAsia" w:ascii="黑体" w:hAnsi="黑体" w:eastAsia="黑体" w:cs="仿宋_GB2312"/>
          <w:b w:val="0"/>
          <w:bCs w:val="0"/>
          <w:color w:val="000000"/>
        </w:rPr>
        <w:t xml:space="preserve">第三十四章 </w:t>
      </w:r>
      <w:r>
        <w:rPr>
          <w:rFonts w:ascii="黑体" w:hAnsi="黑体" w:eastAsia="黑体" w:cs="仿宋_GB2312"/>
          <w:b w:val="0"/>
          <w:bCs w:val="0"/>
          <w:color w:val="000000"/>
        </w:rPr>
        <w:t xml:space="preserve"> </w:t>
      </w:r>
      <w:r>
        <w:rPr>
          <w:rFonts w:hint="eastAsia" w:ascii="黑体" w:hAnsi="黑体" w:eastAsia="黑体" w:cs="仿宋_GB2312"/>
          <w:b w:val="0"/>
          <w:bCs w:val="0"/>
          <w:color w:val="000000"/>
        </w:rPr>
        <w:t>提高文化软实力</w:t>
      </w:r>
    </w:p>
    <w:p>
      <w:pPr>
        <w:spacing w:line="620" w:lineRule="exact"/>
        <w:ind w:firstLine="640"/>
        <w:rPr>
          <w:rFonts w:ascii="仿宋_GB2312"/>
          <w:color w:val="000000"/>
        </w:rPr>
      </w:pPr>
      <w:r>
        <w:rPr>
          <w:rFonts w:hint="eastAsia" w:ascii="楷体_GB2312" w:hAnsi="仿宋_GB2312" w:eastAsia="楷体_GB2312" w:cs="仿宋_GB2312"/>
          <w:color w:val="000000"/>
        </w:rPr>
        <w:t>提升公共文化服务水平。</w:t>
      </w:r>
      <w:r>
        <w:rPr>
          <w:rFonts w:hint="eastAsia" w:ascii="Arial" w:hAnsi="Arial" w:cs="Arial"/>
          <w:color w:val="000000"/>
          <w:spacing w:val="8"/>
          <w:kern w:val="0"/>
          <w:shd w:val="clear" w:color="auto" w:fill="FFFFFF"/>
        </w:rPr>
        <w:t>推进城乡公共文化服务体系一体建设，广泛开展群众性文化活动，提升基层综合性文化服务中心整体功能。促进公共文化设施资源共建共享，完善县乡村三级公共文化服务阵地网络，构建“城市一刻钟、农村半小时”公共文化服务圈。建成用好冠县图书馆、档案馆等重大文化场馆。</w:t>
      </w:r>
      <w:r>
        <w:rPr>
          <w:rFonts w:hint="eastAsia" w:ascii="仿宋_GB2312"/>
          <w:color w:val="000000"/>
        </w:rPr>
        <w:t>推动公共文化数字化建设，积极建设数字图书馆、数字文化馆。推进媒体深度融合，发展智慧广电，建好县融媒体中心，积极传播冠县声音、讲好冠县故事。</w:t>
      </w:r>
    </w:p>
    <w:p>
      <w:pPr>
        <w:spacing w:line="620" w:lineRule="exact"/>
        <w:ind w:firstLine="640"/>
        <w:rPr>
          <w:rFonts w:ascii="仿宋_GB2312"/>
          <w:color w:val="000000"/>
        </w:rPr>
      </w:pPr>
      <w:r>
        <w:rPr>
          <w:rFonts w:hint="eastAsia" w:ascii="楷体_GB2312" w:hAnsi="仿宋_GB2312" w:eastAsia="楷体_GB2312" w:cs="仿宋_GB2312"/>
          <w:color w:val="000000"/>
        </w:rPr>
        <w:t>加强文化遗产保护。</w:t>
      </w:r>
      <w:r>
        <w:rPr>
          <w:rFonts w:hint="eastAsia" w:ascii="仿宋_GB2312" w:hAnsi="仿宋_GB2312" w:cs="仿宋_GB2312"/>
          <w:color w:val="000000"/>
        </w:rPr>
        <w:t>深化文物保护制度改革，加强</w:t>
      </w:r>
      <w:r>
        <w:rPr>
          <w:rFonts w:hint="eastAsia" w:ascii="仿宋_GB2312"/>
          <w:color w:val="000000"/>
        </w:rPr>
        <w:t>萧城遗址、中共鲁西北地委旧址等</w:t>
      </w:r>
      <w:r>
        <w:rPr>
          <w:rFonts w:hint="eastAsia" w:ascii="仿宋_GB2312" w:hAnsi="仿宋_GB2312" w:cs="仿宋_GB2312"/>
          <w:color w:val="000000"/>
        </w:rPr>
        <w:t>文物古迹保护、研究、利用。</w:t>
      </w:r>
      <w:r>
        <w:rPr>
          <w:rFonts w:hint="eastAsia" w:ascii="仿宋_GB2312"/>
          <w:color w:val="000000"/>
        </w:rPr>
        <w:t>加强查拳、柳林花鼓、蛤蟆嗡等非物质文化遗产的保护传承。加强冉子、元好问等历史名人文化保护传承。</w:t>
      </w:r>
    </w:p>
    <w:p>
      <w:pPr>
        <w:ind w:firstLine="640"/>
        <w:rPr>
          <w:rFonts w:ascii="仿宋_GB2312" w:cs="仿宋_GB2312"/>
          <w:color w:val="000000"/>
        </w:rPr>
      </w:pPr>
      <w:r>
        <w:rPr>
          <w:rFonts w:hint="eastAsia" w:ascii="楷体_GB2312" w:hAnsi="仿宋_GB2312" w:eastAsia="楷体_GB2312" w:cs="仿宋_GB2312"/>
          <w:color w:val="000000"/>
        </w:rPr>
        <w:t>推动文化艺术繁荣发展。</w:t>
      </w:r>
      <w:r>
        <w:rPr>
          <w:rFonts w:hint="eastAsia" w:ascii="仿宋_GB2312" w:hAnsi="仿宋_GB2312" w:cs="仿宋_GB2312"/>
          <w:color w:val="000000"/>
        </w:rPr>
        <w:t>坚持以人民为中心的创作导向，充分挖掘冠县优秀传统文化、革命文化和社会主义先进文化，推出思想精深、艺术精湛、制作精良的文化艺术精品。大力倡导全民阅读，提升“农家书屋”，推广“城市书房”，加快建设“书香冠县”。加强文化人才队伍建设，重点培育一批优秀文化传承人。</w:t>
      </w:r>
    </w:p>
    <w:p>
      <w:pPr>
        <w:ind w:firstLine="640"/>
        <w:rPr>
          <w:rFonts w:ascii="仿宋_GB2312" w:cs="仿宋_GB2312"/>
          <w:color w:val="000000"/>
        </w:rPr>
      </w:pPr>
    </w:p>
    <w:p>
      <w:pPr>
        <w:pStyle w:val="2"/>
        <w:spacing w:before="655" w:beforeLines="150" w:after="218"/>
        <w:rPr>
          <w:rFonts w:ascii="方正小标宋简体" w:eastAsia="方正小标宋简体"/>
          <w:sz w:val="36"/>
          <w:szCs w:val="36"/>
        </w:rPr>
      </w:pPr>
      <w:bookmarkStart w:id="80" w:name="_Toc60646261"/>
      <w:r>
        <w:rPr>
          <w:rFonts w:hint="eastAsia" w:ascii="方正小标宋简体" w:hAnsi="宋体" w:eastAsia="方正小标宋简体" w:cs="宋体"/>
          <w:sz w:val="36"/>
          <w:szCs w:val="36"/>
        </w:rPr>
        <w:t>第十篇</w:t>
      </w:r>
      <w:bookmarkEnd w:id="80"/>
      <w:r>
        <w:rPr>
          <w:rFonts w:hint="eastAsia" w:ascii="方正小标宋简体" w:hAnsi="宋体" w:eastAsia="方正小标宋简体" w:cs="宋体"/>
          <w:sz w:val="36"/>
          <w:szCs w:val="36"/>
        </w:rPr>
        <w:t xml:space="preserve">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谱写绿色发展新篇章</w:t>
      </w:r>
    </w:p>
    <w:p>
      <w:pPr>
        <w:ind w:firstLine="672"/>
        <w:jc w:val="left"/>
        <w:rPr>
          <w:rFonts w:ascii="Arial" w:hAnsi="Arial" w:cs="Arial"/>
          <w:color w:val="000000"/>
          <w:spacing w:val="8"/>
          <w:kern w:val="0"/>
          <w:shd w:val="clear" w:color="auto" w:fill="FFFFFF"/>
        </w:rPr>
      </w:pPr>
      <w:r>
        <w:rPr>
          <w:rFonts w:hint="eastAsia" w:ascii="Arial" w:hAnsi="Arial" w:cs="Arial"/>
          <w:color w:val="000000"/>
          <w:spacing w:val="8"/>
          <w:kern w:val="0"/>
          <w:shd w:val="clear" w:color="auto" w:fill="FFFFFF"/>
        </w:rPr>
        <w:t>深入贯彻落实习近平生态文明思想，</w:t>
      </w:r>
      <w:r>
        <w:rPr>
          <w:rFonts w:hint="eastAsia" w:ascii="仿宋_GB2312" w:hAnsi="仿宋"/>
          <w:color w:val="000000"/>
        </w:rPr>
        <w:t>牢固树立和践行</w:t>
      </w:r>
      <w:r>
        <w:rPr>
          <w:rFonts w:hint="eastAsia" w:ascii="Arial" w:hAnsi="Arial" w:cs="Arial"/>
          <w:color w:val="000000"/>
          <w:spacing w:val="8"/>
          <w:kern w:val="0"/>
          <w:shd w:val="clear" w:color="auto" w:fill="FFFFFF"/>
        </w:rPr>
        <w:t>绿水青山就是金山银山理念，</w:t>
      </w:r>
      <w:r>
        <w:rPr>
          <w:rFonts w:hint="eastAsia" w:ascii="仿宋_GB2312"/>
          <w:color w:val="000000"/>
        </w:rPr>
        <w:t>推进生态文明建设，实现绿色发展，</w:t>
      </w:r>
      <w:r>
        <w:rPr>
          <w:rFonts w:hint="eastAsia" w:ascii="Arial" w:hAnsi="Arial" w:cs="Arial"/>
          <w:color w:val="000000"/>
          <w:spacing w:val="8"/>
          <w:kern w:val="0"/>
          <w:shd w:val="clear" w:color="auto" w:fill="FFFFFF"/>
        </w:rPr>
        <w:t>促进人与自然和谐共生。</w:t>
      </w:r>
    </w:p>
    <w:p>
      <w:pPr>
        <w:pStyle w:val="3"/>
        <w:spacing w:before="437" w:beforeLines="100" w:after="437" w:afterLines="100" w:line="600" w:lineRule="exact"/>
        <w:rPr>
          <w:rFonts w:ascii="黑体" w:hAnsi="黑体" w:eastAsia="黑体" w:cs="仿宋_GB2312"/>
          <w:b w:val="0"/>
          <w:bCs w:val="0"/>
          <w:color w:val="000000"/>
        </w:rPr>
      </w:pPr>
      <w:bookmarkStart w:id="81" w:name="_Toc60646262"/>
      <w:r>
        <w:rPr>
          <w:rFonts w:hint="eastAsia" w:ascii="黑体" w:hAnsi="黑体" w:eastAsia="黑体" w:cs="仿宋_GB2312"/>
          <w:b w:val="0"/>
          <w:bCs w:val="0"/>
          <w:color w:val="000000"/>
        </w:rPr>
        <w:t xml:space="preserve">第三十五章 </w:t>
      </w:r>
      <w:r>
        <w:rPr>
          <w:rFonts w:ascii="黑体" w:hAnsi="黑体" w:eastAsia="黑体" w:cs="仿宋_GB2312"/>
          <w:b w:val="0"/>
          <w:bCs w:val="0"/>
          <w:color w:val="000000"/>
        </w:rPr>
        <w:t xml:space="preserve"> </w:t>
      </w:r>
      <w:r>
        <w:rPr>
          <w:rFonts w:hint="eastAsia" w:ascii="黑体" w:hAnsi="黑体" w:eastAsia="黑体" w:cs="仿宋_GB2312"/>
          <w:b w:val="0"/>
          <w:bCs w:val="0"/>
          <w:color w:val="000000"/>
        </w:rPr>
        <w:t>推动绿色低碳发展</w:t>
      </w:r>
      <w:bookmarkEnd w:id="81"/>
    </w:p>
    <w:p>
      <w:pPr>
        <w:pStyle w:val="4"/>
        <w:spacing w:afterLines="0" w:line="600" w:lineRule="exact"/>
        <w:ind w:firstLine="640"/>
        <w:rPr>
          <w:rFonts w:ascii="仿宋_GB2312" w:hAnsi="仿宋_GB2312" w:eastAsia="仿宋_GB2312"/>
        </w:rPr>
      </w:pPr>
      <w:bookmarkStart w:id="82" w:name="_Toc60646263"/>
      <w:r>
        <w:rPr>
          <w:rFonts w:hint="eastAsia" w:ascii="楷体_GB2312" w:eastAsia="楷体_GB2312"/>
        </w:rPr>
        <w:t>积极应对气候变化。</w:t>
      </w:r>
      <w:r>
        <w:rPr>
          <w:rFonts w:hint="eastAsia" w:ascii="仿宋_GB2312" w:hAnsi="仿宋_GB2312" w:eastAsia="仿宋_GB2312"/>
        </w:rPr>
        <w:t>推进工业、能源、建筑、交通等重点领域低碳发展。大力发展新能源和可再生能源，降低化石能源利用占比，继续严格控制煤炭消费总量，推进煤炭消费减量替代。推动应对气候变化与环境污染防治统筹融合、协同增效，推进多污染协同控制。提高国土空间绿化比例，持续增加森林碳汇。全力推进二氧化碳排放达峰行动，强化应对气候变化能力建设，</w:t>
      </w:r>
      <w:r>
        <w:rPr>
          <w:rFonts w:ascii="仿宋_GB2312" w:hAnsi="仿宋_GB2312" w:eastAsia="仿宋_GB2312"/>
        </w:rPr>
        <w:t>2027</w:t>
      </w:r>
      <w:r>
        <w:rPr>
          <w:rFonts w:hint="eastAsia" w:ascii="仿宋_GB2312" w:hAnsi="仿宋_GB2312" w:eastAsia="仿宋_GB2312"/>
        </w:rPr>
        <w:t>年与全市同步实现碳排放达峰目标。</w:t>
      </w:r>
    </w:p>
    <w:p>
      <w:pPr>
        <w:spacing w:line="600" w:lineRule="exact"/>
        <w:ind w:firstLine="640"/>
      </w:pPr>
      <w:r>
        <w:rPr>
          <w:rFonts w:hint="eastAsia" w:ascii="楷体_GB2312" w:eastAsia="楷体_GB2312"/>
        </w:rPr>
        <w:t>发展绿色生产方式。</w:t>
      </w:r>
      <w:r>
        <w:rPr>
          <w:rFonts w:hint="eastAsia" w:ascii="仿宋_GB2312" w:hAnsi="仿宋_GB2312"/>
        </w:rPr>
        <w:t>实施新一轮“四减四增”五年行动计划，加快优化能源结构、产业结构、交通运输结构、农业投入结构。实施绿色制造、节能降耗、循环发展行动计划，分行业分领域制定淘汰落后产能和改造提升传统动能标准。</w:t>
      </w:r>
      <w:r>
        <w:rPr>
          <w:rFonts w:hint="eastAsia"/>
        </w:rPr>
        <w:t>开展企业清洁生产领跑行动，充分运用单位能耗产出效益综合评价结果，严格落实高耗能行业差别化政策，引导重点行业和重点领域绿色化改造</w:t>
      </w:r>
      <w:r>
        <w:rPr>
          <w:rFonts w:hint="eastAsia"/>
          <w:color w:val="C00000"/>
        </w:rPr>
        <w:t>。</w:t>
      </w:r>
      <w:r>
        <w:rPr>
          <w:rFonts w:hint="eastAsia"/>
        </w:rPr>
        <w:t>实施煤炭消费总量控制和清洁高效利用，落实清洁能源倍增行动。推进绿色制造体系建设，实施节能改造和清洁生产技术应用，推广合同能源管理和环境污染第三方治理，促进全产业链和产品生命周期绿色发展。推进循环经济、清洁生产和生态工业园区建设，发展壮大环保产业，加快推动精品钢板、纺织服装、农副产品加工、装备制造、建筑等传统产业绿色化改造，加快培育新能源、新材料、节能环保、生态农业、生态康养等绿色产业，调整优化不符合生态环境功能定位的产业布局。推进环境污染第三方治理、环保管家等环境治理模式，探索开展生态环境导向的城市开发模式。发展绿色建筑和装配式建筑，推进建筑节能，发展绿色金融，支持绿色技术创新。</w:t>
      </w:r>
      <w:bookmarkStart w:id="83" w:name="_Toc60646264"/>
    </w:p>
    <w:p>
      <w:pPr>
        <w:spacing w:line="600" w:lineRule="exact"/>
        <w:ind w:firstLine="640"/>
        <w:rPr>
          <w:rFonts w:ascii="仿宋_GB2312"/>
        </w:rPr>
      </w:pPr>
      <w:r>
        <w:rPr>
          <w:rFonts w:hint="eastAsia" w:ascii="楷体_GB2312" w:eastAsia="楷体_GB2312"/>
          <w:bCs/>
          <w:szCs w:val="32"/>
        </w:rPr>
        <w:t>倡导绿色生活方式</w:t>
      </w:r>
      <w:bookmarkEnd w:id="83"/>
      <w:r>
        <w:rPr>
          <w:rFonts w:hint="eastAsia" w:ascii="楷体_GB2312" w:eastAsia="楷体_GB2312"/>
          <w:b/>
          <w:bCs/>
          <w:szCs w:val="32"/>
        </w:rPr>
        <w:t>。</w:t>
      </w:r>
      <w:r>
        <w:rPr>
          <w:rFonts w:hint="eastAsia" w:ascii="仿宋_GB2312" w:hAnsi="仿宋_GB2312"/>
        </w:rPr>
        <w:t>结合文明城市创建活动，倡导简约适度、绿色低碳的生活方式，深化落实政府绿色采购制度，广泛开展绿色家庭、绿色学校和绿色社区等绿色生活创建行动，宣传推广低碳环保的生活理念，形成全民参与、崇尚绿色生活的社会氛围。提高公民环保素养，将生态环境教育全面融入国民教育体系，促进公众以实际行动参与生态环境保护。实施全民节能行动计划，推广节水、节电等技术，强化节能标准。鼓励绿色出行，</w:t>
      </w:r>
      <w:r>
        <w:rPr>
          <w:rFonts w:hint="eastAsia" w:ascii="仿宋_GB2312" w:hAnsi="仿宋_GB2312"/>
          <w:lang w:val="zh-CN"/>
        </w:rPr>
        <w:t>加快城市绿色公共交通体系和交通工具公共租赁体系建设。</w:t>
      </w:r>
      <w:r>
        <w:rPr>
          <w:rFonts w:hint="eastAsia" w:ascii="仿宋_GB2312" w:hAnsi="仿宋_GB2312"/>
        </w:rPr>
        <w:t>全面推行绿色办公，推进信息系统建设和数据共享共用，积极推行无纸化办公，推进节约型公共机构建设。积极培育绿色消费市场，推进绿色消费。健全环境决策公众参与机制，完善监督举报、环境公益诉讼等机制。</w:t>
      </w:r>
    </w:p>
    <w:bookmarkEnd w:id="82"/>
    <w:p>
      <w:pPr>
        <w:pStyle w:val="3"/>
        <w:spacing w:before="437" w:beforeLines="100" w:after="437" w:afterLines="100" w:line="600" w:lineRule="exact"/>
        <w:rPr>
          <w:rFonts w:ascii="黑体" w:hAnsi="黑体" w:eastAsia="黑体" w:cs="仿宋_GB2312"/>
          <w:b w:val="0"/>
          <w:bCs w:val="0"/>
          <w:color w:val="000000"/>
        </w:rPr>
      </w:pPr>
      <w:bookmarkStart w:id="84" w:name="_Toc60646265"/>
      <w:r>
        <w:rPr>
          <w:rFonts w:hint="eastAsia" w:ascii="黑体" w:hAnsi="黑体" w:eastAsia="黑体" w:cs="仿宋_GB2312"/>
          <w:b w:val="0"/>
          <w:bCs w:val="0"/>
          <w:color w:val="000000"/>
        </w:rPr>
        <w:t>第三十六章</w:t>
      </w:r>
      <w:bookmarkEnd w:id="84"/>
      <w:r>
        <w:rPr>
          <w:rFonts w:hint="eastAsia" w:ascii="黑体" w:hAnsi="黑体" w:eastAsia="黑体" w:cs="仿宋_GB2312"/>
          <w:b w:val="0"/>
          <w:bCs w:val="0"/>
          <w:color w:val="000000"/>
        </w:rPr>
        <w:t xml:space="preserve"> </w:t>
      </w:r>
      <w:r>
        <w:rPr>
          <w:rFonts w:ascii="黑体" w:hAnsi="黑体" w:eastAsia="黑体" w:cs="仿宋_GB2312"/>
          <w:b w:val="0"/>
          <w:bCs w:val="0"/>
          <w:color w:val="000000"/>
        </w:rPr>
        <w:t xml:space="preserve"> </w:t>
      </w:r>
      <w:r>
        <w:rPr>
          <w:rFonts w:hint="eastAsia" w:ascii="黑体" w:hAnsi="黑体" w:eastAsia="黑体" w:cs="仿宋_GB2312"/>
          <w:b w:val="0"/>
          <w:bCs w:val="0"/>
          <w:color w:val="000000"/>
        </w:rPr>
        <w:t>开展污染防治攻坚</w:t>
      </w:r>
    </w:p>
    <w:p>
      <w:pPr>
        <w:spacing w:line="600" w:lineRule="exact"/>
        <w:ind w:firstLine="640"/>
        <w:rPr>
          <w:rFonts w:ascii="仿宋_GB2312"/>
        </w:rPr>
      </w:pPr>
      <w:bookmarkStart w:id="85" w:name="_Toc60646266"/>
      <w:r>
        <w:rPr>
          <w:rFonts w:hint="eastAsia" w:ascii="楷体_GB2312" w:hAnsi="楷体_GB2312" w:eastAsia="楷体_GB2312" w:cs="楷体_GB2312"/>
          <w:lang w:val="zh-CN"/>
        </w:rPr>
        <w:t>推进大气生态环境</w:t>
      </w:r>
      <w:bookmarkEnd w:id="85"/>
      <w:r>
        <w:rPr>
          <w:rFonts w:hint="eastAsia" w:ascii="楷体_GB2312" w:hAnsi="楷体_GB2312" w:eastAsia="楷体_GB2312" w:cs="楷体_GB2312"/>
          <w:lang w:val="zh-CN"/>
        </w:rPr>
        <w:t>治理。</w:t>
      </w:r>
      <w:r>
        <w:rPr>
          <w:rFonts w:hint="eastAsia" w:ascii="仿宋_GB2312"/>
        </w:rPr>
        <w:t>抓好重点区域、行业、企业和时段污染防治，突出抓好燃煤压减、扬尘控制、重型柴油车管控等工作，加强细颗粒物和臭氧协同控制，持续打造天空“蓝”。落实排污许可证管理制度，加强涉气工业企业治理，严格控制钢板、纺织等重点行业有机废气和工业扬尘排放管控，严控涉</w:t>
      </w:r>
      <w:r>
        <w:rPr>
          <w:rFonts w:ascii="仿宋_GB2312"/>
        </w:rPr>
        <w:t>NOx</w:t>
      </w:r>
      <w:r>
        <w:rPr>
          <w:rFonts w:hint="eastAsia" w:ascii="仿宋_GB2312"/>
        </w:rPr>
        <w:t>、</w:t>
      </w:r>
      <w:r>
        <w:rPr>
          <w:rFonts w:ascii="仿宋_GB2312"/>
        </w:rPr>
        <w:t>VOCs</w:t>
      </w:r>
      <w:r>
        <w:rPr>
          <w:rFonts w:hint="eastAsia" w:ascii="仿宋_GB2312"/>
        </w:rPr>
        <w:t>排放的工业项目。建立“散乱污”企业动态管理机制，坚决杜绝“散乱污”企业项目建设和已取缔的“散乱污”企业异地转移、死灰复燃。</w:t>
      </w:r>
      <w:r>
        <w:rPr>
          <w:rFonts w:hint="eastAsia" w:ascii="仿宋_GB2312"/>
          <w:lang w:val="zh-CN"/>
        </w:rPr>
        <w:t>推进工业炉窑和挥发性有机物综合治理，加大燃煤锅炉淘汰力度，实施工业炉窑升级改造和深度治理，严肃查处超标排放、偷排偷放等环境违法行为。</w:t>
      </w:r>
      <w:r>
        <w:rPr>
          <w:rFonts w:hint="eastAsia" w:ascii="仿宋_GB2312"/>
        </w:rPr>
        <w:t>健全施工工地扬尘治理网格化管理机制，落实“六个百分百”要求，完善建筑工地智慧监管平台，切实改善扬尘污染问题。积极应对重污染天气，加强钢铁、电力等重点工业企业错峰生产调控力度。</w:t>
      </w:r>
      <w:r>
        <w:rPr>
          <w:rFonts w:hint="eastAsia" w:ascii="仿宋_GB2312"/>
          <w:lang w:val="zh-CN"/>
        </w:rPr>
        <w:t>积极应对气候变化，强化温室气体排放管理，实施臭氧污染防治靶向性防控，</w:t>
      </w:r>
      <w:r>
        <w:rPr>
          <w:rFonts w:hint="eastAsia" w:ascii="仿宋_GB2312"/>
        </w:rPr>
        <w:t>积极开展二氧化碳总量控制和碳排放权交易，推进应对气候变化与污染治理、生态系统保护修复等工作协同增效。</w:t>
      </w:r>
      <w:r>
        <w:rPr>
          <w:rFonts w:hint="eastAsia" w:ascii="仿宋_GB2312"/>
          <w:lang w:val="zh-CN"/>
        </w:rPr>
        <w:t>强化大气污染区域联防联控联治，</w:t>
      </w:r>
      <w:r>
        <w:rPr>
          <w:rFonts w:hint="eastAsia" w:ascii="仿宋_GB2312"/>
        </w:rPr>
        <w:t>加强区域间、部门间统筹协调和联合执法，建立完善信息共享机制。</w:t>
      </w:r>
      <w:bookmarkStart w:id="86" w:name="_Toc60646267"/>
    </w:p>
    <w:p>
      <w:pPr>
        <w:spacing w:line="600" w:lineRule="exact"/>
        <w:ind w:firstLine="640"/>
        <w:rPr>
          <w:rFonts w:ascii="仿宋_GB2312"/>
        </w:rPr>
      </w:pPr>
      <w:r>
        <w:rPr>
          <w:rFonts w:hint="eastAsia" w:ascii="楷体_GB2312" w:hAnsi="楷体_GB2312" w:eastAsia="楷体_GB2312" w:cs="楷体_GB2312"/>
          <w:lang w:val="zh-CN"/>
        </w:rPr>
        <w:t>推进水生态环境治理。</w:t>
      </w:r>
      <w:bookmarkEnd w:id="86"/>
      <w:r>
        <w:rPr>
          <w:rFonts w:hint="eastAsia" w:ascii="仿宋_GB2312"/>
          <w:lang w:val="zh-CN"/>
        </w:rPr>
        <w:t>全面落实河长制，实行最严格的水资源管理制度，严守水资源水环境生态红线，加强马颊河、漳卫河等</w:t>
      </w:r>
      <w:r>
        <w:rPr>
          <w:rFonts w:hint="eastAsia" w:ascii="仿宋_GB2312"/>
        </w:rPr>
        <w:t>主要流域综合整治，</w:t>
      </w:r>
      <w:r>
        <w:rPr>
          <w:rFonts w:hint="eastAsia" w:ascii="仿宋_GB2312"/>
          <w:lang w:val="zh-CN"/>
        </w:rPr>
        <w:t>统筹推进水资源节约、水环境保护、水生态修复，</w:t>
      </w:r>
      <w:r>
        <w:rPr>
          <w:rFonts w:hint="eastAsia" w:ascii="仿宋_GB2312"/>
        </w:rPr>
        <w:t>持续改善提升水环境质量。持续推进工业水污染防治和城镇污水收集处理设施及其管网配套建设，到</w:t>
      </w:r>
      <w:r>
        <w:rPr>
          <w:rFonts w:ascii="仿宋_GB2312"/>
        </w:rPr>
        <w:t>2022</w:t>
      </w:r>
      <w:r>
        <w:rPr>
          <w:rFonts w:hint="eastAsia" w:ascii="仿宋_GB2312"/>
        </w:rPr>
        <w:t>年底，县城区完成雨污分流改造，建成完善的城市排水防涝体系。强化地下水超采区等重点区域综合治理，对于非法设置的供暖地热井依法予以取缔。加强湿地保护与修复。加强饮用水水源地规范化建设，全力构筑饮用水安全屏障。</w:t>
      </w:r>
      <w:bookmarkStart w:id="87" w:name="_Toc60646268"/>
    </w:p>
    <w:p>
      <w:pPr>
        <w:spacing w:line="600" w:lineRule="exact"/>
        <w:ind w:firstLine="640"/>
        <w:rPr>
          <w:lang w:val="zh-CN"/>
        </w:rPr>
      </w:pPr>
      <w:r>
        <w:rPr>
          <w:rFonts w:hint="eastAsia" w:ascii="楷体_GB2312" w:hAnsi="楷体_GB2312" w:eastAsia="楷体_GB2312" w:cs="楷体_GB2312"/>
          <w:lang w:val="zh-CN"/>
        </w:rPr>
        <w:t>推动土壤生态环境</w:t>
      </w:r>
      <w:bookmarkEnd w:id="87"/>
      <w:r>
        <w:rPr>
          <w:rFonts w:hint="eastAsia" w:ascii="楷体_GB2312" w:hAnsi="楷体_GB2312" w:eastAsia="楷体_GB2312" w:cs="楷体_GB2312"/>
          <w:lang w:val="zh-CN"/>
        </w:rPr>
        <w:t>治理。</w:t>
      </w:r>
      <w:r>
        <w:rPr>
          <w:rFonts w:hint="eastAsia"/>
          <w:lang w:val="zh-CN"/>
        </w:rPr>
        <w:t>深入实施土壤污染防治行动计划，加强农用地土壤污染源头管控和安全利用，推进建设用地风险管控和治理修复。健全土壤环境监测体系，设置土壤环境质量监测点，推进风险管控与修复工作。因地制宜提高农业副产品、农村废弃物资源化和能源化利用水平，加强畜禽养殖污染防治，全面推进农作物秸秆综合利用，加强白色污染治理，完善农药包装废弃物回收体系。推动节水农业和生态农业发展，防控农业面源污染。</w:t>
      </w:r>
    </w:p>
    <w:p>
      <w:pPr>
        <w:pStyle w:val="3"/>
        <w:spacing w:before="437" w:beforeLines="100" w:after="437" w:afterLines="100" w:line="600" w:lineRule="exact"/>
        <w:rPr>
          <w:rFonts w:ascii="黑体" w:hAnsi="黑体" w:eastAsia="黑体" w:cs="仿宋_GB2312"/>
          <w:b w:val="0"/>
          <w:bCs w:val="0"/>
          <w:color w:val="000000"/>
          <w:lang w:val="zh-CN"/>
        </w:rPr>
      </w:pPr>
      <w:r>
        <w:rPr>
          <w:rFonts w:hint="eastAsia" w:ascii="黑体" w:hAnsi="黑体" w:eastAsia="黑体" w:cs="仿宋_GB2312"/>
          <w:b w:val="0"/>
          <w:bCs w:val="0"/>
          <w:color w:val="000000"/>
          <w:lang w:val="zh-CN"/>
        </w:rPr>
        <w:t xml:space="preserve">第三十七章 </w:t>
      </w:r>
      <w:r>
        <w:rPr>
          <w:rFonts w:ascii="黑体" w:hAnsi="黑体" w:eastAsia="黑体" w:cs="仿宋_GB2312"/>
          <w:b w:val="0"/>
          <w:bCs w:val="0"/>
          <w:color w:val="000000"/>
          <w:lang w:val="zh-CN"/>
        </w:rPr>
        <w:t xml:space="preserve"> </w:t>
      </w:r>
      <w:r>
        <w:rPr>
          <w:rFonts w:hint="eastAsia" w:ascii="黑体" w:hAnsi="黑体" w:eastAsia="黑体" w:cs="仿宋_GB2312"/>
          <w:b w:val="0"/>
          <w:bCs w:val="0"/>
          <w:color w:val="000000"/>
          <w:lang w:val="zh-CN"/>
        </w:rPr>
        <w:t>加强生态系统保护</w:t>
      </w:r>
    </w:p>
    <w:p>
      <w:pPr>
        <w:ind w:firstLine="672"/>
        <w:jc w:val="left"/>
        <w:rPr>
          <w:rFonts w:ascii="Arial" w:hAnsi="Arial" w:cs="Arial"/>
          <w:color w:val="000000"/>
          <w:spacing w:val="8"/>
          <w:kern w:val="0"/>
          <w:shd w:val="clear" w:color="auto" w:fill="FFFFFF"/>
        </w:rPr>
      </w:pPr>
      <w:r>
        <w:rPr>
          <w:rFonts w:hint="eastAsia" w:ascii="楷体_GB2312" w:hAnsi="Arial" w:eastAsia="楷体_GB2312" w:cs="Arial"/>
          <w:color w:val="000000"/>
          <w:spacing w:val="8"/>
          <w:kern w:val="0"/>
          <w:shd w:val="clear" w:color="auto" w:fill="FFFFFF"/>
        </w:rPr>
        <w:t>优化国土空间开发保护格局。</w:t>
      </w:r>
      <w:r>
        <w:rPr>
          <w:rFonts w:hint="eastAsia" w:ascii="Arial" w:hAnsi="Arial" w:cs="Arial"/>
          <w:color w:val="000000"/>
          <w:spacing w:val="8"/>
          <w:kern w:val="0"/>
          <w:shd w:val="clear" w:color="auto" w:fill="FFFFFF"/>
        </w:rPr>
        <w:t>加快构建主体功能清晰，人口、经济、资源环境相协调，均衡和谐可持续的国土空间保护格局。强化国土空间规划和用途管控，落实生态保护、基本农田、城镇开发等空间管控边界。构建以生态保护红线、环境质量底线、资源利用上线和生态环境准入清单为核心的生态环境分区管控制度体系，守住自然生态安全边界。实施差别化管控，将财政支持等激励政策与空间管制等限制、禁止性措施相结合，提升优化开发区域综合竞争力，推动重点开发区域加快工业化、城镇化进程，强化限制开发区域保障粮食和生态安全的主体功能，严格保护禁止开发区域。</w:t>
      </w:r>
    </w:p>
    <w:p>
      <w:pPr>
        <w:ind w:firstLine="672"/>
        <w:jc w:val="left"/>
        <w:rPr>
          <w:rFonts w:ascii="Arial" w:hAnsi="Arial" w:cs="Arial"/>
          <w:color w:val="000000"/>
          <w:spacing w:val="8"/>
          <w:kern w:val="0"/>
          <w:shd w:val="clear" w:color="auto" w:fill="FFFFFF"/>
        </w:rPr>
      </w:pPr>
      <w:r>
        <w:rPr>
          <w:rFonts w:hint="eastAsia" w:ascii="楷体_GB2312" w:hAnsi="Arial" w:eastAsia="楷体_GB2312" w:cs="Arial"/>
          <w:color w:val="000000"/>
          <w:spacing w:val="8"/>
          <w:kern w:val="0"/>
          <w:shd w:val="clear" w:color="auto" w:fill="FFFFFF"/>
        </w:rPr>
        <w:t>保护和修复生态系统。</w:t>
      </w:r>
      <w:r>
        <w:rPr>
          <w:rFonts w:hint="eastAsia" w:ascii="Arial" w:hAnsi="Arial" w:cs="Arial"/>
          <w:spacing w:val="8"/>
          <w:kern w:val="0"/>
          <w:shd w:val="clear" w:color="auto" w:fill="FFFFFF"/>
        </w:rPr>
        <w:t>大力实施生态修复，加强黄河故道生态廊道建设，推进西沙河森林公园建设。</w:t>
      </w:r>
      <w:r>
        <w:rPr>
          <w:rFonts w:hint="eastAsia" w:ascii="Arial" w:hAnsi="Arial" w:cs="Arial"/>
          <w:color w:val="000000"/>
          <w:spacing w:val="8"/>
          <w:kern w:val="0"/>
          <w:shd w:val="clear" w:color="auto" w:fill="FFFFFF"/>
        </w:rPr>
        <w:t>强化湿地保护和修复，推动全县湿地面积稳中有增。深入开展国土绿化行动。完善林长制体系，强化森林、湿地等生态资源管护。持续推进水土流失综合治理，重点开展农田防林网建设、小流域综合治理。加强生态系统保护成效监测评估，统一监管、依法查处生态破坏行为。</w:t>
      </w:r>
    </w:p>
    <w:p>
      <w:pPr>
        <w:ind w:firstLine="672"/>
        <w:jc w:val="left"/>
        <w:rPr>
          <w:rFonts w:ascii="Arial" w:hAnsi="Arial" w:cs="Arial"/>
          <w:color w:val="000000"/>
          <w:spacing w:val="8"/>
          <w:kern w:val="0"/>
          <w:shd w:val="clear" w:color="auto" w:fill="FFFFFF"/>
        </w:rPr>
      </w:pPr>
      <w:r>
        <w:rPr>
          <w:rFonts w:hint="eastAsia" w:ascii="楷体_GB2312" w:hAnsi="Arial" w:eastAsia="楷体_GB2312" w:cs="Arial"/>
          <w:color w:val="000000"/>
          <w:spacing w:val="8"/>
          <w:kern w:val="0"/>
          <w:shd w:val="clear" w:color="auto" w:fill="FFFFFF"/>
        </w:rPr>
        <w:t>保护生物多样性。</w:t>
      </w:r>
      <w:r>
        <w:rPr>
          <w:rFonts w:hint="eastAsia" w:ascii="Arial" w:hAnsi="Arial" w:cs="Arial"/>
          <w:color w:val="000000"/>
          <w:spacing w:val="8"/>
          <w:kern w:val="0"/>
          <w:shd w:val="clear" w:color="auto" w:fill="FFFFFF"/>
        </w:rPr>
        <w:t>加强野生动植物资源保护监管，实施最严格的野生动植物保护措施，全面禁止非法野生动物交易，革除滥食野生动物陋习，严厉打击乱捕滥猎野生动物的违法行为。开展濒危野生动植物抢救性保护。完善外来入侵物种监测和预警体系，强化生物物种、转基因物种环境风险健康评估，防范生物安全风险。</w:t>
      </w:r>
    </w:p>
    <w:p>
      <w:pPr>
        <w:ind w:firstLine="672"/>
        <w:jc w:val="left"/>
        <w:rPr>
          <w:rFonts w:ascii="Arial" w:hAnsi="Arial" w:cs="Arial"/>
          <w:color w:val="000000"/>
          <w:spacing w:val="8"/>
          <w:kern w:val="0"/>
          <w:shd w:val="clear" w:color="auto" w:fill="FFFFFF"/>
        </w:rPr>
      </w:pPr>
    </w:p>
    <w:p>
      <w:pPr>
        <w:pStyle w:val="2"/>
        <w:spacing w:before="655" w:beforeLines="150" w:after="218" w:line="600" w:lineRule="exact"/>
        <w:rPr>
          <w:rFonts w:ascii="方正小标宋简体" w:eastAsia="方正小标宋简体"/>
          <w:sz w:val="36"/>
          <w:szCs w:val="36"/>
        </w:rPr>
      </w:pPr>
      <w:bookmarkStart w:id="88" w:name="_Toc60646275"/>
      <w:r>
        <w:rPr>
          <w:rFonts w:hint="eastAsia" w:ascii="方正小标宋简体" w:hAnsi="宋体" w:eastAsia="方正小标宋简体" w:cs="宋体"/>
          <w:sz w:val="36"/>
          <w:szCs w:val="36"/>
        </w:rPr>
        <w:t>第十一篇</w:t>
      </w:r>
      <w:bookmarkEnd w:id="88"/>
      <w:r>
        <w:rPr>
          <w:rFonts w:hint="eastAsia" w:ascii="方正小标宋简体" w:hAnsi="宋体" w:eastAsia="方正小标宋简体" w:cs="宋体"/>
          <w:sz w:val="36"/>
          <w:szCs w:val="36"/>
        </w:rPr>
        <w:t xml:space="preserve">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建设对外开放新高地</w:t>
      </w:r>
    </w:p>
    <w:p>
      <w:pPr>
        <w:spacing w:line="600" w:lineRule="exact"/>
        <w:ind w:firstLine="640"/>
        <w:rPr>
          <w:rFonts w:ascii="仿宋_GB2312" w:cs="仿宋_GB2312"/>
          <w:color w:val="000000"/>
        </w:rPr>
      </w:pPr>
      <w:bookmarkStart w:id="89" w:name="_Toc60646276"/>
      <w:r>
        <w:rPr>
          <w:rFonts w:hint="eastAsia" w:ascii="仿宋_GB2312" w:hAnsi="仿宋_GB2312" w:cs="仿宋_GB2312"/>
          <w:color w:val="000000"/>
        </w:rPr>
        <w:t>坚持开放发展理念，主动对接国家和区域发展战略，深度参与国际和区域性竞争合作，不断拓展对外开放的力度、广度和深度，努力构建开放型经济新体制，塑造开放型经济发展新优势。</w:t>
      </w:r>
    </w:p>
    <w:p>
      <w:pPr>
        <w:pStyle w:val="3"/>
        <w:spacing w:before="437" w:beforeLines="100" w:after="437" w:afterLines="100" w:line="600" w:lineRule="exact"/>
        <w:rPr>
          <w:rFonts w:ascii="黑体" w:hAnsi="黑体" w:eastAsia="黑体" w:cs="仿宋_GB2312"/>
          <w:b w:val="0"/>
          <w:bCs w:val="0"/>
          <w:color w:val="000000"/>
          <w:lang w:val="zh-CN"/>
        </w:rPr>
      </w:pPr>
      <w:r>
        <w:rPr>
          <w:rFonts w:hint="eastAsia" w:ascii="黑体" w:hAnsi="黑体" w:eastAsia="黑体" w:cs="仿宋_GB2312"/>
          <w:b w:val="0"/>
          <w:bCs w:val="0"/>
          <w:color w:val="000000"/>
          <w:lang w:val="zh-CN"/>
        </w:rPr>
        <w:t xml:space="preserve">第三十八章 </w:t>
      </w:r>
      <w:r>
        <w:rPr>
          <w:rFonts w:ascii="黑体" w:hAnsi="黑体" w:eastAsia="黑体" w:cs="仿宋_GB2312"/>
          <w:b w:val="0"/>
          <w:bCs w:val="0"/>
          <w:color w:val="000000"/>
          <w:lang w:val="zh-CN"/>
        </w:rPr>
        <w:t xml:space="preserve"> </w:t>
      </w:r>
      <w:r>
        <w:rPr>
          <w:rFonts w:hint="eastAsia" w:ascii="黑体" w:hAnsi="黑体" w:eastAsia="黑体" w:cs="仿宋_GB2312"/>
          <w:b w:val="0"/>
          <w:bCs w:val="0"/>
          <w:color w:val="000000"/>
          <w:lang w:val="zh-CN"/>
        </w:rPr>
        <w:t>全面深化区域合作</w:t>
      </w:r>
    </w:p>
    <w:p>
      <w:pPr>
        <w:spacing w:line="600" w:lineRule="exact"/>
        <w:ind w:firstLine="640"/>
        <w:rPr>
          <w:rStyle w:val="26"/>
          <w:rFonts w:ascii="仿宋_GB2312" w:eastAsia="仿宋_GB2312" w:cs="仿宋_GB2312"/>
          <w:b w:val="0"/>
          <w:bCs/>
          <w:color w:val="000000"/>
          <w:szCs w:val="32"/>
        </w:rPr>
      </w:pPr>
      <w:r>
        <w:rPr>
          <w:rStyle w:val="26"/>
          <w:rFonts w:hint="eastAsia" w:ascii="楷体_GB2312" w:hAnsi="仿宋_GB2312" w:eastAsia="楷体_GB2312" w:cs="仿宋_GB2312"/>
          <w:b w:val="0"/>
          <w:bCs/>
          <w:color w:val="000000"/>
          <w:szCs w:val="32"/>
        </w:rPr>
        <w:t>落实黄河流域生态保护和高质量发展战略。</w:t>
      </w:r>
      <w:r>
        <w:rPr>
          <w:rStyle w:val="26"/>
          <w:rFonts w:hint="eastAsia" w:ascii="仿宋_GB2312" w:hAnsi="仿宋_GB2312" w:eastAsia="仿宋_GB2312" w:cs="仿宋_GB2312"/>
          <w:b w:val="0"/>
          <w:bCs/>
          <w:color w:val="000000"/>
          <w:szCs w:val="32"/>
        </w:rPr>
        <w:t>持续推进生态建设，拓展黄河流域生态空间，提升自然生态系统功能。加强人工湿地和森林公园建设。以生物措施为主进行综合治理</w:t>
      </w:r>
      <w:r>
        <w:rPr>
          <w:rStyle w:val="26"/>
          <w:rFonts w:hint="eastAsia" w:ascii="仿宋_GB2312" w:hAnsi="仿宋_GB2312" w:eastAsia="仿宋_GB2312" w:cs="仿宋_GB2312"/>
          <w:b w:val="0"/>
          <w:bCs/>
          <w:szCs w:val="32"/>
        </w:rPr>
        <w:t>，以种植经济林和用材林为主对黄河故道实施生态修复工程。</w:t>
      </w:r>
      <w:r>
        <w:rPr>
          <w:rStyle w:val="26"/>
          <w:rFonts w:hint="eastAsia" w:ascii="仿宋_GB2312" w:hAnsi="仿宋_GB2312" w:eastAsia="仿宋_GB2312" w:cs="仿宋_GB2312"/>
          <w:b w:val="0"/>
          <w:bCs/>
          <w:color w:val="000000"/>
          <w:szCs w:val="32"/>
        </w:rPr>
        <w:t>配合国家、省、市水沙调控体系和调控机制建设，持续推进河道综合治理。</w:t>
      </w:r>
    </w:p>
    <w:p>
      <w:pPr>
        <w:spacing w:line="580" w:lineRule="exact"/>
        <w:ind w:firstLine="640"/>
        <w:rPr>
          <w:rStyle w:val="26"/>
          <w:rFonts w:ascii="仿宋_GB2312" w:eastAsia="仿宋_GB2312" w:cs="仿宋_GB2312"/>
          <w:b w:val="0"/>
          <w:bCs/>
          <w:color w:val="000000"/>
          <w:szCs w:val="32"/>
        </w:rPr>
      </w:pPr>
      <w:r>
        <w:rPr>
          <w:rStyle w:val="26"/>
          <w:rFonts w:hint="eastAsia" w:ascii="楷体_GB2312" w:hAnsi="仿宋_GB2312" w:eastAsia="楷体_GB2312" w:cs="仿宋_GB2312"/>
          <w:b w:val="0"/>
          <w:bCs/>
          <w:color w:val="000000"/>
          <w:szCs w:val="32"/>
        </w:rPr>
        <w:t>主动对接京津冀协同发展。</w:t>
      </w:r>
      <w:r>
        <w:rPr>
          <w:rStyle w:val="26"/>
          <w:rFonts w:hint="eastAsia" w:ascii="仿宋_GB2312" w:hAnsi="仿宋_GB2312" w:eastAsia="仿宋_GB2312" w:cs="仿宋_GB2312"/>
          <w:b w:val="0"/>
          <w:bCs/>
          <w:color w:val="000000"/>
          <w:szCs w:val="32"/>
        </w:rPr>
        <w:t>依托优势产业基础，优化营商环境，集聚优势要素资源，抓住北京一般制造业外迁的功能疏解机遇，引导我县企业与京津高端产业协作，开展京津专项招商，积极承接转移产业，推动我县产业转型升级。全面搭建科技成果转化平台，完善人才流动渠道，引进带着重大项目和关键技术的高层次科技人才和科技团队，引进企业管理人才、专业技术人才、高端创意人才，积极承接京津科技资源外溢辐射，推动我县发展动力由要素驱动向创新驱动转变。立足京津高端市场需求，深入推进农业高质量发展，打造京津地区优质农产品供应基地。针对京津冀地区人才需求特点，大力发展职业教育，建设技能人才培养平台，开展技能人才培训，打造一批劳务输出品牌。充分发挥我县梨园、温泉、灵芝等资源优势，打造区域性文旅康养目的地。</w:t>
      </w:r>
    </w:p>
    <w:p>
      <w:pPr>
        <w:spacing w:line="580" w:lineRule="exact"/>
        <w:ind w:firstLine="640"/>
        <w:rPr>
          <w:rStyle w:val="26"/>
          <w:rFonts w:ascii="仿宋_GB2312" w:eastAsia="仿宋_GB2312" w:cs="仿宋_GB2312"/>
          <w:b w:val="0"/>
          <w:bCs/>
          <w:color w:val="000000"/>
          <w:szCs w:val="32"/>
        </w:rPr>
      </w:pPr>
      <w:r>
        <w:rPr>
          <w:rStyle w:val="26"/>
          <w:rFonts w:hint="eastAsia" w:ascii="楷体_GB2312" w:hAnsi="仿宋_GB2312" w:eastAsia="楷体_GB2312" w:cs="仿宋_GB2312"/>
          <w:b w:val="0"/>
          <w:bCs/>
          <w:color w:val="000000"/>
          <w:szCs w:val="32"/>
        </w:rPr>
        <w:t>全面加强与中原经济区协同发展。</w:t>
      </w:r>
      <w:r>
        <w:rPr>
          <w:rStyle w:val="26"/>
          <w:rFonts w:hint="eastAsia" w:ascii="仿宋_GB2312" w:hAnsi="仿宋_GB2312" w:eastAsia="仿宋_GB2312" w:cs="仿宋_GB2312"/>
          <w:b w:val="0"/>
          <w:bCs/>
          <w:color w:val="000000"/>
          <w:szCs w:val="32"/>
        </w:rPr>
        <w:t>抓住聊邯长高铁建设机遇，加强与长治、邯郸等沿线城市交流合作，发挥我县地处山东半岛城市群的区域优势和精品钢板、纺织服装、新材料等产业优势，全力打造区域发展经济带重要节点城市。强化区域产业发展规划衔接，支持重点骨干企业在技术、产品、市场和资源等方面，开展深层次战略合作。强化区域综合交通运输规划衔接和协调，统筹铁路、公路等基础设施建设。</w:t>
      </w:r>
    </w:p>
    <w:p>
      <w:pPr>
        <w:spacing w:line="580" w:lineRule="exact"/>
        <w:ind w:firstLine="640"/>
        <w:rPr>
          <w:rStyle w:val="26"/>
          <w:rFonts w:ascii="楷体_GB2312" w:hAnsi="仿宋_GB2312" w:eastAsia="楷体_GB2312" w:cs="仿宋_GB2312"/>
          <w:b w:val="0"/>
          <w:bCs/>
          <w:color w:val="000000"/>
          <w:szCs w:val="32"/>
        </w:rPr>
      </w:pPr>
      <w:r>
        <w:rPr>
          <w:rStyle w:val="26"/>
          <w:rFonts w:hint="eastAsia" w:ascii="楷体_GB2312" w:hAnsi="仿宋_GB2312" w:eastAsia="楷体_GB2312" w:cs="仿宋_GB2312"/>
          <w:b w:val="0"/>
          <w:bCs/>
          <w:color w:val="000000"/>
          <w:szCs w:val="32"/>
        </w:rPr>
        <w:t>全面融入省会经济圈一体化发展。</w:t>
      </w:r>
      <w:r>
        <w:rPr>
          <w:rStyle w:val="26"/>
          <w:rFonts w:hint="eastAsia" w:ascii="仿宋_GB2312" w:hAnsi="仿宋_GB2312" w:eastAsia="仿宋_GB2312" w:cs="仿宋_GB2312"/>
          <w:b w:val="0"/>
          <w:bCs/>
          <w:color w:val="000000"/>
          <w:szCs w:val="32"/>
        </w:rPr>
        <w:t>以基础设施联通、产业分工协作、生态环境共治、文化交流融合、公共服务共享为主题，加强与省内、市内兄弟城市的交流合作，密切与省会经济圈各城市的经济协作。积极融入济聊一体化发展，深入推进交通、农业、工业、卫生健康和科技创新等领域交流合作。</w:t>
      </w:r>
    </w:p>
    <w:p>
      <w:pPr>
        <w:pStyle w:val="3"/>
        <w:spacing w:before="437" w:beforeLines="100" w:after="437" w:afterLines="100" w:line="580" w:lineRule="exact"/>
        <w:rPr>
          <w:rFonts w:ascii="黑体" w:hAnsi="黑体" w:eastAsia="黑体" w:cs="仿宋_GB2312"/>
          <w:b w:val="0"/>
          <w:bCs w:val="0"/>
          <w:color w:val="000000"/>
          <w:lang w:val="zh-CN"/>
        </w:rPr>
      </w:pPr>
      <w:r>
        <w:rPr>
          <w:rFonts w:hint="eastAsia" w:ascii="黑体" w:hAnsi="黑体" w:eastAsia="黑体" w:cs="仿宋_GB2312"/>
          <w:b w:val="0"/>
          <w:bCs w:val="0"/>
          <w:color w:val="000000"/>
          <w:lang w:val="zh-CN"/>
        </w:rPr>
        <w:t xml:space="preserve">第三十九章 </w:t>
      </w:r>
      <w:r>
        <w:rPr>
          <w:rFonts w:ascii="黑体" w:hAnsi="黑体" w:eastAsia="黑体" w:cs="仿宋_GB2312"/>
          <w:b w:val="0"/>
          <w:bCs w:val="0"/>
          <w:color w:val="000000"/>
          <w:lang w:val="zh-CN"/>
        </w:rPr>
        <w:t xml:space="preserve"> </w:t>
      </w:r>
      <w:r>
        <w:rPr>
          <w:rFonts w:hint="eastAsia" w:ascii="黑体" w:hAnsi="黑体" w:eastAsia="黑体" w:cs="仿宋_GB2312"/>
          <w:b w:val="0"/>
          <w:bCs w:val="0"/>
          <w:color w:val="000000"/>
          <w:lang w:val="zh-CN"/>
        </w:rPr>
        <w:t>提升外资利用质效</w:t>
      </w:r>
    </w:p>
    <w:p>
      <w:pPr>
        <w:spacing w:line="580" w:lineRule="exact"/>
        <w:ind w:firstLine="640"/>
        <w:rPr>
          <w:rStyle w:val="26"/>
          <w:rFonts w:ascii="仿宋_GB2312" w:eastAsia="仿宋_GB2312" w:cs="仿宋_GB2312"/>
          <w:b w:val="0"/>
          <w:bCs/>
          <w:color w:val="000000"/>
          <w:szCs w:val="32"/>
        </w:rPr>
      </w:pPr>
      <w:r>
        <w:rPr>
          <w:rStyle w:val="26"/>
          <w:rFonts w:hint="eastAsia" w:ascii="楷体_GB2312" w:hAnsi="楷体_GB2312" w:eastAsia="楷体_GB2312" w:cs="楷体_GB2312"/>
          <w:b w:val="0"/>
          <w:bCs/>
          <w:color w:val="000000"/>
          <w:szCs w:val="32"/>
        </w:rPr>
        <w:t>立足优势招大引强。</w:t>
      </w:r>
      <w:r>
        <w:rPr>
          <w:rStyle w:val="26"/>
          <w:rFonts w:hint="eastAsia" w:ascii="仿宋_GB2312" w:hAnsi="仿宋_GB2312" w:eastAsia="仿宋_GB2312" w:cs="仿宋_GB2312"/>
          <w:b w:val="0"/>
          <w:bCs/>
          <w:color w:val="000000"/>
          <w:szCs w:val="32"/>
        </w:rPr>
        <w:t>聚焦重点产业地区，全方面、宽领域引进外资。围绕九大产业关键环节、关键技术和关键零部件，紧盯目标企业和重大项目，精准推进产业链现代化，实现优势产业集聚集群发展。深入研究世界</w:t>
      </w:r>
      <w:r>
        <w:rPr>
          <w:rStyle w:val="26"/>
          <w:rFonts w:ascii="仿宋_GB2312" w:hAnsi="仿宋_GB2312" w:eastAsia="仿宋_GB2312" w:cs="仿宋_GB2312"/>
          <w:b w:val="0"/>
          <w:bCs/>
          <w:color w:val="000000"/>
          <w:szCs w:val="32"/>
        </w:rPr>
        <w:t>5</w:t>
      </w:r>
      <w:r>
        <w:rPr>
          <w:rStyle w:val="26"/>
          <w:rFonts w:ascii="仿宋_GB2312" w:eastAsia="仿宋_GB2312" w:cs="仿宋_GB2312"/>
          <w:b w:val="0"/>
          <w:bCs/>
          <w:color w:val="000000"/>
          <w:szCs w:val="32"/>
        </w:rPr>
        <w:t>00</w:t>
      </w:r>
      <w:r>
        <w:rPr>
          <w:rStyle w:val="26"/>
          <w:rFonts w:hint="eastAsia" w:ascii="仿宋_GB2312" w:hAnsi="仿宋_GB2312" w:eastAsia="仿宋_GB2312" w:cs="仿宋_GB2312"/>
          <w:b w:val="0"/>
          <w:bCs/>
          <w:color w:val="000000"/>
          <w:szCs w:val="32"/>
        </w:rPr>
        <w:t>强和行业领军企业投资需求和在华战略布局，主动强化对接联系。积极参加境外一系列招商活动，</w:t>
      </w:r>
    </w:p>
    <w:p>
      <w:pPr>
        <w:spacing w:line="600" w:lineRule="exact"/>
        <w:ind w:firstLine="0" w:firstLineChars="0"/>
        <w:rPr>
          <w:rStyle w:val="26"/>
          <w:rFonts w:ascii="仿宋_GB2312" w:eastAsia="仿宋_GB2312" w:cs="仿宋_GB2312"/>
          <w:b w:val="0"/>
          <w:bCs/>
          <w:color w:val="000000"/>
          <w:szCs w:val="32"/>
        </w:rPr>
      </w:pPr>
      <w:r>
        <w:rPr>
          <w:rStyle w:val="26"/>
          <w:rFonts w:hint="eastAsia" w:ascii="仿宋_GB2312" w:hAnsi="仿宋_GB2312" w:eastAsia="仿宋_GB2312" w:cs="仿宋_GB2312"/>
          <w:b w:val="0"/>
          <w:bCs/>
          <w:color w:val="000000"/>
          <w:szCs w:val="32"/>
        </w:rPr>
        <w:t>依托港澳山东周等平台深化与香港、台湾及周边国家和地区的经贸合作，积极引进高端产业投资项目、技术和人才。</w:t>
      </w:r>
    </w:p>
    <w:p>
      <w:pPr>
        <w:spacing w:line="600" w:lineRule="exact"/>
        <w:ind w:firstLine="640"/>
        <w:rPr>
          <w:rFonts w:ascii="仿宋_GB2312" w:cs="仿宋_GB2312"/>
          <w:color w:val="000000"/>
        </w:rPr>
      </w:pPr>
      <w:r>
        <w:rPr>
          <w:rStyle w:val="26"/>
          <w:rFonts w:hint="eastAsia" w:ascii="楷体_GB2312" w:hAnsi="仿宋_GB2312" w:eastAsia="楷体_GB2312" w:cs="仿宋_GB2312"/>
          <w:b w:val="0"/>
          <w:bCs/>
          <w:color w:val="000000"/>
          <w:szCs w:val="32"/>
        </w:rPr>
        <w:t>创新招商引资模式。</w:t>
      </w:r>
      <w:r>
        <w:rPr>
          <w:rStyle w:val="26"/>
          <w:rFonts w:hint="eastAsia" w:ascii="仿宋_GB2312" w:hAnsi="仿宋_GB2312" w:eastAsia="仿宋_GB2312" w:cs="仿宋_GB2312"/>
          <w:b w:val="0"/>
          <w:bCs/>
          <w:color w:val="000000"/>
          <w:szCs w:val="32"/>
        </w:rPr>
        <w:t>利用国际国内两个市场、两种资源，充分利用市场化、专业化方式，推进招商引资。坚持国资、民资、外资“三资并进”，坚持招商资源统筹、项目统筹、队伍统筹，促进招商路径由政策、要素招商向产业链、总部和高端增资招商转变。</w:t>
      </w:r>
      <w:r>
        <w:rPr>
          <w:rFonts w:hint="eastAsia" w:ascii="仿宋_GB2312" w:hAnsi="仿宋_GB2312" w:cs="仿宋_GB2312"/>
          <w:color w:val="000000"/>
          <w:kern w:val="0"/>
        </w:rPr>
        <w:t>紧紧围绕新旧动能转换省“十强”产业、市</w:t>
      </w:r>
      <w:r>
        <w:rPr>
          <w:rFonts w:hint="eastAsia" w:ascii="仿宋_GB2312" w:hAnsi="仿宋_GB2312" w:cs="仿宋_GB2312"/>
          <w:color w:val="000000"/>
        </w:rPr>
        <w:t>九大产业，创新开展委托招商、代理招商、以商招商、产业链招商、以项目促招商，制定招商计划，强化以企招商，提升招商引资工作专业化水平。</w:t>
      </w:r>
    </w:p>
    <w:p>
      <w:pPr>
        <w:spacing w:line="600" w:lineRule="exact"/>
        <w:ind w:firstLine="640"/>
        <w:rPr>
          <w:rFonts w:ascii="仿宋_GB2312" w:cs="仿宋_GB2312"/>
          <w:color w:val="000000"/>
        </w:rPr>
      </w:pPr>
      <w:r>
        <w:rPr>
          <w:rFonts w:hint="eastAsia" w:ascii="楷体_GB2312" w:hAnsi="仿宋_GB2312" w:eastAsia="楷体_GB2312" w:cs="仿宋_GB2312"/>
          <w:color w:val="000000"/>
        </w:rPr>
        <w:t>优化外商投资环境。</w:t>
      </w:r>
      <w:r>
        <w:rPr>
          <w:rFonts w:hint="eastAsia" w:ascii="仿宋_GB2312" w:hAnsi="仿宋_GB2312" w:cs="仿宋_GB2312"/>
          <w:color w:val="000000"/>
        </w:rPr>
        <w:t>建立健全外商投资全流程服务体系，完善工作机制，实现外商投资全程化、个性化和专业化服务。全面实施外商投资准入前国民待遇加负面清单管理模式，推动“非禁即入”普遍落实。健全完善外商投资企业投诉联系协调机制，建立健全外商投诉方式，完善投诉工作网络，保护外商投资企业合法权益。严格兑现向投资者及外商投资企业依法作出的政策承诺。</w:t>
      </w:r>
    </w:p>
    <w:p>
      <w:pPr>
        <w:pStyle w:val="3"/>
        <w:spacing w:before="437" w:beforeLines="100" w:after="437" w:afterLines="100" w:line="600" w:lineRule="exact"/>
        <w:rPr>
          <w:rFonts w:ascii="黑体" w:hAnsi="黑体" w:eastAsia="黑体" w:cs="仿宋_GB2312"/>
          <w:b w:val="0"/>
          <w:bCs w:val="0"/>
          <w:color w:val="000000"/>
          <w:lang w:val="zh-CN"/>
        </w:rPr>
      </w:pPr>
      <w:r>
        <w:rPr>
          <w:rFonts w:hint="eastAsia" w:ascii="黑体" w:hAnsi="黑体" w:eastAsia="黑体" w:cs="仿宋_GB2312"/>
          <w:b w:val="0"/>
          <w:bCs w:val="0"/>
          <w:color w:val="000000"/>
          <w:lang w:val="zh-CN"/>
        </w:rPr>
        <w:t xml:space="preserve">第四十章 </w:t>
      </w:r>
      <w:r>
        <w:rPr>
          <w:rFonts w:ascii="黑体" w:hAnsi="黑体" w:eastAsia="黑体" w:cs="仿宋_GB2312"/>
          <w:b w:val="0"/>
          <w:bCs w:val="0"/>
          <w:color w:val="000000"/>
          <w:lang w:val="zh-CN"/>
        </w:rPr>
        <w:t xml:space="preserve"> </w:t>
      </w:r>
      <w:r>
        <w:rPr>
          <w:rFonts w:hint="eastAsia" w:ascii="黑体" w:hAnsi="黑体" w:eastAsia="黑体" w:cs="仿宋_GB2312"/>
          <w:b w:val="0"/>
          <w:bCs w:val="0"/>
          <w:color w:val="000000"/>
          <w:lang w:val="zh-CN"/>
        </w:rPr>
        <w:t>推动外贸高质量发展</w:t>
      </w:r>
    </w:p>
    <w:p>
      <w:pPr>
        <w:spacing w:line="580" w:lineRule="exact"/>
        <w:ind w:firstLine="640"/>
      </w:pPr>
      <w:r>
        <w:rPr>
          <w:rFonts w:hint="eastAsia" w:ascii="楷体_GB2312" w:eastAsia="楷体_GB2312"/>
        </w:rPr>
        <w:t>优化提升外贸商品结构。</w:t>
      </w:r>
      <w:r>
        <w:rPr>
          <w:rFonts w:hint="eastAsia"/>
        </w:rPr>
        <w:t>积极推动精品钢板、纺织服装、机械装备等产业开拓国际市场，促进产品高端化、精细化发展。提升禽肉、脱水蔬菜农产品精深加工能力和特色发展水平，扩大高附加值农产品出口。支持企业开展境外专利申请、商标注册、资质认证等，鼓励企业充分利用国际认可的产品检测和认证体系，按照国际标准开展生产和质量检验，提升产品核心竞争力。促进加工贸易转型升级，有序承接加工贸易梯度转移。加大对发展服务贸易的支持力度，重点培育服务外包企业，优化贸易方式。</w:t>
      </w:r>
    </w:p>
    <w:p>
      <w:pPr>
        <w:spacing w:line="600" w:lineRule="exact"/>
        <w:ind w:firstLine="640"/>
        <w:rPr>
          <w:rFonts w:ascii="仿宋_GB2312" w:cs="仿宋_GB2312"/>
          <w:color w:val="000000"/>
        </w:rPr>
      </w:pPr>
      <w:r>
        <w:rPr>
          <w:rFonts w:hint="eastAsia" w:ascii="楷体_GB2312" w:eastAsia="楷体_GB2312"/>
        </w:rPr>
        <w:t>多元化开拓新兴市场。</w:t>
      </w:r>
      <w:r>
        <w:rPr>
          <w:rFonts w:hint="eastAsia"/>
        </w:rPr>
        <w:t>加大支持企业走出去参展力度，用足用好各级资金政策，积极参与德国汉诺威工业博览会、中国山东出口商品（俄罗斯）展览会及中国山东出口商品（乌兹别克斯坦）展览会、墨西哥工业博览会、东盟（泰国）国际机械展览会、中东迪拜五大行业国际博览会等行业知名展会。继续组织企业参加广交会、华交会、高交会、服贸会、东盟博览会、中食展等国内重点国际性展会。引导企业积极参加山东出口商品、聊城出口商品分地区或行业系列云展会活动。鼓励企业利用“阿里巴巴”“全球贸易通”“中国制造”等第三方服务平台寻找客户、开拓国际市场。</w:t>
      </w:r>
      <w:r>
        <w:rPr>
          <w:rFonts w:hint="eastAsia" w:ascii="仿宋_GB2312" w:hAnsi="仿宋_GB2312" w:cs="仿宋_GB2312"/>
        </w:rPr>
        <w:t>加快企业“走出去”步伐，</w:t>
      </w:r>
      <w:r>
        <w:rPr>
          <w:rFonts w:hint="eastAsia" w:ascii="仿宋_GB2312" w:hAnsi="仿宋_GB2312" w:cs="仿宋_GB2312"/>
          <w:color w:val="000000"/>
        </w:rPr>
        <w:t>扩大与“一带一路”沿线国家和地区经贸往来，鼓励优势企业积极参与“一带一路”基础设施建设。</w:t>
      </w:r>
    </w:p>
    <w:p>
      <w:pPr>
        <w:spacing w:line="580" w:lineRule="exact"/>
        <w:ind w:firstLine="640"/>
        <w:rPr>
          <w:rFonts w:ascii="仿宋_GB2312"/>
        </w:rPr>
      </w:pPr>
      <w:r>
        <w:rPr>
          <w:rFonts w:hint="eastAsia" w:ascii="楷体_GB2312" w:eastAsia="楷体_GB2312"/>
        </w:rPr>
        <w:t>创新发展外贸新业态。</w:t>
      </w:r>
      <w:r>
        <w:rPr>
          <w:rFonts w:hint="eastAsia" w:ascii="仿宋_GB2312" w:hAnsi="仿宋_GB2312"/>
        </w:rPr>
        <w:t>深化与阿里巴巴集团、亚马逊、</w:t>
      </w:r>
      <w:r>
        <w:rPr>
          <w:rFonts w:ascii="仿宋_GB2312" w:hAnsi="仿宋_GB2312"/>
        </w:rPr>
        <w:t>eBay</w:t>
      </w:r>
      <w:r>
        <w:rPr>
          <w:rFonts w:hint="eastAsia" w:ascii="仿宋_GB2312" w:hAnsi="仿宋_GB2312"/>
        </w:rPr>
        <w:t>等国际知名电子商务企业（平台）合作，引导跨境电商企业开展</w:t>
      </w:r>
      <w:r>
        <w:rPr>
          <w:rFonts w:ascii="仿宋_GB2312" w:hAnsi="仿宋_GB2312"/>
        </w:rPr>
        <w:t>B2B</w:t>
      </w:r>
      <w:r>
        <w:rPr>
          <w:rFonts w:hint="eastAsia" w:ascii="仿宋_GB2312" w:hAnsi="仿宋_GB2312"/>
        </w:rPr>
        <w:t>、</w:t>
      </w:r>
      <w:r>
        <w:rPr>
          <w:rFonts w:ascii="仿宋_GB2312" w:hAnsi="仿宋_GB2312"/>
        </w:rPr>
        <w:t>B2C</w:t>
      </w:r>
      <w:r>
        <w:rPr>
          <w:rFonts w:hint="eastAsia" w:ascii="仿宋_GB2312" w:hAnsi="仿宋_GB2312"/>
        </w:rPr>
        <w:t>、跨境电商零售进口等多模式运营，促进跨境电商业务发展。支持百佳食品美国海外仓做大做强。研究完善配套政策，促进外贸综合服务企业发展，壮大服务队伍。</w:t>
      </w:r>
    </w:p>
    <w:p>
      <w:pPr>
        <w:pStyle w:val="3"/>
        <w:spacing w:before="437" w:beforeLines="100" w:after="437" w:afterLines="100" w:line="600" w:lineRule="exact"/>
        <w:rPr>
          <w:rFonts w:ascii="黑体" w:hAnsi="黑体" w:eastAsia="黑体" w:cs="仿宋_GB2312"/>
          <w:b w:val="0"/>
          <w:bCs w:val="0"/>
          <w:color w:val="000000"/>
          <w:lang w:val="zh-CN"/>
        </w:rPr>
      </w:pPr>
      <w:r>
        <w:rPr>
          <w:rFonts w:hint="eastAsia" w:ascii="黑体" w:hAnsi="黑体" w:eastAsia="黑体" w:cs="仿宋_GB2312"/>
          <w:b w:val="0"/>
          <w:bCs w:val="0"/>
          <w:color w:val="000000"/>
          <w:lang w:val="zh-CN"/>
        </w:rPr>
        <w:t xml:space="preserve">第四十一章 </w:t>
      </w:r>
      <w:r>
        <w:rPr>
          <w:rFonts w:ascii="黑体" w:hAnsi="黑体" w:eastAsia="黑体" w:cs="仿宋_GB2312"/>
          <w:b w:val="0"/>
          <w:bCs w:val="0"/>
          <w:color w:val="000000"/>
          <w:lang w:val="zh-CN"/>
        </w:rPr>
        <w:t xml:space="preserve"> </w:t>
      </w:r>
      <w:r>
        <w:rPr>
          <w:rFonts w:hint="eastAsia" w:ascii="黑体" w:hAnsi="黑体" w:eastAsia="黑体" w:cs="仿宋_GB2312"/>
          <w:b w:val="0"/>
          <w:bCs w:val="0"/>
          <w:color w:val="000000"/>
          <w:lang w:val="zh-CN"/>
        </w:rPr>
        <w:t>打造对外开放优质载体</w:t>
      </w:r>
    </w:p>
    <w:p>
      <w:pPr>
        <w:spacing w:line="600" w:lineRule="exact"/>
        <w:ind w:firstLine="640"/>
        <w:rPr>
          <w:rFonts w:ascii="仿宋_GB2312"/>
        </w:rPr>
      </w:pPr>
      <w:r>
        <w:rPr>
          <w:rFonts w:hint="eastAsia" w:ascii="楷体_GB2312" w:hAnsi="黑体" w:eastAsia="楷体_GB2312"/>
        </w:rPr>
        <w:t>稳步推进智慧物流园和内陆港建设。</w:t>
      </w:r>
      <w:r>
        <w:rPr>
          <w:rFonts w:hint="eastAsia" w:ascii="仿宋_GB2312" w:hAnsi="仿宋_GB2312"/>
        </w:rPr>
        <w:t>打造智慧物流园区，建设冠县内陆港，倡导“公铁联运、智慧共享”理念，按照铁路港、公路港、大宗商品物流产业园、现代农业物流产业园、智慧物流仓储区、流通加工区、配套商务区“两港、两园、三区”的模式，打造集仓储、多式联运、集散分拨、流通加工等于一体的智慧物流园区，实现一站通关、海关监管、保税物流中心等内陆港功能，开展保税仓储、简单加工和增值服务、国际物流配送、进出口贸易、国际中转和转口贸易等业务，与青岛港、天津港实现联动。抢抓全省欧亚班列增加特色线路机遇，与海关、铁路等部门开展信息对接，加快推进内陆港建设，力争在我县开设卷钢等特色班列。积极引进先进运营企业，与宝信物流园区合作，开展冠县</w:t>
      </w:r>
      <w:r>
        <w:rPr>
          <w:rFonts w:ascii="仿宋_GB2312"/>
        </w:rPr>
        <w:t>-</w:t>
      </w:r>
      <w:r>
        <w:rPr>
          <w:rFonts w:hint="eastAsia" w:ascii="仿宋_GB2312" w:hAnsi="仿宋_GB2312"/>
        </w:rPr>
        <w:t>天津港、冠县</w:t>
      </w:r>
      <w:r>
        <w:rPr>
          <w:rFonts w:ascii="仿宋_GB2312"/>
        </w:rPr>
        <w:t>-</w:t>
      </w:r>
      <w:r>
        <w:rPr>
          <w:rFonts w:hint="eastAsia" w:ascii="仿宋_GB2312" w:hAnsi="仿宋_GB2312"/>
        </w:rPr>
        <w:t>黄骅港铁路班列，逐步开展国际陆港复制、外贸企业孵化等业务，提升出口便利化水平，提高企业自营出口能力。</w:t>
      </w:r>
    </w:p>
    <w:p>
      <w:pPr>
        <w:spacing w:line="600" w:lineRule="exact"/>
        <w:ind w:firstLine="640"/>
        <w:rPr>
          <w:rFonts w:ascii="仿宋_GB2312"/>
        </w:rPr>
      </w:pPr>
      <w:r>
        <w:rPr>
          <w:rFonts w:hint="eastAsia" w:ascii="楷体_GB2312" w:hAnsi="仿宋_GB2312" w:eastAsia="楷体_GB2312"/>
        </w:rPr>
        <w:t>建设高品质的开放合作示范园区。</w:t>
      </w:r>
      <w:r>
        <w:rPr>
          <w:rFonts w:hint="eastAsia" w:ascii="仿宋_GB2312" w:hAnsi="仿宋_GB2312"/>
        </w:rPr>
        <w:t>加快推进开发区体制机制改革创新，实现市场化运营、专业化服务、国际化发展。聚焦建链、补链、强链、延链，采用“区中园”“园中园”“云上园”等模式，与发达国家园区、跨国公司等公建国际产业合作园区。鼓励开发区与国内先进开发区开展“飞地”园区建设，探索“飞地经济”等新模式。</w:t>
      </w:r>
    </w:p>
    <w:p>
      <w:pPr>
        <w:spacing w:line="600" w:lineRule="exact"/>
        <w:ind w:firstLine="640"/>
        <w:rPr>
          <w:rFonts w:ascii="仿宋_GB2312"/>
        </w:rPr>
      </w:pPr>
    </w:p>
    <w:bookmarkEnd w:id="89"/>
    <w:p>
      <w:pPr>
        <w:pStyle w:val="2"/>
        <w:spacing w:before="655" w:beforeLines="150" w:after="218" w:line="600" w:lineRule="exact"/>
        <w:rPr>
          <w:rStyle w:val="29"/>
          <w:rFonts w:ascii="方正小标宋简体" w:hAnsi="方正大标宋简体" w:eastAsia="方正小标宋简体" w:cs="方正大标宋简体"/>
          <w:sz w:val="36"/>
          <w:szCs w:val="36"/>
        </w:rPr>
      </w:pPr>
      <w:bookmarkStart w:id="90" w:name="_Toc60646284"/>
      <w:r>
        <w:rPr>
          <w:rFonts w:hint="eastAsia" w:ascii="方正小标宋简体" w:hAnsi="宋体" w:eastAsia="方正小标宋简体" w:cs="宋体"/>
          <w:sz w:val="36"/>
          <w:szCs w:val="36"/>
        </w:rPr>
        <w:t>第十二篇</w:t>
      </w:r>
      <w:bookmarkEnd w:id="90"/>
      <w:r>
        <w:rPr>
          <w:rFonts w:hint="eastAsia" w:ascii="方正小标宋简体" w:hAnsi="宋体" w:eastAsia="方正小标宋简体" w:cs="宋体"/>
          <w:sz w:val="36"/>
          <w:szCs w:val="36"/>
        </w:rPr>
        <w:t xml:space="preserve">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共筑幸福和谐新生活</w:t>
      </w:r>
    </w:p>
    <w:p>
      <w:pPr>
        <w:spacing w:line="600" w:lineRule="exact"/>
        <w:ind w:firstLine="672"/>
        <w:jc w:val="left"/>
        <w:rPr>
          <w:rFonts w:ascii="Arial" w:hAnsi="Arial" w:cs="Arial"/>
          <w:color w:val="000000"/>
          <w:spacing w:val="8"/>
          <w:kern w:val="0"/>
          <w:shd w:val="clear" w:color="auto" w:fill="FFFFFF"/>
        </w:rPr>
      </w:pPr>
      <w:bookmarkStart w:id="91" w:name="_Toc60646285"/>
      <w:r>
        <w:rPr>
          <w:rFonts w:hint="eastAsia" w:ascii="Arial" w:hAnsi="Arial" w:cs="Arial"/>
          <w:color w:val="000000"/>
          <w:spacing w:val="8"/>
          <w:kern w:val="0"/>
          <w:shd w:val="clear" w:color="auto" w:fill="FFFFFF"/>
        </w:rPr>
        <w:t>坚持把实现好、维护好、发展好最广大人民根本利益作为发展的出发点和落脚点，努力办好各项民生事业，改善人民生活品质，扎实推动共同富裕，不断增强人民群众获得感、幸福感、安全感。</w:t>
      </w:r>
    </w:p>
    <w:p>
      <w:pPr>
        <w:pStyle w:val="3"/>
        <w:spacing w:before="437" w:beforeLines="100" w:after="437" w:afterLines="100" w:line="600" w:lineRule="exact"/>
        <w:rPr>
          <w:rFonts w:ascii="黑体" w:hAnsi="黑体" w:eastAsia="黑体" w:cs="仿宋_GB2312"/>
          <w:b w:val="0"/>
          <w:bCs w:val="0"/>
          <w:color w:val="000000"/>
        </w:rPr>
      </w:pPr>
      <w:r>
        <w:rPr>
          <w:rFonts w:hint="eastAsia" w:ascii="黑体" w:hAnsi="黑体" w:eastAsia="黑体" w:cs="仿宋_GB2312"/>
          <w:b w:val="0"/>
          <w:bCs w:val="0"/>
          <w:color w:val="000000"/>
          <w:lang w:val="zh-CN"/>
        </w:rPr>
        <w:t>第四十二章</w:t>
      </w:r>
      <w:r>
        <w:rPr>
          <w:rFonts w:hint="eastAsia" w:ascii="黑体" w:hAnsi="黑体" w:eastAsia="黑体" w:cs="仿宋_GB2312"/>
          <w:b w:val="0"/>
          <w:bCs w:val="0"/>
          <w:color w:val="000000"/>
        </w:rPr>
        <w:t xml:space="preserve"> </w:t>
      </w:r>
      <w:r>
        <w:rPr>
          <w:rFonts w:ascii="黑体" w:hAnsi="黑体" w:eastAsia="黑体" w:cs="仿宋_GB2312"/>
          <w:b w:val="0"/>
          <w:bCs w:val="0"/>
          <w:color w:val="000000"/>
        </w:rPr>
        <w:t xml:space="preserve"> </w:t>
      </w:r>
      <w:r>
        <w:rPr>
          <w:rFonts w:hint="eastAsia" w:ascii="黑体" w:hAnsi="黑体" w:eastAsia="黑体" w:cs="仿宋_GB2312"/>
          <w:b w:val="0"/>
          <w:bCs w:val="0"/>
          <w:color w:val="000000"/>
          <w:lang w:val="zh-CN"/>
        </w:rPr>
        <w:t>提高居民收入水平</w:t>
      </w:r>
      <w:bookmarkEnd w:id="91"/>
      <w:bookmarkStart w:id="92" w:name="_Toc60646286"/>
    </w:p>
    <w:p>
      <w:pPr>
        <w:spacing w:line="600" w:lineRule="exact"/>
        <w:ind w:firstLine="640"/>
        <w:jc w:val="left"/>
        <w:rPr>
          <w:rFonts w:ascii="仿宋_GB2312"/>
        </w:rPr>
      </w:pPr>
      <w:r>
        <w:rPr>
          <w:rFonts w:hint="eastAsia" w:ascii="楷体_GB2312" w:eastAsia="楷体_GB2312"/>
          <w:lang w:val="zh-CN"/>
        </w:rPr>
        <w:t>坚持按劳分配制度</w:t>
      </w:r>
      <w:bookmarkEnd w:id="92"/>
      <w:r>
        <w:rPr>
          <w:rFonts w:hint="eastAsia" w:ascii="楷体_GB2312" w:eastAsia="楷体_GB2312"/>
          <w:lang w:val="zh-CN"/>
        </w:rPr>
        <w:t>。</w:t>
      </w:r>
      <w:r>
        <w:rPr>
          <w:rFonts w:hint="eastAsia" w:ascii="仿宋_GB2312" w:hAnsi="仿宋_GB2312"/>
        </w:rPr>
        <w:t>坚持按劳分配为主体、多种分配方式并存，提高劳动报酬在初次分配中的比重。鼓励勤劳守法致富，不断提高劳动报酬，增加居民劳动收入，完善政府、工会、企业共同参与的工资协商制度，积极推进集体协商，保护劳动所得，增加劳动者特别是一线劳动者报酬。完善企业薪酬调查和信息发布制度，健全完善最低工资标准、企业工资指导线制度，加强对农民工工资支付的保障。健全事业单位和国有企业收入分配政策体系，完善符合行业特点的薪酬制度和岗位绩效工资制度，落实事业单位高层次人才收入分配激励机制。</w:t>
      </w:r>
      <w:bookmarkStart w:id="93" w:name="_Toc60646287"/>
    </w:p>
    <w:p>
      <w:pPr>
        <w:spacing w:line="620" w:lineRule="exact"/>
        <w:ind w:firstLine="640"/>
        <w:jc w:val="left"/>
        <w:rPr>
          <w:rFonts w:ascii="仿宋_GB2312"/>
          <w:lang w:val="zh-CN"/>
        </w:rPr>
      </w:pPr>
      <w:r>
        <w:rPr>
          <w:rFonts w:hint="eastAsia" w:ascii="楷体_GB2312" w:eastAsia="楷体_GB2312"/>
        </w:rPr>
        <w:t>健全</w:t>
      </w:r>
      <w:r>
        <w:rPr>
          <w:rFonts w:hint="eastAsia" w:ascii="楷体_GB2312" w:eastAsia="楷体_GB2312"/>
          <w:lang w:val="zh-CN"/>
        </w:rPr>
        <w:t>要素</w:t>
      </w:r>
      <w:r>
        <w:rPr>
          <w:rFonts w:hint="eastAsia" w:ascii="楷体_GB2312" w:eastAsia="楷体_GB2312"/>
        </w:rPr>
        <w:t>参与</w:t>
      </w:r>
      <w:r>
        <w:rPr>
          <w:rFonts w:hint="eastAsia" w:ascii="楷体_GB2312" w:eastAsia="楷体_GB2312"/>
          <w:lang w:val="zh-CN"/>
        </w:rPr>
        <w:t>分配机制</w:t>
      </w:r>
      <w:bookmarkEnd w:id="93"/>
      <w:r>
        <w:rPr>
          <w:rFonts w:hint="eastAsia" w:ascii="楷体_GB2312" w:eastAsia="楷体_GB2312"/>
          <w:lang w:val="zh-CN"/>
        </w:rPr>
        <w:t>。</w:t>
      </w:r>
      <w:r>
        <w:rPr>
          <w:rFonts w:hint="eastAsia" w:ascii="仿宋_GB2312" w:hAnsi="仿宋_GB2312"/>
          <w:lang w:val="zh-CN"/>
        </w:rPr>
        <w:t>落实生产要素由市场评价贡献、按贡献决定报酬的机制。探索通过土地、资本等要素使用权、收益权增加中低收入群体要素收入，拓宽增加农民财产性收入渠道，落实劳动报酬提高与劳动生产率提高基本同步的机制，落实知识、技术、管理和数据等生产要素按贡献参与分配的机制。落实科研人员职务发明成果权益分享机制，与全市同步提高科技成果转化收入分配比例。</w:t>
      </w:r>
      <w:bookmarkStart w:id="94" w:name="_Toc60646288"/>
    </w:p>
    <w:p>
      <w:pPr>
        <w:spacing w:line="620" w:lineRule="exact"/>
        <w:ind w:firstLine="640"/>
        <w:jc w:val="left"/>
        <w:rPr>
          <w:rFonts w:ascii="仿宋_GB2312"/>
          <w:lang w:val="zh-CN"/>
        </w:rPr>
      </w:pPr>
      <w:r>
        <w:rPr>
          <w:rFonts w:hint="eastAsia" w:ascii="楷体_GB2312" w:eastAsia="楷体_GB2312"/>
          <w:lang w:val="zh-CN"/>
        </w:rPr>
        <w:t>完善再分配调节机制</w:t>
      </w:r>
      <w:bookmarkEnd w:id="94"/>
      <w:r>
        <w:rPr>
          <w:rFonts w:hint="eastAsia" w:ascii="楷体_GB2312" w:eastAsia="楷体_GB2312"/>
          <w:lang w:val="zh-CN"/>
        </w:rPr>
        <w:t>。</w:t>
      </w:r>
      <w:r>
        <w:rPr>
          <w:rFonts w:hint="eastAsia" w:ascii="仿宋_GB2312" w:hAnsi="仿宋_GB2312"/>
          <w:lang w:val="zh-CN"/>
        </w:rPr>
        <w:t>加大税收、社保、转移支付等调节力度和精准性。合理调节城乡、区域、不同群体间分配关系。完善覆盖全民的多层次社会保障体系，不断提高社会保障水平。加大对相对贫困地区、粮食主产区、重要生态功能区转移支付力度。培育发展和规范慈善组织、慈善捐赠、慈善信托，更好发挥慈善财产在扶老、救孤、恤病、助残、扶贫、济困、优抚等方面的作用。</w:t>
      </w:r>
      <w:bookmarkStart w:id="95" w:name="_Toc60646290"/>
    </w:p>
    <w:p>
      <w:pPr>
        <w:pStyle w:val="3"/>
        <w:spacing w:before="437" w:beforeLines="100" w:after="437" w:afterLines="100" w:line="600" w:lineRule="exact"/>
        <w:rPr>
          <w:rFonts w:ascii="黑体" w:hAnsi="黑体" w:eastAsia="黑体" w:cs="仿宋_GB2312"/>
          <w:b w:val="0"/>
          <w:bCs w:val="0"/>
          <w:color w:val="000000"/>
          <w:lang w:val="zh-CN"/>
        </w:rPr>
      </w:pPr>
      <w:r>
        <w:rPr>
          <w:rFonts w:hint="eastAsia" w:ascii="黑体" w:hAnsi="黑体" w:eastAsia="黑体" w:cs="仿宋_GB2312"/>
          <w:b w:val="0"/>
          <w:bCs w:val="0"/>
          <w:color w:val="000000"/>
          <w:lang w:val="zh-CN"/>
        </w:rPr>
        <w:t xml:space="preserve">第四十三章 </w:t>
      </w:r>
      <w:r>
        <w:rPr>
          <w:rFonts w:ascii="黑体" w:hAnsi="黑体" w:eastAsia="黑体" w:cs="仿宋_GB2312"/>
          <w:b w:val="0"/>
          <w:bCs w:val="0"/>
          <w:color w:val="000000"/>
          <w:lang w:val="zh-CN"/>
        </w:rPr>
        <w:t xml:space="preserve"> </w:t>
      </w:r>
      <w:r>
        <w:rPr>
          <w:rFonts w:hint="eastAsia" w:ascii="黑体" w:hAnsi="黑体" w:eastAsia="黑体" w:cs="仿宋_GB2312"/>
          <w:b w:val="0"/>
          <w:bCs w:val="0"/>
          <w:color w:val="000000"/>
          <w:lang w:val="zh-CN"/>
        </w:rPr>
        <w:t>稳定和扩大就业</w:t>
      </w:r>
      <w:bookmarkEnd w:id="95"/>
      <w:bookmarkStart w:id="96" w:name="_Toc60646291"/>
    </w:p>
    <w:p>
      <w:pPr>
        <w:spacing w:line="600" w:lineRule="exact"/>
        <w:ind w:firstLine="640"/>
      </w:pPr>
      <w:r>
        <w:rPr>
          <w:rFonts w:hint="eastAsia" w:ascii="楷体_GB2312" w:hAnsi="楷体_GB2312" w:eastAsia="楷体_GB2312" w:cs="楷体_GB2312"/>
          <w:lang w:val="zh-CN"/>
        </w:rPr>
        <w:t>健全就业创业服务体系</w:t>
      </w:r>
      <w:bookmarkEnd w:id="96"/>
      <w:r>
        <w:rPr>
          <w:rFonts w:hint="eastAsia" w:ascii="楷体_GB2312" w:hAnsi="楷体_GB2312" w:eastAsia="楷体_GB2312" w:cs="楷体_GB2312"/>
          <w:lang w:val="zh-CN"/>
        </w:rPr>
        <w:t>。</w:t>
      </w:r>
      <w:r>
        <w:rPr>
          <w:rFonts w:hint="eastAsia"/>
        </w:rPr>
        <w:t>贯彻实施“劳动者自主创业、市场调节就业、政府促进就业和鼓励创业”的就业方针，完善税收优惠、创业补贴等系列扶持政策，加大初创实体支持力度，促进创业带动就业。推进“冠县就业”智慧平台建设，开展发布就业创业政策信息、项目推介、在线专家指导等特色服务。组织好“春风行动”“就业援助月”“民营企业招聘周”等就业公共服务活动。完善就业信息统计、需求调查和失业监测预警机制，着力防范化解规模性、突发性失业风险。维护劳动者和用人单位合法权益，构建和谐劳动关系。</w:t>
      </w:r>
      <w:bookmarkStart w:id="97" w:name="_Toc60646292"/>
    </w:p>
    <w:p>
      <w:pPr>
        <w:spacing w:line="580" w:lineRule="exact"/>
        <w:ind w:firstLine="640"/>
        <w:rPr>
          <w:rFonts w:ascii="仿宋_GB2312"/>
        </w:rPr>
      </w:pPr>
      <w:r>
        <w:rPr>
          <w:rFonts w:hint="eastAsia" w:ascii="楷体_GB2312" w:hAnsi="楷体_GB2312" w:eastAsia="楷体_GB2312" w:cs="楷体_GB2312"/>
          <w:lang w:val="zh-CN"/>
        </w:rPr>
        <w:t>统筹保障重点群体就业</w:t>
      </w:r>
      <w:bookmarkEnd w:id="97"/>
      <w:r>
        <w:rPr>
          <w:rFonts w:hint="eastAsia" w:ascii="楷体_GB2312" w:hAnsi="楷体_GB2312" w:eastAsia="楷体_GB2312" w:cs="楷体_GB2312"/>
          <w:lang w:val="zh-CN"/>
        </w:rPr>
        <w:t>。</w:t>
      </w:r>
      <w:r>
        <w:rPr>
          <w:rFonts w:hint="eastAsia" w:ascii="仿宋_GB2312"/>
        </w:rPr>
        <w:t>实施高校毕业生就业创业引领计划、基层成长计划和青年见习计划，吸引更多高校毕业生和各类青年人才在冠县就业创业。健全完善城乡劳动者平等就业制度，促进农村劳动力转移就业和外出务工人员返乡创业。大力推进退役军人和随军家属就业创业，努力开发残疾人就业岗位。配合新旧动能转换、供给侧结构性改革，实施就业帮扶行动，做好化解过剩产能职工安置工作。加强对就业困难人员的就业援助，确保城镇登记失业率控制在</w:t>
      </w:r>
      <w:r>
        <w:rPr>
          <w:rFonts w:ascii="仿宋_GB2312"/>
        </w:rPr>
        <w:t>4.5%</w:t>
      </w:r>
      <w:r>
        <w:rPr>
          <w:rFonts w:hint="eastAsia" w:ascii="仿宋_GB2312"/>
        </w:rPr>
        <w:t>以内。</w:t>
      </w:r>
      <w:bookmarkStart w:id="98" w:name="_Toc60646293"/>
    </w:p>
    <w:p>
      <w:pPr>
        <w:spacing w:line="580" w:lineRule="exact"/>
        <w:ind w:firstLine="640"/>
        <w:rPr>
          <w:rFonts w:ascii="仿宋_GB2312"/>
        </w:rPr>
      </w:pPr>
      <w:r>
        <w:rPr>
          <w:rFonts w:hint="eastAsia" w:ascii="楷体_GB2312" w:hAnsi="仿宋_GB2312" w:eastAsia="楷体_GB2312"/>
          <w:lang w:val="zh-CN"/>
        </w:rPr>
        <w:t>多措并举拓展就业空间</w:t>
      </w:r>
      <w:bookmarkEnd w:id="98"/>
      <w:r>
        <w:rPr>
          <w:rFonts w:hint="eastAsia" w:ascii="楷体_GB2312" w:hAnsi="仿宋_GB2312" w:eastAsia="楷体_GB2312"/>
          <w:lang w:val="zh-CN"/>
        </w:rPr>
        <w:t>。</w:t>
      </w:r>
      <w:r>
        <w:rPr>
          <w:rFonts w:hint="eastAsia" w:ascii="仿宋_GB2312" w:hAnsi="仿宋_GB2312"/>
        </w:rPr>
        <w:t>进一步优化产业结构，优先支持吸纳就业能力强、潜力大的现代服务业、部分劳动密集型行业和小微企业、民营企业发展，加快推进减税降费，加大援企稳岗力度，积极采取措施帮助企业渡过难关。坚持包容审慎原则，突出加大对个体经营、非全日制、新就业形态的支持，引导劳动者创办投资小、见效快、易转型、风险小的小规模经济实体，支持微商电商、网络直播等多样化的自主就业、分时就业，强化灵活就业劳动权益保障，探索多点执业。鼓励街镇、社区提供更多公共管理和社会服务等公益性岗位。</w:t>
      </w:r>
      <w:bookmarkStart w:id="99" w:name="_Toc60646294"/>
    </w:p>
    <w:p>
      <w:pPr>
        <w:spacing w:line="580" w:lineRule="exact"/>
        <w:ind w:firstLine="640"/>
        <w:rPr>
          <w:rFonts w:ascii="仿宋_GB2312"/>
        </w:rPr>
      </w:pPr>
      <w:r>
        <w:rPr>
          <w:rFonts w:hint="eastAsia" w:ascii="楷体_GB2312" w:hAnsi="仿宋_GB2312" w:eastAsia="楷体_GB2312"/>
          <w:lang w:val="zh-CN"/>
        </w:rPr>
        <w:t>推行终身职业技能培训</w:t>
      </w:r>
      <w:bookmarkEnd w:id="99"/>
      <w:r>
        <w:rPr>
          <w:rFonts w:hint="eastAsia" w:ascii="楷体_GB2312" w:hAnsi="仿宋_GB2312" w:eastAsia="楷体_GB2312"/>
          <w:lang w:val="zh-CN"/>
        </w:rPr>
        <w:t>。</w:t>
      </w:r>
      <w:r>
        <w:rPr>
          <w:rFonts w:hint="eastAsia" w:ascii="仿宋_GB2312" w:hAnsi="仿宋_GB2312"/>
        </w:rPr>
        <w:t>构建覆盖城乡全体劳动者、贯穿劳动者学习工作终身、适应劳动者和市场需求的职业培训制度。发挥企业培训主体作用，全面推行企业新型学徒制，支持企业大规模开展在岗培训。建立开展以登记失业人员和农村劳动者等就业困难人群为主的中短期技能培训、岗位技能提升培训、职业技能培训制度。加大培训补贴资金投入，推行政府按需购买培训服务方式，对失业人员、高中毕业未升学人员、农民工、退役军人、残疾人等各类重点群体实施技能培训。实施技工教育质量提升工程，推行工学结合、校企合作的技术工人培养模式，培养一批管理规范、师资领先、教学严谨的技能人才实训基地。</w:t>
      </w:r>
      <w:bookmarkStart w:id="100" w:name="_Toc60646295"/>
    </w:p>
    <w:p>
      <w:pPr>
        <w:pStyle w:val="3"/>
        <w:spacing w:before="437" w:beforeLines="100" w:after="437" w:afterLines="100" w:line="600" w:lineRule="exact"/>
        <w:rPr>
          <w:rFonts w:ascii="黑体" w:hAnsi="黑体" w:eastAsia="黑体" w:cs="仿宋_GB2312"/>
          <w:b w:val="0"/>
          <w:bCs w:val="0"/>
          <w:color w:val="FF0000"/>
          <w:lang w:val="zh-CN"/>
        </w:rPr>
      </w:pPr>
      <w:r>
        <w:rPr>
          <w:rFonts w:hint="eastAsia" w:ascii="黑体" w:hAnsi="黑体" w:eastAsia="黑体" w:cs="仿宋_GB2312"/>
          <w:b w:val="0"/>
          <w:bCs w:val="0"/>
          <w:color w:val="000000"/>
          <w:lang w:val="zh-CN"/>
        </w:rPr>
        <w:t>第四十四章</w:t>
      </w:r>
      <w:bookmarkEnd w:id="100"/>
      <w:r>
        <w:rPr>
          <w:rFonts w:hint="eastAsia" w:ascii="黑体" w:hAnsi="黑体" w:eastAsia="黑体" w:cs="仿宋_GB2312"/>
          <w:b w:val="0"/>
          <w:bCs w:val="0"/>
          <w:color w:val="000000"/>
          <w:lang w:val="zh-CN"/>
        </w:rPr>
        <w:t xml:space="preserve"> </w:t>
      </w:r>
      <w:r>
        <w:rPr>
          <w:rFonts w:ascii="黑体" w:hAnsi="黑体" w:eastAsia="黑体" w:cs="仿宋_GB2312"/>
          <w:b w:val="0"/>
          <w:bCs w:val="0"/>
          <w:color w:val="000000"/>
          <w:lang w:val="zh-CN"/>
        </w:rPr>
        <w:t xml:space="preserve"> </w:t>
      </w:r>
      <w:r>
        <w:rPr>
          <w:rFonts w:hint="eastAsia" w:ascii="黑体" w:hAnsi="黑体" w:eastAsia="黑体" w:cs="仿宋_GB2312"/>
          <w:b w:val="0"/>
          <w:bCs w:val="0"/>
          <w:color w:val="000000"/>
          <w:lang w:val="zh-CN"/>
        </w:rPr>
        <w:t>加快建设教育强县</w:t>
      </w:r>
      <w:bookmarkStart w:id="101" w:name="_Toc60646296"/>
    </w:p>
    <w:p>
      <w:pPr>
        <w:pStyle w:val="72"/>
        <w:spacing w:line="600" w:lineRule="exact"/>
        <w:ind w:firstLine="640" w:firstLineChars="200"/>
        <w:jc w:val="both"/>
        <w:rPr>
          <w:rFonts w:ascii="仿宋_GB2312" w:hAnsi="仿宋_GB2312" w:eastAsia="仿宋_GB2312" w:cs="仿宋_GB2312"/>
          <w:sz w:val="32"/>
          <w:szCs w:val="32"/>
          <w:lang w:eastAsia="zh-CN"/>
        </w:rPr>
      </w:pPr>
      <w:r>
        <w:rPr>
          <w:rFonts w:hint="eastAsia" w:ascii="仿宋_GB2312" w:eastAsia="仿宋_GB2312"/>
          <w:sz w:val="32"/>
          <w:szCs w:val="32"/>
        </w:rPr>
        <w:t>围绕建设教育强县的目标，突出立德树人、教学质量两个重点，实施学生全面发展、教师全面提升、学校全面育人三大工程。</w:t>
      </w:r>
      <w:r>
        <w:rPr>
          <w:rFonts w:hint="eastAsia" w:ascii="仿宋_GB2312" w:hAnsi="仿宋_GB2312" w:eastAsia="仿宋_GB2312" w:cs="仿宋_GB2312"/>
          <w:sz w:val="32"/>
          <w:szCs w:val="32"/>
          <w:lang w:eastAsia="zh-CN"/>
        </w:rPr>
        <w:t>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lang w:eastAsia="zh-CN"/>
        </w:rPr>
        <w:t>年，全县教育整体水平和综合实力位居全市前列、全省上游。</w:t>
      </w:r>
    </w:p>
    <w:p>
      <w:pPr>
        <w:spacing w:line="600" w:lineRule="exact"/>
        <w:ind w:firstLine="640"/>
        <w:rPr>
          <w:rFonts w:ascii="仿宋_GB2312" w:hAnsi="Arial" w:cs="Arial"/>
          <w:szCs w:val="32"/>
        </w:rPr>
      </w:pPr>
      <w:r>
        <w:rPr>
          <w:rFonts w:hint="eastAsia" w:ascii="楷体_GB2312" w:eastAsia="楷体_GB2312"/>
          <w:szCs w:val="32"/>
        </w:rPr>
        <w:t>普惠发展学前教育。</w:t>
      </w:r>
      <w:r>
        <w:rPr>
          <w:rFonts w:hint="eastAsia" w:ascii="仿宋_GB2312" w:hAnsi="Arial" w:cs="Arial"/>
          <w:szCs w:val="32"/>
        </w:rPr>
        <w:t>严格实施幼儿园法人登记和办园许可证制度，进一步规范办园行为。严格实行资格准入制度，各类人员持证上岗。到</w:t>
      </w:r>
      <w:r>
        <w:rPr>
          <w:rFonts w:ascii="仿宋_GB2312" w:hAnsi="Arial" w:cs="Arial"/>
          <w:szCs w:val="32"/>
        </w:rPr>
        <w:t>2025</w:t>
      </w:r>
      <w:r>
        <w:rPr>
          <w:rFonts w:hint="eastAsia" w:ascii="仿宋_GB2312" w:hAnsi="Arial" w:cs="Arial"/>
          <w:szCs w:val="32"/>
        </w:rPr>
        <w:t>年，专科及以上幼儿教师比例达到</w:t>
      </w:r>
      <w:r>
        <w:rPr>
          <w:rFonts w:ascii="仿宋_GB2312" w:hAnsi="Arial" w:cs="Arial"/>
          <w:szCs w:val="32"/>
        </w:rPr>
        <w:t>80%</w:t>
      </w:r>
      <w:r>
        <w:rPr>
          <w:rFonts w:hint="eastAsia" w:ascii="仿宋_GB2312" w:hAnsi="Arial" w:cs="Arial"/>
          <w:szCs w:val="32"/>
        </w:rPr>
        <w:t>以上，学前三年适龄幼儿入园率</w:t>
      </w:r>
      <w:r>
        <w:rPr>
          <w:rFonts w:ascii="仿宋_GB2312" w:hAnsi="Arial" w:cs="Arial"/>
          <w:szCs w:val="32"/>
        </w:rPr>
        <w:t xml:space="preserve"> 90 %</w:t>
      </w:r>
      <w:r>
        <w:rPr>
          <w:rFonts w:hint="eastAsia" w:ascii="仿宋_GB2312" w:hAnsi="Arial" w:cs="Arial"/>
          <w:szCs w:val="32"/>
        </w:rPr>
        <w:t>以上，全县幼儿园普惠率</w:t>
      </w:r>
      <w:r>
        <w:rPr>
          <w:rFonts w:ascii="仿宋_GB2312" w:hAnsi="Arial" w:cs="Arial"/>
          <w:szCs w:val="32"/>
        </w:rPr>
        <w:t>85%</w:t>
      </w:r>
      <w:r>
        <w:rPr>
          <w:rFonts w:hint="eastAsia" w:ascii="仿宋_GB2312" w:hAnsi="Arial" w:cs="Arial"/>
          <w:szCs w:val="32"/>
        </w:rPr>
        <w:t>以上、公办率</w:t>
      </w:r>
      <w:r>
        <w:rPr>
          <w:rFonts w:ascii="仿宋_GB2312" w:hAnsi="Arial" w:cs="Arial"/>
          <w:szCs w:val="32"/>
        </w:rPr>
        <w:t>50%</w:t>
      </w:r>
      <w:r>
        <w:rPr>
          <w:rFonts w:hint="eastAsia" w:ascii="仿宋_GB2312" w:hAnsi="Arial" w:cs="Arial"/>
          <w:szCs w:val="32"/>
        </w:rPr>
        <w:t>以上。</w:t>
      </w:r>
    </w:p>
    <w:p>
      <w:pPr>
        <w:spacing w:line="600" w:lineRule="exact"/>
        <w:ind w:firstLine="640"/>
        <w:rPr>
          <w:rFonts w:ascii="仿宋_GB2312"/>
          <w:szCs w:val="32"/>
        </w:rPr>
      </w:pPr>
      <w:r>
        <w:rPr>
          <w:rFonts w:hint="eastAsia" w:ascii="楷体_GB2312" w:hAnsi="黑体" w:eastAsia="楷体_GB2312" w:cs="Arial"/>
          <w:bCs/>
          <w:szCs w:val="32"/>
        </w:rPr>
        <w:t>均衡发展义务教育</w:t>
      </w:r>
      <w:r>
        <w:rPr>
          <w:rFonts w:hint="eastAsia" w:ascii="楷体_GB2312" w:hAnsi="黑体" w:eastAsia="楷体_GB2312" w:cs="Arial"/>
          <w:szCs w:val="32"/>
        </w:rPr>
        <w:t>。</w:t>
      </w:r>
      <w:r>
        <w:rPr>
          <w:rFonts w:hint="eastAsia" w:ascii="仿宋_GB2312" w:hAnsi="黑体" w:cs="Arial"/>
          <w:szCs w:val="32"/>
        </w:rPr>
        <w:t>围绕教学质量抓管理，</w:t>
      </w:r>
      <w:r>
        <w:rPr>
          <w:rFonts w:hint="eastAsia" w:ascii="仿宋_GB2312" w:hAnsi="仿宋_GB2312"/>
          <w:szCs w:val="32"/>
        </w:rPr>
        <w:t>做实教学环节抓质量，优化学习环境抓成长。小学阶段以培养良好的行为习惯和浓厚的学习兴趣为主，</w:t>
      </w:r>
      <w:r>
        <w:rPr>
          <w:rFonts w:hint="eastAsia" w:ascii="仿宋_GB2312" w:hAnsi="仿宋"/>
          <w:szCs w:val="32"/>
        </w:rPr>
        <w:t>抓好振兴阅读工程，推行等级评价，促进学生全面而个性发展。</w:t>
      </w:r>
      <w:r>
        <w:rPr>
          <w:rFonts w:hint="eastAsia" w:ascii="仿宋_GB2312" w:hAnsi="仿宋_GB2312"/>
          <w:szCs w:val="32"/>
        </w:rPr>
        <w:t>初中阶段以培养学生掌握文化知识和基本技能为主，</w:t>
      </w:r>
      <w:r>
        <w:rPr>
          <w:rFonts w:hint="eastAsia" w:ascii="仿宋_GB2312"/>
          <w:szCs w:val="32"/>
        </w:rPr>
        <w:t>探索从初中开始培养尖子生策略，整合全县优秀师资，聘请知名专家对特优生集中培养。</w:t>
      </w:r>
      <w:r>
        <w:rPr>
          <w:rFonts w:hint="eastAsia" w:ascii="仿宋_GB2312" w:hAnsi="仿宋_GB2312"/>
          <w:szCs w:val="32"/>
        </w:rPr>
        <w:t>到</w:t>
      </w:r>
      <w:r>
        <w:rPr>
          <w:rFonts w:ascii="仿宋_GB2312" w:hAnsi="仿宋_GB2312"/>
          <w:szCs w:val="32"/>
        </w:rPr>
        <w:t>2025</w:t>
      </w:r>
      <w:r>
        <w:rPr>
          <w:rFonts w:hint="eastAsia" w:ascii="仿宋_GB2312" w:hAnsi="仿宋_GB2312"/>
          <w:szCs w:val="32"/>
        </w:rPr>
        <w:t>年，义务教育巩固率达到</w:t>
      </w:r>
      <w:r>
        <w:rPr>
          <w:rFonts w:ascii="仿宋_GB2312" w:hAnsi="仿宋_GB2312"/>
          <w:szCs w:val="32"/>
        </w:rPr>
        <w:t>98%</w:t>
      </w:r>
      <w:r>
        <w:rPr>
          <w:rFonts w:hint="eastAsia" w:ascii="仿宋_GB2312" w:hAnsi="仿宋_GB2312"/>
          <w:szCs w:val="32"/>
        </w:rPr>
        <w:t>以上。</w:t>
      </w:r>
    </w:p>
    <w:p>
      <w:pPr>
        <w:spacing w:line="600" w:lineRule="exact"/>
        <w:ind w:firstLine="640"/>
        <w:rPr>
          <w:rFonts w:ascii="仿宋_GB2312"/>
          <w:szCs w:val="32"/>
        </w:rPr>
      </w:pPr>
      <w:r>
        <w:rPr>
          <w:rFonts w:hint="eastAsia" w:ascii="楷体_GB2312" w:hAnsi="Arial" w:eastAsia="楷体_GB2312" w:cs="Arial"/>
          <w:szCs w:val="32"/>
        </w:rPr>
        <w:t>突破发展高中教育。</w:t>
      </w:r>
      <w:r>
        <w:rPr>
          <w:rFonts w:hint="eastAsia" w:ascii="仿宋_GB2312"/>
          <w:szCs w:val="32"/>
        </w:rPr>
        <w:t>坚持优质教育资源向高中倾斜，扩大高中办学规模，坚持精细化管理策略，引入高智能考试系统、巡课系统，研究高考政策，创新课堂教学模式，改革教学评价方式，围绕高考抓教研、抓评价，强化教改教研的针对性，大面积提高教学质量。加强培尖树优教育，</w:t>
      </w:r>
      <w:r>
        <w:rPr>
          <w:rFonts w:hint="eastAsia" w:ascii="仿宋_GB2312" w:hAnsi="仿宋_GB2312"/>
          <w:szCs w:val="32"/>
        </w:rPr>
        <w:t>继续落实“一生一方案”培养策略，让更多学生考入大学。到</w:t>
      </w:r>
      <w:r>
        <w:rPr>
          <w:rFonts w:ascii="仿宋_GB2312"/>
          <w:szCs w:val="32"/>
        </w:rPr>
        <w:t>2025</w:t>
      </w:r>
      <w:r>
        <w:rPr>
          <w:rFonts w:hint="eastAsia" w:ascii="仿宋_GB2312"/>
          <w:szCs w:val="32"/>
        </w:rPr>
        <w:t>年，全面普及高中教育，</w:t>
      </w:r>
      <w:r>
        <w:rPr>
          <w:rFonts w:hint="eastAsia" w:ascii="仿宋_GB2312" w:hAnsi="仿宋_GB2312" w:cs="仿宋_GB2312"/>
          <w:szCs w:val="32"/>
        </w:rPr>
        <w:t>毛入学率达到</w:t>
      </w:r>
      <w:r>
        <w:rPr>
          <w:rFonts w:ascii="仿宋_GB2312" w:hAnsi="仿宋_GB2312" w:cs="仿宋_GB2312"/>
          <w:szCs w:val="32"/>
        </w:rPr>
        <w:t>96%</w:t>
      </w:r>
      <w:r>
        <w:rPr>
          <w:rFonts w:hint="eastAsia" w:ascii="仿宋_GB2312" w:hAnsi="仿宋_GB2312" w:cs="仿宋_GB2312"/>
          <w:szCs w:val="32"/>
        </w:rPr>
        <w:t>以上，</w:t>
      </w:r>
      <w:r>
        <w:rPr>
          <w:rFonts w:hint="eastAsia" w:ascii="仿宋_GB2312" w:hAnsi="Arial" w:cs="Arial"/>
          <w:szCs w:val="32"/>
        </w:rPr>
        <w:t>高考上线率达到</w:t>
      </w:r>
      <w:r>
        <w:rPr>
          <w:rFonts w:ascii="仿宋_GB2312" w:hAnsi="Arial" w:cs="Arial"/>
          <w:szCs w:val="32"/>
        </w:rPr>
        <w:t>90%</w:t>
      </w:r>
      <w:r>
        <w:rPr>
          <w:rFonts w:hint="eastAsia" w:ascii="仿宋_GB2312" w:hAnsi="Arial" w:cs="Arial"/>
          <w:szCs w:val="32"/>
        </w:rPr>
        <w:t>，录取率达到</w:t>
      </w:r>
      <w:r>
        <w:rPr>
          <w:rFonts w:ascii="仿宋_GB2312" w:hAnsi="Arial" w:cs="Arial"/>
          <w:szCs w:val="32"/>
        </w:rPr>
        <w:t>85%</w:t>
      </w:r>
      <w:r>
        <w:rPr>
          <w:rFonts w:hint="eastAsia" w:ascii="仿宋_GB2312" w:hAnsi="Arial" w:cs="Arial"/>
          <w:szCs w:val="32"/>
        </w:rPr>
        <w:t>。</w:t>
      </w:r>
    </w:p>
    <w:p>
      <w:pPr>
        <w:spacing w:line="600" w:lineRule="exact"/>
        <w:ind w:firstLine="640"/>
        <w:rPr>
          <w:rFonts w:ascii="仿宋_GB2312"/>
          <w:szCs w:val="32"/>
        </w:rPr>
      </w:pPr>
      <w:r>
        <w:rPr>
          <w:rFonts w:hint="eastAsia" w:ascii="楷体_GB2312" w:eastAsia="楷体_GB2312"/>
          <w:szCs w:val="32"/>
        </w:rPr>
        <w:t>构建现代职业教育体系。</w:t>
      </w:r>
      <w:r>
        <w:rPr>
          <w:rFonts w:hint="eastAsia" w:ascii="仿宋_GB2312"/>
          <w:szCs w:val="32"/>
        </w:rPr>
        <w:t>到</w:t>
      </w:r>
      <w:r>
        <w:rPr>
          <w:rFonts w:ascii="仿宋_GB2312"/>
          <w:szCs w:val="32"/>
        </w:rPr>
        <w:t>2022</w:t>
      </w:r>
      <w:r>
        <w:rPr>
          <w:rFonts w:hint="eastAsia" w:ascii="仿宋_GB2312"/>
          <w:szCs w:val="32"/>
        </w:rPr>
        <w:t>年，完成冠县职业教育中心山东省示范性中等职业学校建设项目。加快推进职教中心基础设施三期工程建设。建设高标准培训中心。加强“</w:t>
      </w:r>
      <w:r>
        <w:rPr>
          <w:rFonts w:ascii="仿宋_GB2312"/>
          <w:szCs w:val="32"/>
        </w:rPr>
        <w:t>3+2</w:t>
      </w:r>
      <w:r>
        <w:rPr>
          <w:rFonts w:hint="eastAsia" w:ascii="仿宋_GB2312"/>
          <w:szCs w:val="32"/>
        </w:rPr>
        <w:t>”专科教育，争办“</w:t>
      </w:r>
      <w:r>
        <w:rPr>
          <w:rFonts w:ascii="仿宋_GB2312"/>
          <w:szCs w:val="32"/>
        </w:rPr>
        <w:t>3+4</w:t>
      </w:r>
      <w:r>
        <w:rPr>
          <w:rFonts w:hint="eastAsia" w:ascii="仿宋_GB2312"/>
          <w:szCs w:val="32"/>
        </w:rPr>
        <w:t>”本科教育。争创</w:t>
      </w:r>
      <w:r>
        <w:rPr>
          <w:rFonts w:ascii="仿宋_GB2312"/>
          <w:szCs w:val="32"/>
        </w:rPr>
        <w:t>2-3</w:t>
      </w:r>
      <w:r>
        <w:rPr>
          <w:rFonts w:hint="eastAsia" w:ascii="仿宋_GB2312"/>
          <w:szCs w:val="32"/>
        </w:rPr>
        <w:t>个省级品牌特色专业（群）。建设职教中心产教融合实训基地。</w:t>
      </w:r>
    </w:p>
    <w:p>
      <w:pPr>
        <w:spacing w:line="600" w:lineRule="exact"/>
        <w:ind w:firstLine="640"/>
        <w:rPr>
          <w:rFonts w:ascii="仿宋_GB2312" w:hAnsi="Arial" w:cs="Arial"/>
          <w:szCs w:val="32"/>
        </w:rPr>
      </w:pPr>
      <w:r>
        <w:rPr>
          <w:rFonts w:hint="eastAsia" w:ascii="楷体_GB2312" w:hAnsi="Arial" w:eastAsia="楷体_GB2312" w:cs="Arial"/>
          <w:szCs w:val="32"/>
        </w:rPr>
        <w:t>完善特殊教育服务体系。</w:t>
      </w:r>
      <w:r>
        <w:rPr>
          <w:rFonts w:hint="eastAsia" w:ascii="仿宋_GB2312" w:hAnsi="仿宋_GB2312"/>
        </w:rPr>
        <w:t>完善特殊教育融合发展机制，构建医教康教相结合的专业服务体系。通过特殊教育学校就读、普通学校随班就读、送教上门等多种方式，保证残疾儿童少年完成义务教育。</w:t>
      </w:r>
      <w:r>
        <w:rPr>
          <w:rFonts w:hint="eastAsia" w:ascii="仿宋_GB2312" w:hAnsi="Arial" w:cs="Arial"/>
          <w:szCs w:val="32"/>
        </w:rPr>
        <w:t>到</w:t>
      </w:r>
      <w:r>
        <w:rPr>
          <w:rFonts w:ascii="仿宋_GB2312" w:hAnsi="Arial" w:cs="Arial"/>
          <w:szCs w:val="32"/>
        </w:rPr>
        <w:t>2025</w:t>
      </w:r>
      <w:r>
        <w:rPr>
          <w:rFonts w:hint="eastAsia" w:ascii="仿宋_GB2312" w:hAnsi="Arial" w:cs="Arial"/>
          <w:szCs w:val="32"/>
        </w:rPr>
        <w:t>年，</w:t>
      </w:r>
      <w:r>
        <w:rPr>
          <w:rFonts w:ascii="仿宋_GB2312" w:hAnsi="Arial" w:cs="Arial"/>
          <w:szCs w:val="32"/>
        </w:rPr>
        <w:t>3-14</w:t>
      </w:r>
      <w:r>
        <w:rPr>
          <w:rFonts w:hint="eastAsia" w:ascii="仿宋_GB2312" w:hAnsi="Arial" w:cs="Arial"/>
          <w:szCs w:val="32"/>
        </w:rPr>
        <w:t>岁三类残疾人口入学率达</w:t>
      </w:r>
      <w:r>
        <w:rPr>
          <w:rFonts w:ascii="仿宋_GB2312" w:hAnsi="Arial" w:cs="Arial"/>
          <w:szCs w:val="32"/>
        </w:rPr>
        <w:t>95%</w:t>
      </w:r>
      <w:r>
        <w:rPr>
          <w:rFonts w:hint="eastAsia" w:ascii="仿宋_GB2312" w:hAnsi="Arial" w:cs="Arial"/>
          <w:szCs w:val="32"/>
        </w:rPr>
        <w:t>以上。</w:t>
      </w:r>
    </w:p>
    <w:p>
      <w:pPr>
        <w:spacing w:line="600" w:lineRule="exact"/>
        <w:ind w:firstLine="640"/>
        <w:rPr>
          <w:rFonts w:ascii="仿宋_GB2312" w:cs="仿宋_GB2312"/>
          <w:szCs w:val="32"/>
        </w:rPr>
      </w:pPr>
      <w:r>
        <w:rPr>
          <w:rFonts w:hint="eastAsia" w:ascii="楷体_GB2312" w:eastAsia="楷体_GB2312"/>
        </w:rPr>
        <w:t>筑牢现代教育支撑体系。</w:t>
      </w:r>
      <w:r>
        <w:rPr>
          <w:rFonts w:hint="eastAsia" w:ascii="仿宋_GB2312" w:hAnsi="仿宋_GB2312" w:cs="仿宋_GB2312"/>
          <w:szCs w:val="32"/>
        </w:rPr>
        <w:t>每年至少招聘</w:t>
      </w:r>
      <w:r>
        <w:rPr>
          <w:rFonts w:ascii="仿宋_GB2312" w:hAnsi="仿宋_GB2312" w:cs="仿宋_GB2312"/>
          <w:szCs w:val="32"/>
        </w:rPr>
        <w:t>500</w:t>
      </w:r>
      <w:r>
        <w:rPr>
          <w:rFonts w:hint="eastAsia" w:ascii="仿宋_GB2312" w:hAnsi="仿宋_GB2312" w:cs="仿宋_GB2312"/>
          <w:szCs w:val="32"/>
        </w:rPr>
        <w:t>名本科学历的中小学教师、</w:t>
      </w:r>
      <w:r>
        <w:rPr>
          <w:rFonts w:ascii="仿宋_GB2312" w:hAnsi="仿宋_GB2312" w:cs="仿宋_GB2312"/>
          <w:szCs w:val="32"/>
        </w:rPr>
        <w:t>100</w:t>
      </w:r>
      <w:r>
        <w:rPr>
          <w:rFonts w:hint="eastAsia" w:ascii="仿宋_GB2312" w:hAnsi="仿宋_GB2312" w:cs="仿宋_GB2312"/>
          <w:szCs w:val="32"/>
        </w:rPr>
        <w:t>名专科学历的幼儿园教师。到</w:t>
      </w:r>
      <w:r>
        <w:rPr>
          <w:rFonts w:ascii="仿宋_GB2312" w:hAnsi="仿宋_GB2312" w:cs="仿宋_GB2312"/>
          <w:szCs w:val="32"/>
        </w:rPr>
        <w:t>2025</w:t>
      </w:r>
      <w:r>
        <w:rPr>
          <w:rFonts w:hint="eastAsia" w:ascii="仿宋_GB2312" w:hAnsi="仿宋_GB2312" w:cs="仿宋_GB2312"/>
          <w:szCs w:val="32"/>
        </w:rPr>
        <w:t>年，高中专任教师力争部分达到研究生学历。建立健全校长队伍梯级机制。推行中小学校长职级制</w:t>
      </w:r>
      <w:r>
        <w:rPr>
          <w:rFonts w:hint="eastAsia" w:ascii="仿宋_GB2312" w:hAnsi="仿宋_GB2312" w:cs="仿宋_GB2312"/>
          <w:szCs w:val="32"/>
          <w:lang w:val="zh-CN"/>
        </w:rPr>
        <w:t>改革。</w:t>
      </w:r>
      <w:r>
        <w:rPr>
          <w:rFonts w:hint="eastAsia" w:ascii="仿宋_GB2312"/>
          <w:szCs w:val="32"/>
        </w:rPr>
        <w:t>根据《冠县中小学及幼儿园布局规划（</w:t>
      </w:r>
      <w:r>
        <w:rPr>
          <w:rFonts w:ascii="仿宋_GB2312"/>
          <w:szCs w:val="32"/>
        </w:rPr>
        <w:t>2019-2030</w:t>
      </w:r>
      <w:r>
        <w:rPr>
          <w:rFonts w:hint="eastAsia" w:ascii="仿宋_GB2312"/>
          <w:szCs w:val="32"/>
        </w:rPr>
        <w:t>）》，</w:t>
      </w:r>
      <w:r>
        <w:rPr>
          <w:rFonts w:ascii="仿宋_GB2312"/>
          <w:szCs w:val="32"/>
        </w:rPr>
        <w:t>2021-2025</w:t>
      </w:r>
      <w:r>
        <w:rPr>
          <w:rFonts w:hint="eastAsia" w:ascii="仿宋_GB2312"/>
          <w:szCs w:val="32"/>
        </w:rPr>
        <w:t>年新建幼儿园</w:t>
      </w:r>
      <w:r>
        <w:rPr>
          <w:rFonts w:ascii="仿宋_GB2312"/>
          <w:szCs w:val="32"/>
        </w:rPr>
        <w:t>11</w:t>
      </w:r>
      <w:r>
        <w:rPr>
          <w:rFonts w:hint="eastAsia" w:ascii="仿宋_GB2312"/>
          <w:szCs w:val="32"/>
        </w:rPr>
        <w:t>处、小学</w:t>
      </w:r>
      <w:r>
        <w:rPr>
          <w:rFonts w:ascii="仿宋_GB2312"/>
          <w:szCs w:val="32"/>
        </w:rPr>
        <w:t>2</w:t>
      </w:r>
      <w:r>
        <w:rPr>
          <w:rFonts w:hint="eastAsia" w:ascii="仿宋_GB2312"/>
          <w:szCs w:val="32"/>
        </w:rPr>
        <w:t>所、初中</w:t>
      </w:r>
      <w:r>
        <w:rPr>
          <w:rFonts w:ascii="仿宋_GB2312"/>
          <w:szCs w:val="32"/>
        </w:rPr>
        <w:t>1</w:t>
      </w:r>
      <w:r>
        <w:rPr>
          <w:rFonts w:hint="eastAsia" w:ascii="仿宋_GB2312"/>
          <w:szCs w:val="32"/>
        </w:rPr>
        <w:t>所、高中</w:t>
      </w:r>
      <w:r>
        <w:rPr>
          <w:rFonts w:ascii="仿宋_GB2312"/>
          <w:szCs w:val="32"/>
        </w:rPr>
        <w:t>2</w:t>
      </w:r>
      <w:r>
        <w:rPr>
          <w:rFonts w:hint="eastAsia" w:ascii="仿宋_GB2312"/>
          <w:szCs w:val="32"/>
        </w:rPr>
        <w:t>所；建设教师周转房</w:t>
      </w:r>
      <w:r>
        <w:rPr>
          <w:rFonts w:ascii="仿宋_GB2312"/>
          <w:szCs w:val="32"/>
        </w:rPr>
        <w:t>126</w:t>
      </w:r>
      <w:r>
        <w:rPr>
          <w:rFonts w:hint="eastAsia" w:ascii="仿宋_GB2312"/>
          <w:szCs w:val="32"/>
        </w:rPr>
        <w:t>套、学生餐厅</w:t>
      </w:r>
      <w:r>
        <w:rPr>
          <w:rFonts w:ascii="仿宋_GB2312"/>
          <w:szCs w:val="32"/>
        </w:rPr>
        <w:t>6</w:t>
      </w:r>
      <w:r>
        <w:rPr>
          <w:rFonts w:hint="eastAsia" w:ascii="仿宋_GB2312"/>
          <w:szCs w:val="32"/>
        </w:rPr>
        <w:t>个。采取多种投资方式，加快智慧校园建设，到</w:t>
      </w:r>
      <w:r>
        <w:rPr>
          <w:rFonts w:ascii="仿宋_GB2312"/>
          <w:szCs w:val="32"/>
        </w:rPr>
        <w:t xml:space="preserve">2025 </w:t>
      </w:r>
      <w:r>
        <w:rPr>
          <w:rFonts w:hint="eastAsia" w:ascii="仿宋_GB2312"/>
          <w:szCs w:val="32"/>
        </w:rPr>
        <w:t>年，全县各级各类学校高标准完成“智慧校园”建设。</w:t>
      </w:r>
    </w:p>
    <w:bookmarkEnd w:id="101"/>
    <w:p>
      <w:pPr>
        <w:pStyle w:val="3"/>
        <w:spacing w:before="437" w:beforeLines="100" w:after="437" w:afterLines="100" w:line="600" w:lineRule="exact"/>
        <w:rPr>
          <w:rFonts w:ascii="黑体" w:hAnsi="黑体" w:eastAsia="黑体" w:cs="仿宋_GB2312"/>
          <w:b w:val="0"/>
          <w:bCs w:val="0"/>
          <w:color w:val="000000"/>
          <w:lang w:val="zh-CN"/>
        </w:rPr>
      </w:pPr>
      <w:bookmarkStart w:id="102" w:name="_Toc60646302"/>
      <w:r>
        <w:rPr>
          <w:rFonts w:hint="eastAsia" w:ascii="黑体" w:hAnsi="黑体" w:eastAsia="黑体" w:cs="仿宋_GB2312"/>
          <w:b w:val="0"/>
          <w:bCs w:val="0"/>
          <w:color w:val="000000"/>
          <w:lang w:val="zh-CN"/>
        </w:rPr>
        <w:t xml:space="preserve">第四十五章 </w:t>
      </w:r>
      <w:r>
        <w:rPr>
          <w:rFonts w:ascii="黑体" w:hAnsi="黑体" w:eastAsia="黑体" w:cs="仿宋_GB2312"/>
          <w:b w:val="0"/>
          <w:bCs w:val="0"/>
          <w:color w:val="000000"/>
          <w:lang w:val="zh-CN"/>
        </w:rPr>
        <w:t xml:space="preserve"> </w:t>
      </w:r>
      <w:r>
        <w:rPr>
          <w:rFonts w:hint="eastAsia" w:ascii="黑体" w:hAnsi="黑体" w:eastAsia="黑体" w:cs="仿宋_GB2312"/>
          <w:b w:val="0"/>
          <w:bCs w:val="0"/>
          <w:color w:val="000000"/>
          <w:lang w:val="zh-CN"/>
        </w:rPr>
        <w:t>健全社会保障体系</w:t>
      </w:r>
      <w:bookmarkEnd w:id="102"/>
    </w:p>
    <w:p>
      <w:pPr>
        <w:spacing w:line="580" w:lineRule="exact"/>
        <w:ind w:firstLine="640"/>
        <w:rPr>
          <w:lang w:val="zh-CN"/>
        </w:rPr>
      </w:pPr>
      <w:bookmarkStart w:id="103" w:name="_Toc60646303"/>
      <w:r>
        <w:rPr>
          <w:rFonts w:hint="eastAsia" w:ascii="楷体_GB2312" w:hAnsi="楷体_GB2312" w:eastAsia="楷体_GB2312" w:cs="楷体_GB2312"/>
          <w:lang w:val="zh-CN"/>
        </w:rPr>
        <w:t>完善覆盖全民的社会保障制度体系。</w:t>
      </w:r>
      <w:r>
        <w:rPr>
          <w:rFonts w:hint="eastAsia"/>
          <w:lang w:val="zh-CN"/>
        </w:rPr>
        <w:t>落实基本养老保险全国统筹制度和省级统筹工作部署，深化机关事业单位养老保险制度改革。深入实施全民参保计划，以农民工、个体从业、灵活就业和新业态从业人员等群体为重点，实现职工基本养老保险由制度全覆盖到法定人群全覆盖，居民基本养老保险基本实现适龄参保人员应保尽保。落实渐进式法定退休年龄延迟制度，适时适度调整退休人员基本养老金。落实居民基本养老保险待遇确定和基础养老金正常调整机制。提高基本医疗保险筹资和待遇标准，建立健全以基本医疗保险为主体，医疗救助为托底，补充医疗保险、商业健康保险、慈善捐赠共同发展的医疗保障制度体系，健全重大疾病医疗保险和救助，落实异地就医结算，健全长期护理保险制度。根据省、市要求，扩大失业保险受益范围，落实稳步提高失业保险金水平政策。完善工伤保险省级统筹配套政策，推动建立按项目参加工伤保险长效机制，适度提高待遇水平。全面推行以社会保障卡为载体的“一卡通”服务模式，大力发展电子社保卡，形成线上线下协同并用，全面推进跨部门跨地区应用。</w:t>
      </w:r>
    </w:p>
    <w:bookmarkEnd w:id="103"/>
    <w:p>
      <w:pPr>
        <w:spacing w:line="600" w:lineRule="exact"/>
        <w:ind w:firstLine="640"/>
        <w:rPr>
          <w:lang w:val="zh-CN"/>
        </w:rPr>
      </w:pPr>
      <w:bookmarkStart w:id="104" w:name="_Toc60646304"/>
      <w:r>
        <w:rPr>
          <w:rFonts w:hint="eastAsia" w:ascii="楷体_GB2312" w:hAnsi="楷体_GB2312" w:eastAsia="楷体_GB2312" w:cs="楷体_GB2312"/>
          <w:lang w:val="zh-CN"/>
        </w:rPr>
        <w:t>健全完善社会救助体系</w:t>
      </w:r>
      <w:bookmarkEnd w:id="104"/>
      <w:r>
        <w:rPr>
          <w:rFonts w:hint="eastAsia" w:ascii="楷体_GB2312" w:hAnsi="楷体_GB2312" w:eastAsia="楷体_GB2312" w:cs="楷体_GB2312"/>
          <w:lang w:val="zh-CN"/>
        </w:rPr>
        <w:t>。</w:t>
      </w:r>
      <w:r>
        <w:rPr>
          <w:rFonts w:hint="eastAsia" w:ascii="仿宋_GB2312" w:hAnsi="仿宋_GB2312" w:cs="仿宋_GB2312"/>
          <w:lang w:val="zh-CN"/>
        </w:rPr>
        <w:t>改革完善社会救助制度，用两年左右的时间，建立健全以基本生活救助、专项社会救助、临时救助为主体，以社会力量参与为补充，以信息化为支撑，分层分类、城乡统筹的社会救助体系，构建制度衔接、资源统筹、部门联动、社会参与、信息共享的综合救助格局。完善最低生活保障制度，城乡低保标准占当地上年度城乡居民人均消费支出的比例在</w:t>
      </w:r>
      <w:r>
        <w:rPr>
          <w:rFonts w:ascii="仿宋_GB2312" w:hAnsi="仿宋_GB2312" w:cs="仿宋_GB2312"/>
          <w:lang w:val="zh-CN"/>
        </w:rPr>
        <w:t>25-35%</w:t>
      </w:r>
      <w:r>
        <w:rPr>
          <w:rFonts w:hint="eastAsia" w:ascii="仿宋_GB2312" w:hAnsi="仿宋_GB2312" w:cs="仿宋_GB2312"/>
          <w:lang w:val="zh-CN"/>
        </w:rPr>
        <w:t>和</w:t>
      </w:r>
      <w:r>
        <w:rPr>
          <w:rFonts w:ascii="仿宋_GB2312" w:hAnsi="仿宋_GB2312" w:cs="仿宋_GB2312"/>
          <w:lang w:val="zh-CN"/>
        </w:rPr>
        <w:t>35-45%</w:t>
      </w:r>
      <w:r>
        <w:rPr>
          <w:rFonts w:hint="eastAsia" w:ascii="仿宋_GB2312" w:hAnsi="仿宋_GB2312" w:cs="仿宋_GB2312"/>
          <w:lang w:val="zh-CN"/>
        </w:rPr>
        <w:t>之间实现稳步可持续增长。完善特困人员救助供养制度，对无劳动能力、无生活来源、无法定赡养抚养义务人或者其法定义务人无履行义务能力的城乡老年人、残疾人、未成年人，给予特困人员救助供养。完善临时救助制度，对于患重特大疾病、因子女自负教育费用负担过重的支出型救助对象给予临时救助。提升基层社会救助工作能力，健全完善县、乡、村三级衔接互通的社会救助工作网络、优化救助审批程序，推进现代信息技术在社会救助领域的运用，进一步提高社会救助服务效率和质量。到</w:t>
      </w:r>
      <w:r>
        <w:rPr>
          <w:rFonts w:ascii="仿宋_GB2312" w:hAnsi="仿宋_GB2312" w:cs="仿宋_GB2312"/>
          <w:lang w:val="zh-CN"/>
        </w:rPr>
        <w:t>2025</w:t>
      </w:r>
      <w:r>
        <w:rPr>
          <w:rFonts w:hint="eastAsia" w:ascii="仿宋_GB2312" w:hAnsi="仿宋_GB2312" w:cs="仿宋_GB2312"/>
          <w:lang w:val="zh-CN"/>
        </w:rPr>
        <w:t>年，全县城乡低保标准争取实现城乡统一，全县社会救助体系更加完善。</w:t>
      </w:r>
    </w:p>
    <w:p>
      <w:pPr>
        <w:spacing w:line="620" w:lineRule="exact"/>
        <w:ind w:firstLine="640"/>
        <w:rPr>
          <w:color w:val="FF0000"/>
          <w:lang w:val="zh-CN"/>
        </w:rPr>
      </w:pPr>
      <w:r>
        <w:rPr>
          <w:rFonts w:hint="eastAsia" w:ascii="楷体_GB2312" w:hAnsi="楷体_GB2312" w:eastAsia="楷体_GB2312" w:cs="楷体_GB2312"/>
          <w:lang w:val="zh-CN"/>
        </w:rPr>
        <w:t>加强退役军人工作。</w:t>
      </w:r>
      <w:r>
        <w:rPr>
          <w:rFonts w:hint="eastAsia"/>
          <w:lang w:val="zh-CN"/>
        </w:rPr>
        <w:t>依法保障退役军人合法权益，畅通诉求表达渠道。严格落实退役金、抚恤金、优待金等动态增长机制，落实优待证制度，推动基本优待目录清单落地生效。完善退役军人服务保障体系，加强光荣院服务保障能力。完善移交安置制度，落实安置属地责任，拓展安置渠道，提高安置质量。落实退役军人就业创业扶持政策，促进退役军人更充分就业、更广泛创新创业。广泛开展烈士褒扬纪念活动，加强烈士纪念设施修缮保护，大力宣传弘扬英烈精神。</w:t>
      </w:r>
    </w:p>
    <w:p>
      <w:pPr>
        <w:spacing w:line="620" w:lineRule="exact"/>
        <w:ind w:firstLine="640"/>
        <w:rPr>
          <w:lang w:val="zh-CN"/>
        </w:rPr>
      </w:pPr>
      <w:r>
        <w:rPr>
          <w:rFonts w:hint="eastAsia" w:ascii="楷体_GB2312" w:hAnsi="楷体_GB2312" w:eastAsia="楷体_GB2312" w:cs="楷体_GB2312"/>
          <w:lang w:val="zh-CN"/>
        </w:rPr>
        <w:t>促进妇女儿童全面发展。</w:t>
      </w:r>
      <w:r>
        <w:rPr>
          <w:rFonts w:hint="eastAsia"/>
        </w:rPr>
        <w:t>全面贯彻落实</w:t>
      </w:r>
      <w:r>
        <w:rPr>
          <w:rFonts w:hint="eastAsia"/>
          <w:lang w:val="zh-CN"/>
        </w:rPr>
        <w:t>男女平等基本国策，</w:t>
      </w:r>
      <w:r>
        <w:rPr>
          <w:rFonts w:hint="eastAsia" w:ascii="仿宋_GB2312"/>
          <w:lang w:val="zh-CN"/>
        </w:rPr>
        <w:t>保障妇女儿童合法权益</w:t>
      </w:r>
      <w:r>
        <w:rPr>
          <w:rFonts w:hint="eastAsia"/>
          <w:lang w:val="zh-CN"/>
        </w:rPr>
        <w:t>。</w:t>
      </w:r>
      <w:r>
        <w:rPr>
          <w:rFonts w:hint="eastAsia"/>
        </w:rPr>
        <w:t>实施中国妇女发展纲要。构建以男女平等为核心的先进性别文化，</w:t>
      </w:r>
      <w:r>
        <w:rPr>
          <w:rFonts w:hint="eastAsia" w:ascii="仿宋_GB2312"/>
          <w:lang w:val="zh-CN"/>
        </w:rPr>
        <w:t>营造妇女公平就业制度环境，保障广大妇女平等就业、体面劳动、全面发展。加强女干部及各类女性人才的培养和使用，</w:t>
      </w:r>
      <w:r>
        <w:rPr>
          <w:rFonts w:hint="eastAsia"/>
        </w:rPr>
        <w:t>提高妇女参政议政水平。</w:t>
      </w:r>
      <w:r>
        <w:rPr>
          <w:rFonts w:hint="eastAsia" w:ascii="仿宋_GB2312"/>
          <w:lang w:val="zh-CN"/>
        </w:rPr>
        <w:t>支持巾帼家政服务业、妇字号龙头企业加快发展。</w:t>
      </w:r>
      <w:r>
        <w:rPr>
          <w:rFonts w:hint="eastAsia"/>
        </w:rPr>
        <w:t>实施中国儿童发展纲要。贯彻落实儿童优先原则，保障资源配置对儿童基本需求的高度优先。</w:t>
      </w:r>
      <w:r>
        <w:rPr>
          <w:rFonts w:hint="eastAsia" w:ascii="仿宋_GB2312"/>
          <w:lang w:val="zh-CN"/>
        </w:rPr>
        <w:t>促进</w:t>
      </w:r>
      <w:r>
        <w:rPr>
          <w:rFonts w:ascii="仿宋_GB2312"/>
          <w:lang w:val="zh-CN"/>
        </w:rPr>
        <w:t>3</w:t>
      </w:r>
      <w:r>
        <w:rPr>
          <w:rFonts w:hint="eastAsia" w:ascii="仿宋_GB2312"/>
          <w:lang w:val="zh-CN"/>
        </w:rPr>
        <w:t>岁以下婴幼儿照护事业发展，完善妇女儿童活动场所建设。深入推进“五好家庭”“最美家庭”“美丽庭院”创建。提升儿童福利保障，健全未成年人救助保护机构，推动儿童福利机构转型升级，规范儿童福利院运行。健全农村留守妇女儿童等特殊困境群体关爱服务体系，</w:t>
      </w:r>
      <w:r>
        <w:rPr>
          <w:rFonts w:hint="eastAsia"/>
          <w:lang w:val="zh-CN"/>
        </w:rPr>
        <w:t>不断扩大农村妇女、</w:t>
      </w:r>
      <w:r>
        <w:rPr>
          <w:rFonts w:hint="eastAsia"/>
        </w:rPr>
        <w:t>城镇低保家庭妇女</w:t>
      </w:r>
      <w:r>
        <w:rPr>
          <w:rFonts w:hint="eastAsia"/>
          <w:lang w:val="zh-CN"/>
        </w:rPr>
        <w:t>“两癌”免费检查</w:t>
      </w:r>
      <w:r>
        <w:rPr>
          <w:rFonts w:hint="eastAsia"/>
        </w:rPr>
        <w:t>和救助</w:t>
      </w:r>
      <w:r>
        <w:rPr>
          <w:rFonts w:hint="eastAsia"/>
          <w:lang w:val="zh-CN"/>
        </w:rPr>
        <w:t>覆盖面。</w:t>
      </w:r>
    </w:p>
    <w:p>
      <w:pPr>
        <w:spacing w:line="620" w:lineRule="exact"/>
        <w:ind w:firstLine="640"/>
        <w:rPr>
          <w:lang w:val="zh-CN"/>
        </w:rPr>
      </w:pPr>
      <w:r>
        <w:rPr>
          <w:rFonts w:hint="eastAsia" w:ascii="楷体_GB2312" w:hAnsi="楷体_GB2312" w:eastAsia="楷体_GB2312" w:cs="楷体_GB2312"/>
          <w:lang w:val="zh-CN"/>
        </w:rPr>
        <w:t>提升残疾人保障水平。</w:t>
      </w:r>
      <w:r>
        <w:rPr>
          <w:rFonts w:hint="eastAsia" w:ascii="仿宋_GB2312"/>
          <w:lang w:val="zh-CN"/>
        </w:rPr>
        <w:t>构建与经济社会发展相协调、与残疾人康复需求相适应的多元化康复服务体系、多层次康复保障制度，推进残疾人康复中心建设。重点实施残疾儿童康复救助，依托社区卫生服务中心、乡镇卫生院、村卫生室等开展成年残疾人日常康复训练。构建多元化辅助器具服务网络，为残疾群众提供便捷的辅具服务。坚持以政府投入为主，加强乡镇（街道）残联以及村（社区）残协和“残疾人之家”建设工作。“十四五”期间，残疾人参加城乡居民养老保险，将只适用于重度残疾人等缴费困难群体的最低选择</w:t>
      </w:r>
      <w:r>
        <w:rPr>
          <w:rFonts w:ascii="仿宋_GB2312"/>
          <w:lang w:val="zh-CN"/>
        </w:rPr>
        <w:t>100</w:t>
      </w:r>
      <w:r>
        <w:rPr>
          <w:rFonts w:hint="eastAsia" w:ascii="仿宋_GB2312"/>
          <w:lang w:val="zh-CN"/>
        </w:rPr>
        <w:t>元档次提升到</w:t>
      </w:r>
      <w:r>
        <w:rPr>
          <w:rFonts w:ascii="仿宋_GB2312"/>
          <w:lang w:val="zh-CN"/>
        </w:rPr>
        <w:t>300</w:t>
      </w:r>
      <w:r>
        <w:rPr>
          <w:rFonts w:hint="eastAsia" w:ascii="仿宋_GB2312"/>
          <w:lang w:val="zh-CN"/>
        </w:rPr>
        <w:t>元档次，全部由政府代缴；残疾人参加城乡居民医疗保险，将享受贫困人口政府代缴待遇的范围扩大到全体重度残疾人；对个体就业和自谋职业的残疾人，基本养老、医疗保险给予一定的补贴。</w:t>
      </w:r>
      <w:bookmarkStart w:id="105" w:name="_Toc60646308"/>
    </w:p>
    <w:p>
      <w:pPr>
        <w:spacing w:line="600" w:lineRule="exact"/>
        <w:ind w:firstLine="640"/>
        <w:rPr>
          <w:lang w:val="zh-CN"/>
        </w:rPr>
      </w:pPr>
    </w:p>
    <w:p>
      <w:pPr>
        <w:spacing w:line="600" w:lineRule="exact"/>
        <w:ind w:firstLine="0" w:firstLineChars="0"/>
        <w:jc w:val="center"/>
        <w:rPr>
          <w:rFonts w:ascii="黑体" w:hAnsi="黑体" w:eastAsia="黑体"/>
          <w:bCs/>
        </w:rPr>
      </w:pPr>
      <w:r>
        <w:rPr>
          <w:rFonts w:hint="eastAsia" w:ascii="黑体" w:hAnsi="黑体" w:eastAsia="黑体"/>
          <w:bCs/>
        </w:rPr>
        <w:t xml:space="preserve">第四十六章 </w:t>
      </w:r>
      <w:r>
        <w:rPr>
          <w:rFonts w:ascii="黑体" w:hAnsi="黑体" w:eastAsia="黑体"/>
          <w:bCs/>
        </w:rPr>
        <w:t xml:space="preserve"> </w:t>
      </w:r>
      <w:r>
        <w:rPr>
          <w:rFonts w:hint="eastAsia" w:ascii="黑体" w:hAnsi="黑体" w:eastAsia="黑体"/>
          <w:bCs/>
        </w:rPr>
        <w:t>推进健康冠县建设</w:t>
      </w:r>
      <w:bookmarkEnd w:id="105"/>
    </w:p>
    <w:p>
      <w:pPr>
        <w:spacing w:line="600" w:lineRule="exact"/>
        <w:ind w:firstLine="643"/>
        <w:rPr>
          <w:rFonts w:ascii="黑体" w:hAnsi="黑体" w:eastAsia="黑体"/>
          <w:b/>
          <w:bCs/>
        </w:rPr>
      </w:pPr>
    </w:p>
    <w:p>
      <w:pPr>
        <w:spacing w:line="600" w:lineRule="exact"/>
        <w:ind w:firstLine="640"/>
      </w:pPr>
      <w:bookmarkStart w:id="106" w:name="_Toc60646309"/>
      <w:r>
        <w:rPr>
          <w:rFonts w:hint="eastAsia" w:ascii="楷体_GB2312" w:hAnsi="楷体_GB2312" w:eastAsia="楷体_GB2312" w:cs="楷体_GB2312"/>
          <w:lang w:val="zh-CN"/>
        </w:rPr>
        <w:t>加强公共卫生体系建设。</w:t>
      </w:r>
      <w:r>
        <w:rPr>
          <w:rFonts w:hint="eastAsia" w:ascii="仿宋_GB2312" w:hAnsi="仿宋_GB2312" w:cs="仿宋_GB2312"/>
        </w:rPr>
        <w:t>改革疾病预防控制体系，强化监测预警、风险评估、流行病学调查、检验检测、应急处置等职能。建立稳定的公共卫生事业投入机制，加强人才队伍建设。实施疾控中心标准化建设，改善疾控基础条件。强化预防接种规范化管理，确保国家免疫规划疫苗全程接种率保持在</w:t>
      </w:r>
      <w:r>
        <w:rPr>
          <w:rFonts w:ascii="仿宋_GB2312" w:hAnsi="仿宋_GB2312" w:cs="仿宋_GB2312"/>
        </w:rPr>
        <w:t>90%</w:t>
      </w:r>
      <w:r>
        <w:rPr>
          <w:rFonts w:hint="eastAsia" w:ascii="仿宋_GB2312" w:hAnsi="仿宋_GB2312" w:cs="仿宋_GB2312"/>
        </w:rPr>
        <w:t>以上。以县人民医院为主，推进重点医院平疫结合改造。健全重大疫情应急响应机制，加强传染病救治体系建设，严格实行预检分诊制度，强化传染病管理。加强县级综合医院感染性疾病科建设。建立长效投入机制，加大对公共卫生事件应急体系基础设施建设和卫生应急物资储备投入，强化卫生应急演练。大力开展爱国卫生运动，到</w:t>
      </w:r>
      <w:r>
        <w:rPr>
          <w:rFonts w:ascii="仿宋_GB2312" w:hAnsi="仿宋_GB2312" w:cs="仿宋_GB2312"/>
        </w:rPr>
        <w:t>2022</w:t>
      </w:r>
      <w:r>
        <w:rPr>
          <w:rFonts w:hint="eastAsia" w:ascii="仿宋_GB2312" w:hAnsi="仿宋_GB2312" w:cs="仿宋_GB2312"/>
        </w:rPr>
        <w:t>年，创建国家卫生县城。</w:t>
      </w:r>
    </w:p>
    <w:p>
      <w:pPr>
        <w:spacing w:line="620" w:lineRule="exact"/>
        <w:ind w:firstLine="640"/>
        <w:rPr>
          <w:color w:val="FF0000"/>
          <w:lang w:val="zh-CN"/>
        </w:rPr>
      </w:pPr>
      <w:r>
        <w:rPr>
          <w:rFonts w:hint="eastAsia" w:ascii="楷体_GB2312" w:hAnsi="楷体_GB2312" w:eastAsia="楷体_GB2312" w:cs="楷体_GB2312"/>
          <w:lang w:val="zh-CN"/>
        </w:rPr>
        <w:t>深化医药卫生体制改革</w:t>
      </w:r>
      <w:bookmarkEnd w:id="106"/>
      <w:r>
        <w:rPr>
          <w:rFonts w:hint="eastAsia" w:ascii="楷体_GB2312" w:hAnsi="楷体_GB2312" w:eastAsia="楷体_GB2312" w:cs="楷体_GB2312"/>
          <w:lang w:val="zh-CN"/>
        </w:rPr>
        <w:t>。</w:t>
      </w:r>
      <w:r>
        <w:rPr>
          <w:rFonts w:hint="eastAsia" w:ascii="仿宋_GB2312" w:hAnsi="仿宋_GB2312" w:cs="仿宋_GB2312"/>
          <w:lang w:val="zh-CN"/>
        </w:rPr>
        <w:t>推进实施公立医院绩效考核，全面执行国家组织药品和耗材集中采购和使用改革政策，推动改革成果惠及更多群众。支持建设互联网医院，发展智慧医疗，提供家医签约、慢病管理、人工智能、远程诊疗、线上服务等功能，形成居民全生命周期的健康信息储存和交换中心。加强公共卫生现代信息体系建设，健全全民健康信息平台，全面推行电子健康卡。支持社会力量在医疗资源薄弱区域和康复、护理、精神卫生等短缺专科领域举办非营利性医疗机构，满足群众多层次医疗服务需求。发展社区医院，推进家庭医生签约服务。加快基层医疗卫生服务能力提升，积极推进县域内医共体建设，打造以县人民医院、县中心医院为龙头的紧密型医共体建设，完成每个乡镇（街道）建设</w:t>
      </w:r>
      <w:r>
        <w:rPr>
          <w:rFonts w:ascii="仿宋_GB2312" w:hAnsi="仿宋_GB2312" w:cs="仿宋_GB2312"/>
          <w:lang w:val="zh-CN"/>
        </w:rPr>
        <w:t>1</w:t>
      </w:r>
      <w:r>
        <w:rPr>
          <w:rFonts w:hint="eastAsia" w:ascii="仿宋_GB2312" w:hAnsi="仿宋_GB2312" w:cs="仿宋_GB2312"/>
          <w:lang w:val="zh-CN"/>
        </w:rPr>
        <w:t>所乡镇卫生院（社区卫生服务中心）标准化建设任务，按服务</w:t>
      </w:r>
      <w:r>
        <w:rPr>
          <w:rFonts w:ascii="仿宋_GB2312" w:hAnsi="仿宋_GB2312" w:cs="仿宋_GB2312"/>
          <w:lang w:val="zh-CN"/>
        </w:rPr>
        <w:t>2000-4000</w:t>
      </w:r>
      <w:r>
        <w:rPr>
          <w:rFonts w:hint="eastAsia" w:ascii="仿宋_GB2312" w:hAnsi="仿宋_GB2312" w:cs="仿宋_GB2312"/>
          <w:lang w:val="zh-CN"/>
        </w:rPr>
        <w:t>人口、服务半径</w:t>
      </w:r>
      <w:r>
        <w:rPr>
          <w:rFonts w:ascii="仿宋_GB2312" w:hAnsi="仿宋_GB2312" w:cs="仿宋_GB2312"/>
          <w:lang w:val="zh-CN"/>
        </w:rPr>
        <w:t>2.5</w:t>
      </w:r>
      <w:r>
        <w:rPr>
          <w:rFonts w:hint="eastAsia" w:ascii="仿宋_GB2312" w:hAnsi="仿宋_GB2312" w:cs="仿宋_GB2312"/>
          <w:lang w:val="zh-CN"/>
        </w:rPr>
        <w:t>公里的建设标准，规划建设村卫生室。</w:t>
      </w:r>
    </w:p>
    <w:p>
      <w:pPr>
        <w:spacing w:line="620" w:lineRule="exact"/>
        <w:ind w:firstLine="640"/>
        <w:rPr>
          <w:color w:val="FF0000"/>
          <w:lang w:val="zh-CN"/>
        </w:rPr>
      </w:pPr>
      <w:r>
        <w:rPr>
          <w:rFonts w:hint="eastAsia" w:ascii="楷体_GB2312" w:hAnsi="楷体_GB2312" w:eastAsia="楷体_GB2312" w:cs="楷体_GB2312"/>
          <w:lang w:val="zh-CN"/>
        </w:rPr>
        <w:t>大力发展中医药事业。</w:t>
      </w:r>
      <w:r>
        <w:rPr>
          <w:rFonts w:hint="eastAsia" w:ascii="仿宋_GB2312" w:hAnsi="仿宋_GB2312" w:cs="仿宋_GB2312"/>
        </w:rPr>
        <w:t>完善中医药管理体制，遵循中医药特点和规律，加强中医药管理机构和人员队伍建设，构建科学高效的中医药管理模式。加强中医药服务体系建设，建设冠县第一中医医院。实施基层中医药服务能力提升三年行动计划，全面提升基层中医药服务能力。到</w:t>
      </w:r>
      <w:r>
        <w:rPr>
          <w:rFonts w:ascii="仿宋_GB2312" w:hAnsi="仿宋_GB2312" w:cs="仿宋_GB2312"/>
        </w:rPr>
        <w:t>2025</w:t>
      </w:r>
      <w:r>
        <w:rPr>
          <w:rFonts w:hint="eastAsia" w:ascii="仿宋_GB2312" w:hAnsi="仿宋_GB2312" w:cs="仿宋_GB2312"/>
        </w:rPr>
        <w:t>年，县中医医院达到国家医疗服务基本标准。</w:t>
      </w:r>
    </w:p>
    <w:p>
      <w:pPr>
        <w:spacing w:line="620" w:lineRule="exact"/>
        <w:ind w:firstLine="640"/>
        <w:rPr>
          <w:rFonts w:ascii="仿宋_GB2312"/>
          <w:szCs w:val="32"/>
        </w:rPr>
      </w:pPr>
      <w:r>
        <w:rPr>
          <w:rFonts w:hint="eastAsia" w:ascii="楷体_GB2312" w:eastAsia="楷体_GB2312"/>
          <w:lang w:val="zh-CN"/>
        </w:rPr>
        <w:t>大力发展体育事业。</w:t>
      </w:r>
      <w:r>
        <w:rPr>
          <w:rFonts w:hint="eastAsia" w:ascii="仿宋_GB2312"/>
          <w:szCs w:val="32"/>
        </w:rPr>
        <w:t>全面落实全民健身国家战略，统筹建设全民健身场地设施，构建更高水平的全民健身公共服务体系。广泛开展全民健身活动。制定并实施全民健身计划，开展全民健身活动。加快发展体育产业，培育经济发展新动能，促进全民健身和体育消费推动体育产业高质量发展。建立体育和卫生健康等部门协同、全社会共同参与的运动促进健康新模式。优化全民健身组织网络，建立全民健身志愿服务长效机制。</w:t>
      </w:r>
      <w:bookmarkStart w:id="107" w:name="_Toc60646313"/>
    </w:p>
    <w:p>
      <w:pPr>
        <w:spacing w:line="600" w:lineRule="exact"/>
        <w:ind w:firstLine="0" w:firstLineChars="0"/>
        <w:rPr>
          <w:rFonts w:ascii="黑体" w:hAnsi="黑体" w:eastAsia="黑体"/>
        </w:rPr>
      </w:pPr>
    </w:p>
    <w:p>
      <w:pPr>
        <w:spacing w:line="600" w:lineRule="exact"/>
        <w:ind w:firstLine="0" w:firstLineChars="0"/>
        <w:jc w:val="center"/>
        <w:rPr>
          <w:rFonts w:ascii="黑体" w:hAnsi="黑体" w:eastAsia="黑体"/>
        </w:rPr>
      </w:pPr>
      <w:r>
        <w:rPr>
          <w:rFonts w:hint="eastAsia" w:ascii="黑体" w:hAnsi="黑体" w:eastAsia="黑体"/>
        </w:rPr>
        <w:t>第四十七章</w:t>
      </w:r>
      <w:bookmarkEnd w:id="107"/>
      <w:bookmarkStart w:id="108" w:name="_Toc60646314"/>
      <w:r>
        <w:rPr>
          <w:rFonts w:hint="eastAsia" w:ascii="黑体" w:hAnsi="黑体" w:eastAsia="黑体"/>
        </w:rPr>
        <w:t xml:space="preserve"> </w:t>
      </w:r>
      <w:r>
        <w:rPr>
          <w:rFonts w:ascii="黑体" w:hAnsi="黑体" w:eastAsia="黑体"/>
        </w:rPr>
        <w:t xml:space="preserve"> </w:t>
      </w:r>
      <w:r>
        <w:rPr>
          <w:rFonts w:hint="eastAsia" w:ascii="黑体" w:hAnsi="黑体" w:eastAsia="黑体"/>
        </w:rPr>
        <w:t>积极应对人口老龄化</w:t>
      </w:r>
    </w:p>
    <w:p>
      <w:pPr>
        <w:spacing w:line="600" w:lineRule="exact"/>
        <w:ind w:firstLine="640"/>
        <w:rPr>
          <w:rFonts w:ascii="楷体_GB2312" w:eastAsia="楷体_GB2312"/>
          <w:lang w:val="zh-CN"/>
        </w:rPr>
      </w:pPr>
    </w:p>
    <w:p>
      <w:pPr>
        <w:spacing w:line="600" w:lineRule="exact"/>
        <w:ind w:firstLine="640"/>
        <w:rPr>
          <w:rFonts w:ascii="仿宋_GB2312"/>
          <w:lang w:val="zh-CN"/>
        </w:rPr>
      </w:pPr>
      <w:r>
        <w:rPr>
          <w:rFonts w:hint="eastAsia" w:ascii="楷体_GB2312" w:eastAsia="楷体_GB2312"/>
          <w:lang w:val="zh-CN"/>
        </w:rPr>
        <w:t>促进人口长期均衡发展。</w:t>
      </w:r>
      <w:r>
        <w:rPr>
          <w:rFonts w:hint="eastAsia" w:ascii="仿宋_GB2312" w:hAnsi="仿宋_GB2312"/>
          <w:lang w:val="zh-CN"/>
        </w:rPr>
        <w:t>落实国家生育政策，加强人口监测和预测分析，提高优生优育服务水平。积极推进托育服务机构建设，发展普惠托育服务体系，降低生育、养育、教育成本。合理优化人口抚养比、男女结构比例，促进人口长期均衡发展。</w:t>
      </w:r>
    </w:p>
    <w:p>
      <w:pPr>
        <w:spacing w:line="600" w:lineRule="exact"/>
        <w:ind w:firstLine="640"/>
        <w:rPr>
          <w:rFonts w:ascii="仿宋_GB2312"/>
          <w:color w:val="000000"/>
          <w:lang w:val="zh-CN"/>
        </w:rPr>
      </w:pPr>
      <w:r>
        <w:rPr>
          <w:rFonts w:hint="eastAsia" w:ascii="楷体_GB2312" w:eastAsia="楷体_GB2312"/>
          <w:lang w:val="zh-CN"/>
        </w:rPr>
        <w:t>完善多层次养老服务体系。</w:t>
      </w:r>
      <w:r>
        <w:rPr>
          <w:rFonts w:hint="eastAsia" w:ascii="仿宋_GB2312"/>
          <w:lang w:val="zh-CN"/>
        </w:rPr>
        <w:t>构建居家社区机构相协调、医养康养相结合的养老服务体系，满足老年人多样化、多层次需求。聚焦失能老年人的刚性照护需求，加大对护理型床位的扶持力度，持续实施敬老院改造提升“三年计划”，建设冠县老年养护院，增强护理服务功能。重点满足失能、高龄老年人的照护需求。推进新华康复医养院规范运行。</w:t>
      </w:r>
      <w:r>
        <w:rPr>
          <w:rFonts w:hint="eastAsia" w:ascii="仿宋_GB2312"/>
          <w:color w:val="000000"/>
          <w:lang w:val="zh-CN"/>
        </w:rPr>
        <w:t>支持家庭承担养老功能，健全并落实政府为困难老年人购买居家养老服务制度</w:t>
      </w:r>
      <w:r>
        <w:rPr>
          <w:rFonts w:hint="eastAsia" w:ascii="仿宋_GB2312" w:hAnsi="仿宋_GB2312"/>
          <w:color w:val="000000"/>
          <w:lang w:val="zh-CN"/>
        </w:rPr>
        <w:t>。</w:t>
      </w:r>
      <w:r>
        <w:rPr>
          <w:rFonts w:hint="eastAsia" w:ascii="仿宋_GB2312" w:hAnsi="仿宋_GB2312"/>
          <w:lang w:val="zh-CN"/>
        </w:rPr>
        <w:t>推动人工智能、人机交互、虚拟现实、远程监控、健康物联网等新一代技术在养老服务领域的深度应用。</w:t>
      </w:r>
      <w:r>
        <w:rPr>
          <w:rFonts w:hint="eastAsia" w:ascii="仿宋_GB2312" w:hAnsi="仿宋_GB2312"/>
          <w:color w:val="000000"/>
          <w:lang w:val="zh-CN"/>
        </w:rPr>
        <w:t>到</w:t>
      </w:r>
      <w:r>
        <w:rPr>
          <w:rFonts w:ascii="仿宋_GB2312" w:hAnsi="仿宋_GB2312"/>
          <w:color w:val="000000"/>
          <w:lang w:val="zh-CN"/>
        </w:rPr>
        <w:t>2025</w:t>
      </w:r>
      <w:r>
        <w:rPr>
          <w:rFonts w:hint="eastAsia" w:ascii="仿宋_GB2312" w:hAnsi="仿宋_GB2312"/>
          <w:color w:val="000000"/>
          <w:lang w:val="zh-CN"/>
        </w:rPr>
        <w:t>年，全县养老机构护理型床位占比达到</w:t>
      </w:r>
      <w:r>
        <w:rPr>
          <w:rFonts w:ascii="仿宋_GB2312" w:hAnsi="仿宋_GB2312"/>
          <w:color w:val="000000"/>
          <w:lang w:val="zh-CN"/>
        </w:rPr>
        <w:t>6</w:t>
      </w:r>
      <w:r>
        <w:rPr>
          <w:rFonts w:ascii="仿宋_GB2312"/>
          <w:color w:val="000000"/>
          <w:lang w:val="zh-CN"/>
        </w:rPr>
        <w:t>0</w:t>
      </w:r>
      <w:r>
        <w:rPr>
          <w:rFonts w:ascii="仿宋_GB2312" w:hAnsi="仿宋_GB2312"/>
          <w:color w:val="000000"/>
          <w:lang w:val="zh-CN"/>
        </w:rPr>
        <w:t>%</w:t>
      </w:r>
      <w:r>
        <w:rPr>
          <w:rFonts w:hint="eastAsia" w:ascii="仿宋_GB2312" w:hAnsi="仿宋_GB2312"/>
          <w:color w:val="000000"/>
          <w:lang w:val="zh-CN"/>
        </w:rPr>
        <w:t>，街道综合养老服务机构覆盖率、社区养老服务设施配建率达到</w:t>
      </w:r>
      <w:r>
        <w:rPr>
          <w:rFonts w:ascii="仿宋_GB2312" w:hAnsi="仿宋_GB2312"/>
          <w:color w:val="000000"/>
          <w:lang w:val="zh-CN"/>
        </w:rPr>
        <w:t>1</w:t>
      </w:r>
      <w:r>
        <w:rPr>
          <w:rFonts w:ascii="仿宋_GB2312"/>
          <w:color w:val="000000"/>
          <w:lang w:val="zh-CN"/>
        </w:rPr>
        <w:t>00</w:t>
      </w:r>
      <w:r>
        <w:rPr>
          <w:rFonts w:ascii="仿宋_GB2312" w:hAnsi="仿宋_GB2312"/>
          <w:color w:val="000000"/>
          <w:lang w:val="zh-CN"/>
        </w:rPr>
        <w:t>%</w:t>
      </w:r>
      <w:r>
        <w:rPr>
          <w:rFonts w:hint="eastAsia" w:ascii="仿宋_GB2312" w:hAnsi="仿宋_GB2312"/>
          <w:color w:val="000000"/>
          <w:lang w:val="zh-CN"/>
        </w:rPr>
        <w:t>。</w:t>
      </w:r>
    </w:p>
    <w:p>
      <w:pPr>
        <w:spacing w:line="600" w:lineRule="exact"/>
        <w:ind w:firstLine="640"/>
        <w:rPr>
          <w:rFonts w:ascii="仿宋_GB2312"/>
          <w:lang w:val="zh-CN"/>
        </w:rPr>
      </w:pPr>
      <w:r>
        <w:rPr>
          <w:rFonts w:hint="eastAsia" w:ascii="楷体_GB2312" w:hAnsi="仿宋_GB2312" w:eastAsia="楷体_GB2312"/>
          <w:color w:val="000000"/>
          <w:lang w:val="zh-CN"/>
        </w:rPr>
        <w:t>大力发展银发经济。</w:t>
      </w:r>
      <w:r>
        <w:rPr>
          <w:rFonts w:hint="eastAsia" w:ascii="仿宋_GB2312" w:hAnsi="仿宋_GB2312"/>
          <w:color w:val="000000"/>
          <w:lang w:val="zh-CN"/>
        </w:rPr>
        <w:t>积极开发老龄人力资源，创造更多适合老龄劳动力的就业岗位，扩大人口老龄化背景下劳动力有效供给。推进“机器换人”，减少企业用工需求。构建适合老龄人力资源开发的培训体系，落实终身教育和培训机制。完善适合老龄劳动力的就业保障和服务体系，加大就业帮扶力度。</w:t>
      </w:r>
      <w:r>
        <w:rPr>
          <w:rFonts w:hint="eastAsia" w:ascii="仿宋_GB2312" w:hAnsi="仿宋_GB2312" w:cs="Arial"/>
          <w:color w:val="000000"/>
          <w:spacing w:val="8"/>
          <w:kern w:val="0"/>
          <w:shd w:val="clear" w:color="auto" w:fill="FFFFFF"/>
        </w:rPr>
        <w:t>充分发挥冠县医养健康产业以及温泉养生等优势，吸引大中城市退休工程师为冠县企业提供技术服务。高水平办好老年大学，丰富老年人的精神生活。</w:t>
      </w:r>
    </w:p>
    <w:bookmarkEnd w:id="108"/>
    <w:p>
      <w:pPr>
        <w:pStyle w:val="2"/>
        <w:spacing w:before="655" w:beforeLines="150" w:after="218"/>
        <w:rPr>
          <w:rStyle w:val="29"/>
          <w:rFonts w:ascii="方正小标宋简体" w:hAnsi="方正大标宋简体" w:eastAsia="方正小标宋简体" w:cs="方正大标宋简体"/>
          <w:sz w:val="36"/>
          <w:szCs w:val="36"/>
        </w:rPr>
      </w:pPr>
      <w:bookmarkStart w:id="109" w:name="_Toc60646317"/>
      <w:r>
        <w:rPr>
          <w:rFonts w:hint="eastAsia" w:ascii="方正小标宋简体" w:hAnsi="宋体" w:eastAsia="方正小标宋简体" w:cs="宋体"/>
          <w:sz w:val="36"/>
          <w:szCs w:val="36"/>
        </w:rPr>
        <w:t>第十三篇</w:t>
      </w:r>
      <w:bookmarkEnd w:id="109"/>
      <w:r>
        <w:rPr>
          <w:rFonts w:hint="eastAsia" w:ascii="方正小标宋简体" w:hAnsi="宋体" w:eastAsia="方正小标宋简体" w:cs="宋体"/>
          <w:sz w:val="36"/>
          <w:szCs w:val="36"/>
        </w:rPr>
        <w:t xml:space="preserve">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铸就安全发展新秩序</w:t>
      </w:r>
    </w:p>
    <w:p>
      <w:pPr>
        <w:ind w:firstLine="672"/>
        <w:jc w:val="left"/>
        <w:rPr>
          <w:rFonts w:ascii="仿宋_GB2312" w:hAnsi="黑体" w:cs="Arial"/>
          <w:color w:val="000000"/>
          <w:spacing w:val="8"/>
          <w:kern w:val="0"/>
          <w:shd w:val="clear" w:color="auto" w:fill="FFFFFF"/>
        </w:rPr>
      </w:pPr>
      <w:bookmarkStart w:id="110" w:name="_Toc60646318"/>
      <w:r>
        <w:rPr>
          <w:rFonts w:hint="eastAsia" w:ascii="仿宋_GB2312" w:hAnsi="黑体" w:cs="Arial"/>
          <w:color w:val="000000"/>
          <w:spacing w:val="8"/>
          <w:kern w:val="0"/>
          <w:shd w:val="clear" w:color="auto" w:fill="FFFFFF"/>
        </w:rPr>
        <w:t>牢固树立安全发展理念，把安全发展贯穿冠县发展各领域和全过程，防范和化解发展进程中的各种风险，筑牢安全屏障，建设“平安冠县”。</w:t>
      </w:r>
    </w:p>
    <w:p>
      <w:pPr>
        <w:pStyle w:val="3"/>
        <w:spacing w:before="437" w:beforeLines="100" w:after="437" w:afterLines="100"/>
        <w:rPr>
          <w:rFonts w:ascii="黑体" w:hAnsi="黑体" w:eastAsia="黑体"/>
          <w:b w:val="0"/>
          <w:bCs w:val="0"/>
        </w:rPr>
      </w:pPr>
      <w:r>
        <w:rPr>
          <w:rFonts w:hint="eastAsia" w:ascii="黑体" w:hAnsi="黑体" w:eastAsia="黑体"/>
          <w:b w:val="0"/>
          <w:bCs w:val="0"/>
        </w:rPr>
        <w:t xml:space="preserve">第四十八章 </w:t>
      </w:r>
      <w:r>
        <w:rPr>
          <w:rFonts w:ascii="黑体" w:hAnsi="黑体" w:eastAsia="黑体"/>
          <w:b w:val="0"/>
          <w:bCs w:val="0"/>
        </w:rPr>
        <w:t xml:space="preserve"> </w:t>
      </w:r>
      <w:r>
        <w:rPr>
          <w:rFonts w:hint="eastAsia" w:ascii="黑体" w:hAnsi="黑体" w:eastAsia="黑体"/>
          <w:b w:val="0"/>
          <w:bCs w:val="0"/>
        </w:rPr>
        <w:t>保障人民生命安全</w:t>
      </w:r>
      <w:bookmarkEnd w:id="110"/>
    </w:p>
    <w:p>
      <w:pPr>
        <w:ind w:firstLine="672"/>
        <w:rPr>
          <w:rFonts w:ascii="仿宋_GB2312" w:hAnsi="黑体" w:cs="Arial"/>
          <w:color w:val="000000"/>
          <w:spacing w:val="8"/>
          <w:kern w:val="0"/>
          <w:shd w:val="clear" w:color="auto" w:fill="FFFFFF"/>
        </w:rPr>
      </w:pPr>
      <w:r>
        <w:rPr>
          <w:rFonts w:hint="eastAsia" w:ascii="楷体_GB2312" w:hAnsi="黑体" w:eastAsia="楷体_GB2312" w:cs="Arial"/>
          <w:color w:val="000000"/>
          <w:spacing w:val="8"/>
          <w:kern w:val="0"/>
          <w:shd w:val="clear" w:color="auto" w:fill="FFFFFF"/>
        </w:rPr>
        <w:t>提高安全生产水平。</w:t>
      </w:r>
      <w:r>
        <w:rPr>
          <w:rFonts w:hint="eastAsia" w:ascii="仿宋_GB2312" w:hAnsi="黑体" w:cs="Arial"/>
          <w:color w:val="000000"/>
          <w:spacing w:val="8"/>
          <w:kern w:val="0"/>
          <w:shd w:val="clear" w:color="auto" w:fill="FFFFFF"/>
        </w:rPr>
        <w:t>深化应急管理体制机制改革，完善应急管理体系，加强应急救援队伍建设，提高应急物资保障能力，开展常态化应急疏散演练，以信息化推进应急管理现代化，筑牢防灾减灾救灾的人民防线。强化各级党委、政府对安全生产工作的领导，坚持“党政同责、一岗双责、齐抓共管、失职追责”，坚持“管行业必须管安全，管业务必须管安全，管生产经营必须管安全”，坚决遏制重特大安全事故发生。加强交通运输、危化品、建筑施工、消防等重点行业领域专项整治，持续推进风险分级管控和隐患排查治理双重预防体系、安全标准化一体化建设。强化企业主体责任，严格实行企业全员安全生产责任制。完善安全生产行政执法与刑事司法衔接机制，依法惩治安全生产领域违法行为。</w:t>
      </w:r>
    </w:p>
    <w:p>
      <w:pPr>
        <w:ind w:firstLine="672"/>
        <w:rPr>
          <w:rFonts w:ascii="仿宋_GB2312" w:hAnsi="黑体" w:cs="Arial"/>
          <w:color w:val="C00000"/>
          <w:spacing w:val="8"/>
          <w:kern w:val="0"/>
          <w:shd w:val="clear" w:color="auto" w:fill="FFFFFF"/>
        </w:rPr>
      </w:pPr>
      <w:r>
        <w:rPr>
          <w:rFonts w:hint="eastAsia" w:ascii="楷体_GB2312" w:hAnsi="黑体" w:eastAsia="楷体_GB2312" w:cs="Arial"/>
          <w:spacing w:val="8"/>
          <w:kern w:val="0"/>
          <w:shd w:val="clear" w:color="auto" w:fill="FFFFFF"/>
        </w:rPr>
        <w:t>加强食药全过程安全监管。</w:t>
      </w:r>
      <w:r>
        <w:rPr>
          <w:rFonts w:hint="eastAsia" w:ascii="仿宋_GB2312" w:hAnsi="黑体" w:cs="Arial"/>
          <w:spacing w:val="8"/>
          <w:kern w:val="0"/>
          <w:shd w:val="clear" w:color="auto" w:fill="FFFFFF"/>
        </w:rPr>
        <w:t>以食品安全、药品安全、疫苗安全等为重点，坚决落实“四个最严”要求。扎实推进“食安山东”建设，加强食品全链追溯、全程监管，确保广大人民群众“舌尖上的安全”。建立疫苗战略储备机制。实施食药安全智慧监管工程，建设覆盖全县的许可审批、抽检监测、日常监管、稽查执法、产品追溯等在线监管平台。</w:t>
      </w:r>
      <w:r>
        <w:rPr>
          <w:rFonts w:hint="eastAsia" w:ascii="仿宋_GB2312" w:hAnsi="黑体" w:cs="Arial"/>
          <w:color w:val="000000"/>
          <w:spacing w:val="8"/>
          <w:kern w:val="0"/>
          <w:shd w:val="clear" w:color="auto" w:fill="FFFFFF"/>
        </w:rPr>
        <w:t>健全以“双随机、一公开”监管为基本手段，以信用监管为基础的新型监管机制，加强食药领域违法违规惩处力度。</w:t>
      </w:r>
    </w:p>
    <w:p>
      <w:pPr>
        <w:pStyle w:val="3"/>
        <w:spacing w:before="437" w:beforeLines="100" w:after="437" w:afterLines="100"/>
        <w:rPr>
          <w:rFonts w:ascii="黑体" w:hAnsi="黑体" w:eastAsia="黑体"/>
          <w:b w:val="0"/>
          <w:bCs w:val="0"/>
        </w:rPr>
      </w:pPr>
      <w:bookmarkStart w:id="111" w:name="_Toc60646319"/>
      <w:r>
        <w:rPr>
          <w:rFonts w:hint="eastAsia" w:ascii="黑体" w:hAnsi="黑体" w:eastAsia="黑体"/>
          <w:b w:val="0"/>
          <w:bCs w:val="0"/>
        </w:rPr>
        <w:t xml:space="preserve">第四十九章 </w:t>
      </w:r>
      <w:r>
        <w:rPr>
          <w:rFonts w:ascii="黑体" w:hAnsi="黑体" w:eastAsia="黑体"/>
          <w:b w:val="0"/>
          <w:bCs w:val="0"/>
        </w:rPr>
        <w:t xml:space="preserve"> </w:t>
      </w:r>
      <w:r>
        <w:rPr>
          <w:rFonts w:hint="eastAsia" w:ascii="黑体" w:hAnsi="黑体" w:eastAsia="黑体"/>
          <w:b w:val="0"/>
          <w:bCs w:val="0"/>
        </w:rPr>
        <w:t>维护经济发展安全</w:t>
      </w:r>
      <w:bookmarkEnd w:id="111"/>
    </w:p>
    <w:p>
      <w:pPr>
        <w:spacing w:line="600" w:lineRule="exact"/>
        <w:ind w:firstLine="640"/>
        <w:rPr>
          <w:rFonts w:ascii="仿宋_GB2312"/>
        </w:rPr>
      </w:pPr>
      <w:r>
        <w:rPr>
          <w:rFonts w:hint="eastAsia" w:ascii="楷体_GB2312" w:eastAsia="楷体_GB2312"/>
        </w:rPr>
        <w:t>保障经济平稳运行。</w:t>
      </w:r>
      <w:r>
        <w:rPr>
          <w:rFonts w:hint="eastAsia" w:ascii="仿宋_GB2312" w:hAnsi="仿宋_GB2312"/>
        </w:rPr>
        <w:t>做好中长期应对国内外环境变化准备，加强重要经济指标动态监测和研判，建立健全维护产业链供应链安全的有效机制，筑牢经济安全防线。深化能源领域体制改革，完善能源供应应急预案，加强重点领域、区域和季节煤电油气运综合运行保障。健全粮食、果蔬、猪肉等重要农产品综合监测网络，完善统一高效的粮食和物资储备体系、粮食现代流通和供应安全保障体系。统筹防范土壤、危险废物、重金属等生态环境风险，提升监管处置能力。维护水利、电力、供水、油气、交通、通信、网络、金融等重要基础设施安全，促进水资源集约安全利用。建立经济运行新闻发布机制，及时加强信息公开和政策解读。</w:t>
      </w:r>
    </w:p>
    <w:p>
      <w:pPr>
        <w:spacing w:line="600" w:lineRule="exact"/>
        <w:ind w:firstLine="640"/>
        <w:rPr>
          <w:rFonts w:ascii="仿宋_GB2312"/>
        </w:rPr>
      </w:pPr>
      <w:r>
        <w:rPr>
          <w:rFonts w:hint="eastAsia" w:ascii="楷体_GB2312" w:hAnsi="仿宋_GB2312" w:eastAsia="楷体_GB2312"/>
        </w:rPr>
        <w:t>守住金融安全底线。</w:t>
      </w:r>
      <w:r>
        <w:rPr>
          <w:rFonts w:hint="eastAsia" w:ascii="仿宋_GB2312" w:hAnsi="仿宋_GB2312"/>
        </w:rPr>
        <w:t>完善防范化解金融风险长效机制，健全金融风险监测预警体系，稳妥化解处置重点领域金融风险，严厉打击非法集资等涉众经济犯罪，守住金融安全底线。健全金融风险监测预警体系，充分利用好金安工程系统数据，综合施策处置非法集资风险、重点企业流动性风险、地方金融组织风险，全面提升风险监测水平。健全重大金融风险应急处置机制，夯实风险防控的主体责任、属地责任和监管责任，提升风险防控处置合力。综合施策防控处置企业流动性风险，推动担保圈破圈断链。加快高风险法人金融机构风险处置步伐，推动润昌农商行退出高风险级次。健全多部门守信联合激励和失信联合惩戒机制，着力营造一流金融信用环境和生态环境。</w:t>
      </w:r>
    </w:p>
    <w:p>
      <w:pPr>
        <w:spacing w:line="600" w:lineRule="exact"/>
        <w:ind w:firstLine="640"/>
        <w:rPr>
          <w:rFonts w:ascii="仿宋_GB2312"/>
        </w:rPr>
      </w:pPr>
      <w:r>
        <w:rPr>
          <w:rFonts w:hint="eastAsia" w:ascii="楷体_GB2312" w:hAnsi="仿宋_GB2312" w:eastAsia="楷体_GB2312"/>
        </w:rPr>
        <w:t>打造新型网络安全治理体系。</w:t>
      </w:r>
      <w:r>
        <w:rPr>
          <w:rFonts w:hint="eastAsia" w:ascii="仿宋_GB2312" w:hAnsi="仿宋_GB2312"/>
        </w:rPr>
        <w:t>建设网络安全监测保障平台，加强监测预警、应急演练、灾难备份和数据防护，确保网络安全、信息安全、数据安全，提升网络安全整体防护能力。建设网络大数据平台，提升公安机关维护政治安全、社会稳定和依法打击涉网犯罪能力。加强内容建设和管理，提高网络文明程度，营造清朗网络空间。强化密码技术应用，加强关键信息基础设施安全防护，建设数据灾备中心。加大网络安全投入，发展网络安全产业。</w:t>
      </w:r>
    </w:p>
    <w:p>
      <w:pPr>
        <w:pStyle w:val="3"/>
        <w:spacing w:before="437" w:beforeLines="100" w:after="437" w:afterLines="100"/>
        <w:rPr>
          <w:rFonts w:ascii="黑体" w:hAnsi="黑体" w:eastAsia="黑体"/>
          <w:b w:val="0"/>
          <w:bCs w:val="0"/>
        </w:rPr>
      </w:pPr>
      <w:bookmarkStart w:id="112" w:name="_Toc60646320"/>
      <w:r>
        <w:rPr>
          <w:rFonts w:hint="eastAsia" w:ascii="黑体" w:hAnsi="黑体" w:eastAsia="黑体"/>
          <w:b w:val="0"/>
          <w:bCs w:val="0"/>
        </w:rPr>
        <w:t>第</w:t>
      </w:r>
      <w:bookmarkEnd w:id="112"/>
      <w:r>
        <w:rPr>
          <w:rFonts w:hint="eastAsia" w:ascii="黑体" w:hAnsi="黑体" w:eastAsia="黑体"/>
          <w:b w:val="0"/>
          <w:bCs w:val="0"/>
        </w:rPr>
        <w:t xml:space="preserve">五十章 </w:t>
      </w:r>
      <w:r>
        <w:rPr>
          <w:rFonts w:ascii="黑体" w:hAnsi="黑体" w:eastAsia="黑体"/>
          <w:b w:val="0"/>
          <w:bCs w:val="0"/>
        </w:rPr>
        <w:t xml:space="preserve"> </w:t>
      </w:r>
      <w:r>
        <w:rPr>
          <w:rFonts w:hint="eastAsia" w:ascii="黑体" w:hAnsi="黑体" w:eastAsia="黑体"/>
          <w:b w:val="0"/>
          <w:bCs w:val="0"/>
        </w:rPr>
        <w:t>提升社会治理水平</w:t>
      </w:r>
    </w:p>
    <w:p>
      <w:pPr>
        <w:spacing w:line="600" w:lineRule="exact"/>
        <w:ind w:firstLine="672"/>
        <w:rPr>
          <w:rFonts w:ascii="仿宋_GB2312" w:hAnsi="Arial" w:cs="Arial"/>
          <w:color w:val="C00000"/>
          <w:spacing w:val="8"/>
          <w:kern w:val="0"/>
          <w:shd w:val="clear" w:color="auto" w:fill="FFFFFF"/>
        </w:rPr>
      </w:pPr>
      <w:bookmarkStart w:id="113" w:name="_Toc60646324"/>
      <w:r>
        <w:rPr>
          <w:rFonts w:hint="eastAsia" w:ascii="仿宋_GB2312" w:hAnsi="Arial" w:cs="Arial"/>
          <w:color w:val="000000"/>
          <w:spacing w:val="8"/>
          <w:kern w:val="0"/>
          <w:shd w:val="clear" w:color="auto" w:fill="FFFFFF"/>
        </w:rPr>
        <w:t>全面推行“基层党建</w:t>
      </w:r>
      <w:r>
        <w:rPr>
          <w:rFonts w:ascii="仿宋_GB2312" w:hAnsi="Arial" w:cs="Arial"/>
          <w:color w:val="000000"/>
          <w:spacing w:val="8"/>
          <w:kern w:val="0"/>
          <w:shd w:val="clear" w:color="auto" w:fill="FFFFFF"/>
        </w:rPr>
        <w:t>+</w:t>
      </w:r>
      <w:r>
        <w:rPr>
          <w:rFonts w:hint="eastAsia" w:ascii="仿宋_GB2312" w:hAnsi="Arial" w:cs="Arial"/>
          <w:color w:val="000000"/>
          <w:spacing w:val="8"/>
          <w:kern w:val="0"/>
          <w:shd w:val="clear" w:color="auto" w:fill="FFFFFF"/>
        </w:rPr>
        <w:t>网格化治理”工作模式，健全党组织领导下的自治、法治、德治相结合的城乡基层治理体系。依法推进社会治理，完善基层民主协商制度，实现政府治理同社会调节、居民自治良性互动。发挥群团组织和社会组织在社会治理中的作用，全面提升社会组织孵化培育和活动场所覆盖面，畅通和规范市场主体、新社会阶层、社会工作者和志愿者等参与社会治理的途径。推动社会治理和服务重心向基层下移，发挥综治中心实体化作用，加强基层社会治理专职网格员队伍建设。推动“雪亮工程”和网格化治理深度融合，构建网格化管理、精细化服务、信息化支撑、开放共享的基层管理服务平台，推进社会治理现代化。</w:t>
      </w:r>
    </w:p>
    <w:p>
      <w:pPr>
        <w:pStyle w:val="3"/>
        <w:spacing w:before="437" w:beforeLines="100" w:after="437" w:afterLines="100"/>
        <w:rPr>
          <w:rFonts w:ascii="黑体" w:hAnsi="黑体" w:eastAsia="黑体"/>
          <w:b w:val="0"/>
          <w:bCs w:val="0"/>
        </w:rPr>
      </w:pPr>
      <w:r>
        <w:rPr>
          <w:rFonts w:hint="eastAsia" w:ascii="黑体" w:hAnsi="黑体" w:eastAsia="黑体"/>
          <w:b w:val="0"/>
          <w:bCs w:val="0"/>
        </w:rPr>
        <w:t xml:space="preserve">第五十一章 </w:t>
      </w:r>
      <w:r>
        <w:rPr>
          <w:rFonts w:ascii="黑体" w:hAnsi="黑体" w:eastAsia="黑体"/>
          <w:b w:val="0"/>
          <w:bCs w:val="0"/>
        </w:rPr>
        <w:t xml:space="preserve"> </w:t>
      </w:r>
      <w:r>
        <w:rPr>
          <w:rFonts w:hint="eastAsia" w:ascii="黑体" w:hAnsi="黑体" w:eastAsia="黑体"/>
          <w:b w:val="0"/>
          <w:bCs w:val="0"/>
        </w:rPr>
        <w:t>维护社会安全稳定</w:t>
      </w:r>
    </w:p>
    <w:p>
      <w:pPr>
        <w:spacing w:line="600" w:lineRule="exact"/>
        <w:ind w:firstLine="672"/>
        <w:rPr>
          <w:rFonts w:ascii="黑体" w:hAnsi="黑体" w:eastAsia="黑体" w:cs="Arial"/>
          <w:color w:val="000000"/>
          <w:spacing w:val="8"/>
          <w:kern w:val="0"/>
          <w:shd w:val="clear" w:color="auto" w:fill="FFFFFF"/>
        </w:rPr>
      </w:pPr>
      <w:r>
        <w:rPr>
          <w:rFonts w:hint="eastAsia" w:ascii="仿宋_GB2312" w:hAnsi="Arial" w:cs="Arial"/>
          <w:color w:val="000000"/>
          <w:spacing w:val="8"/>
          <w:kern w:val="0"/>
          <w:shd w:val="clear" w:color="auto" w:fill="FFFFFF"/>
        </w:rPr>
        <w:t>加强社会治安综合治理，开展基层系列平安“大创建”活动，全力打造“警种联动、警保联控、警民联防”合成化巡防联控模式，健全覆盖城乡、打防控一体化的社会治安防控体系，严密防范、依法打击各种违法犯罪活动，推进扫黑除恶常态化。强化智慧公安建设，建成智慧数据管控中心、执法办案管理中心，有效提升要素管控、警务实战、规范执法能力。创建一级民警训练基地，优化警务辅助人员和“一村一警务助理”队伍结构，夯实公安基层基础底盘。坚持和发展新时代“枫桥经验”，全面创建“枫桥式乡镇（街道）”“枫桥式公安派出所”。完善信访制度，持续做好信访案件源头责任追溯机制，构建大信访格局，推进访调对接，畅通和规范群众诉求表达、利益协调、权益保障通道。完善各类调解联动工作体系，加强矛盾纠纷化解平台建设，构建源头防控、排查梳理、纠纷化解、应急处置的社会矛盾综合治理机制。健全社会心理服务体系和危机干预机制。加快构建网络综合治理体系，加大对网络舆情应急处置和管理力度。落实重大决策、重大项目、重大活动社会稳定风险评估制度，完善社会矛盾排查预警和调处化解综合机制，积极预防和妥善处置群体性突发事件。</w:t>
      </w:r>
    </w:p>
    <w:p>
      <w:pPr>
        <w:pStyle w:val="2"/>
        <w:spacing w:before="655" w:beforeLines="150" w:after="218"/>
        <w:rPr>
          <w:rFonts w:ascii="方正小标宋简体" w:eastAsia="方正小标宋简体"/>
          <w:sz w:val="36"/>
          <w:szCs w:val="36"/>
        </w:rPr>
      </w:pPr>
      <w:r>
        <w:rPr>
          <w:rFonts w:hint="eastAsia" w:ascii="方正小标宋简体" w:hAnsi="宋体" w:eastAsia="方正小标宋简体" w:cs="宋体"/>
          <w:sz w:val="36"/>
          <w:szCs w:val="36"/>
        </w:rPr>
        <w:t>第十</w:t>
      </w:r>
      <w:bookmarkEnd w:id="113"/>
      <w:r>
        <w:rPr>
          <w:rFonts w:hint="eastAsia" w:ascii="方正小标宋简体" w:hAnsi="宋体" w:eastAsia="方正小标宋简体" w:cs="宋体"/>
          <w:sz w:val="36"/>
          <w:szCs w:val="36"/>
        </w:rPr>
        <w:t xml:space="preserve">四篇 </w:t>
      </w:r>
      <w:r>
        <w:rPr>
          <w:rFonts w:ascii="方正小标宋简体" w:hAnsi="宋体" w:eastAsia="方正小标宋简体" w:cs="宋体"/>
          <w:sz w:val="36"/>
          <w:szCs w:val="36"/>
        </w:rPr>
        <w:t xml:space="preserve"> </w:t>
      </w:r>
      <w:r>
        <w:rPr>
          <w:rFonts w:hint="eastAsia" w:ascii="方正小标宋简体" w:hAnsi="宋体" w:eastAsia="方正小标宋简体" w:cs="宋体"/>
          <w:sz w:val="36"/>
          <w:szCs w:val="36"/>
        </w:rPr>
        <w:t>健全规划实施新机制</w:t>
      </w:r>
    </w:p>
    <w:p>
      <w:pPr>
        <w:spacing w:line="600" w:lineRule="exact"/>
        <w:ind w:firstLine="640"/>
        <w:rPr>
          <w:rFonts w:ascii="仿宋_GB2312" w:hAnsi="仿宋"/>
          <w:color w:val="000000"/>
        </w:rPr>
      </w:pPr>
      <w:bookmarkStart w:id="114" w:name="_Toc60646325"/>
      <w:r>
        <w:rPr>
          <w:rFonts w:hint="eastAsia" w:ascii="仿宋_GB2312" w:hAnsi="仿宋"/>
          <w:color w:val="000000"/>
        </w:rPr>
        <w:t>实施“十四五”规划，抓好各项任务落实，必须坚持党的全面领导，充分发挥党总揽全局、协调各方的领导核心作用，充分调动方方面面的积极性，形成推动发展的强大合力。</w:t>
      </w:r>
    </w:p>
    <w:p>
      <w:pPr>
        <w:pStyle w:val="3"/>
        <w:spacing w:before="437" w:beforeLines="100" w:after="437" w:afterLines="100"/>
        <w:rPr>
          <w:rFonts w:ascii="黑体" w:hAnsi="黑体" w:eastAsia="黑体"/>
          <w:b w:val="0"/>
          <w:bCs w:val="0"/>
        </w:rPr>
      </w:pPr>
      <w:r>
        <w:rPr>
          <w:rFonts w:hint="eastAsia" w:ascii="黑体" w:hAnsi="黑体" w:eastAsia="黑体"/>
          <w:b w:val="0"/>
          <w:bCs w:val="0"/>
        </w:rPr>
        <w:t xml:space="preserve">第五十二章 </w:t>
      </w:r>
      <w:r>
        <w:rPr>
          <w:rFonts w:ascii="黑体" w:hAnsi="黑体" w:eastAsia="黑体"/>
          <w:b w:val="0"/>
          <w:bCs w:val="0"/>
        </w:rPr>
        <w:t xml:space="preserve"> </w:t>
      </w:r>
      <w:r>
        <w:rPr>
          <w:rFonts w:hint="eastAsia" w:ascii="黑体" w:hAnsi="黑体" w:eastAsia="黑体"/>
          <w:b w:val="0"/>
          <w:bCs w:val="0"/>
        </w:rPr>
        <w:t>坚持党的全面领导</w:t>
      </w:r>
      <w:bookmarkEnd w:id="114"/>
    </w:p>
    <w:p>
      <w:pPr>
        <w:spacing w:line="600" w:lineRule="exact"/>
        <w:ind w:firstLine="640"/>
        <w:rPr>
          <w:rFonts w:ascii="仿宋_GB2312"/>
          <w:color w:val="000000"/>
          <w:shd w:val="clear" w:color="auto" w:fill="FFFFFF"/>
        </w:rPr>
      </w:pPr>
      <w:r>
        <w:rPr>
          <w:rFonts w:hint="eastAsia" w:ascii="仿宋_GB2312"/>
          <w:color w:val="000000"/>
          <w:shd w:val="clear" w:color="auto" w:fill="FFFFFF"/>
        </w:rPr>
        <w:t>坚持党的全面领导，增强“四个意识”、坚定“四个自信”、做到“两个维护”。完善党委研究经济社会发展战略、定期分析经济形势、研究重大方针政策的工作机制，强化全委会决策和监督作用，不断提高科学决策、民主决策、依法决策能力，提升领导经济社会发展的科学化、民主化、法治化、专业化水平。深化对发展规律的认识，完善党领导经济社会发展工作的体制机制和方式方法，在更高水平上推动冠县持续健康发展。</w:t>
      </w:r>
    </w:p>
    <w:p>
      <w:pPr>
        <w:pStyle w:val="3"/>
        <w:spacing w:before="437" w:beforeLines="100" w:after="437" w:afterLines="100"/>
        <w:rPr>
          <w:rFonts w:ascii="黑体" w:hAnsi="黑体" w:eastAsia="黑体"/>
          <w:b w:val="0"/>
          <w:bCs w:val="0"/>
        </w:rPr>
      </w:pPr>
      <w:r>
        <w:rPr>
          <w:rFonts w:hint="eastAsia" w:ascii="黑体" w:hAnsi="黑体" w:eastAsia="黑体"/>
          <w:b w:val="0"/>
          <w:bCs w:val="0"/>
        </w:rPr>
        <w:t xml:space="preserve">第五十三章 </w:t>
      </w:r>
      <w:r>
        <w:rPr>
          <w:rFonts w:ascii="黑体" w:hAnsi="黑体" w:eastAsia="黑体"/>
          <w:b w:val="0"/>
          <w:bCs w:val="0"/>
        </w:rPr>
        <w:t xml:space="preserve"> </w:t>
      </w:r>
      <w:r>
        <w:rPr>
          <w:rFonts w:hint="eastAsia" w:ascii="黑体" w:hAnsi="黑体" w:eastAsia="黑体"/>
          <w:b w:val="0"/>
          <w:bCs w:val="0"/>
        </w:rPr>
        <w:t>打造高素质干部队伍</w:t>
      </w:r>
    </w:p>
    <w:p>
      <w:pPr>
        <w:spacing w:line="600" w:lineRule="exact"/>
        <w:ind w:firstLine="640"/>
        <w:rPr>
          <w:rFonts w:ascii="仿宋_GB2312"/>
          <w:color w:val="000000"/>
          <w:shd w:val="clear" w:color="auto" w:fill="FFFFFF"/>
        </w:rPr>
      </w:pPr>
      <w:r>
        <w:rPr>
          <w:rFonts w:hint="eastAsia" w:ascii="仿宋_GB2312"/>
          <w:color w:val="000000"/>
          <w:shd w:val="clear" w:color="auto" w:fill="FFFFFF"/>
        </w:rPr>
        <w:t>按照习近平总书记关于“好干部”的标准，大胆使用信念坚定、为民服务、勤政务实、敢于担当、清正廉洁的干部，努力造就忠诚干净担当的高素质干部队伍。</w:t>
      </w:r>
      <w:r>
        <w:rPr>
          <w:rFonts w:hint="eastAsia" w:ascii="仿宋_GB2312"/>
          <w:shd w:val="clear" w:color="auto" w:fill="FFFFFF"/>
        </w:rPr>
        <w:t>优化各级党委（党组）领导班子知识结构和专业结构，提升领导经济社会发展工作的专业化、法治化水平。实施干部能力提升工程，紧扣全局性战略性问题和新政策、新部署、新举措专业化培训一批，分批次选派干部到先进城市挂职一批，利用第一书记、万名干部下基层锻炼一批。</w:t>
      </w:r>
      <w:r>
        <w:rPr>
          <w:rFonts w:hint="eastAsia" w:ascii="仿宋_GB2312"/>
          <w:color w:val="000000"/>
          <w:shd w:val="clear" w:color="auto" w:fill="FFFFFF"/>
        </w:rPr>
        <w:t>严格落实全面从严治党党委（党组）主体责任和纪委监督责任，长期坚持“严”的主基调，</w:t>
      </w:r>
      <w:r>
        <w:rPr>
          <w:rFonts w:hint="eastAsia" w:ascii="仿宋_GB2312"/>
          <w:shd w:val="clear" w:color="auto" w:fill="FFFFFF"/>
        </w:rPr>
        <w:t>完善党和国家监督体系，加强政治监督，</w:t>
      </w:r>
      <w:r>
        <w:rPr>
          <w:rFonts w:hint="eastAsia" w:ascii="仿宋_GB2312"/>
          <w:color w:val="000000"/>
          <w:shd w:val="clear" w:color="auto" w:fill="FFFFFF"/>
        </w:rPr>
        <w:t>强化对公权力运行的制约和监督，扎紧扎牢制度笼子，一体推进不敢腐、不能腐、不想腐。锲而不舍落实中央八项规定精神及其实施细则精神。严肃查处各类违纪违法案件特别是群众身边的不正之风和腐败问题，以反腐倡廉的实际成效取信于民，努力营造风清气正的良好政治生态。</w:t>
      </w:r>
    </w:p>
    <w:p>
      <w:pPr>
        <w:pStyle w:val="3"/>
        <w:spacing w:before="437" w:beforeLines="100" w:after="437" w:afterLines="100"/>
        <w:rPr>
          <w:rFonts w:ascii="黑体" w:hAnsi="黑体" w:eastAsia="黑体"/>
          <w:b w:val="0"/>
          <w:bCs w:val="0"/>
        </w:rPr>
      </w:pPr>
      <w:r>
        <w:rPr>
          <w:rFonts w:hint="eastAsia" w:ascii="黑体" w:hAnsi="黑体" w:eastAsia="黑体"/>
          <w:b w:val="0"/>
          <w:bCs w:val="0"/>
        </w:rPr>
        <w:t xml:space="preserve">第五十四章 </w:t>
      </w:r>
      <w:r>
        <w:rPr>
          <w:rFonts w:ascii="黑体" w:hAnsi="黑体" w:eastAsia="黑体"/>
          <w:b w:val="0"/>
          <w:bCs w:val="0"/>
        </w:rPr>
        <w:t xml:space="preserve"> </w:t>
      </w:r>
      <w:r>
        <w:rPr>
          <w:rFonts w:hint="eastAsia" w:ascii="黑体" w:hAnsi="黑体" w:eastAsia="黑体"/>
          <w:b w:val="0"/>
          <w:bCs w:val="0"/>
        </w:rPr>
        <w:t>凝聚全社会干事创业合力</w:t>
      </w:r>
    </w:p>
    <w:p>
      <w:pPr>
        <w:spacing w:line="600" w:lineRule="exact"/>
        <w:ind w:firstLine="640"/>
        <w:rPr>
          <w:rFonts w:ascii="仿宋_GB2312"/>
          <w:color w:val="000000"/>
          <w:shd w:val="clear" w:color="auto" w:fill="FFFFFF"/>
        </w:rPr>
      </w:pPr>
      <w:r>
        <w:rPr>
          <w:rFonts w:hint="eastAsia" w:ascii="仿宋_GB2312" w:hAnsi="仿宋_GB2312"/>
          <w:color w:val="000000"/>
          <w:shd w:val="clear" w:color="auto" w:fill="FFFFFF"/>
        </w:rPr>
        <w:t>充分调动一切积极因素，广泛团结一切可以团结的力量，形成推动冠县高质量发展的强大合力。</w:t>
      </w:r>
      <w:r>
        <w:rPr>
          <w:rFonts w:hint="eastAsia" w:ascii="仿宋_GB2312"/>
          <w:color w:val="000000"/>
          <w:shd w:val="clear" w:color="auto" w:fill="FFFFFF"/>
        </w:rPr>
        <w:t>综合运用法律、政策、经济、行政等手段和教育、协调、疏导等办法，提高宣传和组织群众能力，提高人民主人翁意识。创新领导干部激励机制，持续完善容错纠错机制。坚持和完善人民代表大会制度，强化人大对“一府一委两院”的监督，充分发挥人大代表密切联系群众的优势，保证人民群众通过各种途径和形式行使民主权利。发挥政协联系广泛的优势，加强同工商联和无党派人士的团结合作。更好发挥工会、共青团、妇联等群团组织的作用，切实做好民族和宗教工作，巩固和发展最广泛的爱国统一战线，最大限度凝聚全社会推进改革发展、维护和谐稳定的共识和力量。</w:t>
      </w:r>
    </w:p>
    <w:p>
      <w:pPr>
        <w:pStyle w:val="3"/>
        <w:spacing w:before="437" w:beforeLines="100" w:after="437" w:afterLines="100"/>
        <w:rPr>
          <w:rFonts w:ascii="黑体" w:hAnsi="黑体" w:eastAsia="黑体"/>
          <w:b w:val="0"/>
          <w:bCs w:val="0"/>
        </w:rPr>
      </w:pPr>
      <w:r>
        <w:rPr>
          <w:rFonts w:hint="eastAsia" w:ascii="黑体" w:hAnsi="黑体" w:eastAsia="黑体"/>
          <w:b w:val="0"/>
          <w:bCs w:val="0"/>
        </w:rPr>
        <w:t xml:space="preserve">第五十五章 </w:t>
      </w:r>
      <w:r>
        <w:rPr>
          <w:rFonts w:ascii="黑体" w:hAnsi="黑体" w:eastAsia="黑体"/>
          <w:b w:val="0"/>
          <w:bCs w:val="0"/>
        </w:rPr>
        <w:t xml:space="preserve"> </w:t>
      </w:r>
      <w:r>
        <w:rPr>
          <w:rFonts w:hint="eastAsia" w:ascii="黑体" w:hAnsi="黑体" w:eastAsia="黑体"/>
          <w:b w:val="0"/>
          <w:bCs w:val="0"/>
        </w:rPr>
        <w:t>加强规划实施和管理</w:t>
      </w:r>
    </w:p>
    <w:p>
      <w:pPr>
        <w:spacing w:line="600" w:lineRule="exact"/>
        <w:ind w:firstLine="640"/>
        <w:rPr>
          <w:rFonts w:ascii="仿宋_GB2312"/>
          <w:color w:val="000000"/>
          <w:shd w:val="clear" w:color="auto" w:fill="FFFFFF"/>
        </w:rPr>
      </w:pPr>
      <w:r>
        <w:rPr>
          <w:rFonts w:hint="eastAsia" w:ascii="仿宋_GB2312" w:hAnsi="仿宋_GB2312"/>
          <w:color w:val="000000"/>
          <w:shd w:val="clear" w:color="auto" w:fill="FFFFFF"/>
        </w:rPr>
        <w:t>健全政策协调和工作协同机制，完善规划实施监测评估机制，将本规划作为制定国土空间总体规划、专项规划、区域规划、详细规划、年度计划以及相关政策、安排重大事项的重要依据。加强年度计划与规划纲要的衔接，建立健全重大项目库，强化规划对政府公共预算安排、金融资本运用、国土空间开发、资源配置等领域的引导和协调。强化目标责任，规划提出的约束性指标和公共服务领域内的任务，分解落实到经济开发区、各乡镇（街道）和县直有关部门，并纳入综合评价和绩效考核。创新评估方式，做好规划实施中期评估和总结评估，探索开展年度评估，引入第三方评估，增强规划评估的客观性和准确性。进一步完善规划实施公众参与和民主监督机制，及时公开规划实施相关信息，接受全社会监督。县政府各部门要自觉接受县人民代表大会及其常务委员会对规划实施情况的监督检查。实施过程中宏观环境发生重大变化，需要对规划进行调整的，按程序报经县人民代表大会常务委员会批准。经济开发区、各乡镇（街道）、县直部门要从实际出发，制定符合本地区、本行业特点的区域规划和专项规划，建立规划实施的监测、评估、考核机制，确保各项目标任务落实落地、取得实效。</w:t>
      </w:r>
    </w:p>
    <w:p>
      <w:pPr>
        <w:spacing w:line="600" w:lineRule="exact"/>
        <w:ind w:firstLine="672"/>
        <w:rPr>
          <w:rFonts w:ascii="仿宋_GB2312" w:hAnsi="Arial" w:cs="Arial"/>
          <w:spacing w:val="8"/>
          <w:shd w:val="clear" w:color="auto" w:fill="FFFFFF"/>
        </w:rPr>
      </w:pPr>
      <w:r>
        <w:rPr>
          <w:rFonts w:hint="eastAsia" w:ascii="仿宋_GB2312" w:hAnsi="Arial" w:cs="Arial"/>
          <w:spacing w:val="8"/>
          <w:shd w:val="clear" w:color="auto" w:fill="FFFFFF"/>
        </w:rPr>
        <w:t>“十四五”规划是我县开启全面建设社会主义现代化强县的重要规划。全县上下要紧密团结在以习近平同志为核心的党中央周围，坚持以习近平新时代中国特色社会主义思想为指导，在省委、省政府、市委、市政府和县委、县政府的正确领导下，同心同德、顽强奋斗，抢抓机遇、开拓进取，为建设新时代现代化强县努力奋斗！</w:t>
      </w:r>
    </w:p>
    <w:p>
      <w:pPr>
        <w:ind w:firstLine="640"/>
      </w:pPr>
    </w:p>
    <w:p>
      <w:pPr>
        <w:ind w:firstLine="640"/>
      </w:pPr>
    </w:p>
    <w:p>
      <w:pPr>
        <w:ind w:firstLine="640"/>
      </w:pPr>
    </w:p>
    <w:p>
      <w:pPr>
        <w:ind w:firstLine="640"/>
      </w:pPr>
    </w:p>
    <w:p>
      <w:pPr>
        <w:ind w:firstLine="640"/>
      </w:pPr>
    </w:p>
    <w:p>
      <w:pPr>
        <w:ind w:firstLine="640"/>
      </w:pPr>
    </w:p>
    <w:sectPr>
      <w:footerReference r:id="rId13" w:type="default"/>
      <w:pgSz w:w="11906" w:h="16838"/>
      <w:pgMar w:top="1701" w:right="1531" w:bottom="1701" w:left="1531" w:header="1134" w:footer="1134" w:gutter="0"/>
      <w:pgNumType w:fmt="numberInDash" w:start="1"/>
      <w:cols w:space="0" w:num="1"/>
      <w:docGrid w:type="lines" w:linePitch="43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楷体">
    <w:altName w:val="方正楷体_GBK"/>
    <w:panose1 w:val="02010609060101010101"/>
    <w:charset w:val="86"/>
    <w:family w:val="modern"/>
    <w:pitch w:val="default"/>
    <w:sig w:usb0="00000000" w:usb1="00000000" w:usb2="00000016" w:usb3="00000000" w:csb0="00040001" w:csb1="00000000"/>
  </w:font>
  <w:font w:name="Tahoma">
    <w:altName w:val="DejaVu Sans"/>
    <w:panose1 w:val="020B0604030504040204"/>
    <w:charset w:val="00"/>
    <w:family w:val="swiss"/>
    <w:pitch w:val="default"/>
    <w:sig w:usb0="00000000" w:usb1="00000000"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简体">
    <w:panose1 w:val="03000509000000000000"/>
    <w:charset w:val="86"/>
    <w:family w:val="script"/>
    <w:pitch w:val="default"/>
    <w:sig w:usb0="00000001" w:usb1="080E0000" w:usb2="00000000" w:usb3="00000000" w:csb0="00040000" w:csb1="00000000"/>
  </w:font>
  <w:font w:name="方正大标宋简体">
    <w:altName w:val="方正书宋_GBK"/>
    <w:panose1 w:val="00000000000000000000"/>
    <w:charset w:val="86"/>
    <w:family w:val="auto"/>
    <w:pitch w:val="default"/>
    <w:sig w:usb0="00000000" w:usb1="00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宋简">
    <w:panose1 w:val="02010600000101010101"/>
    <w:charset w:val="86"/>
    <w:family w:val="auto"/>
    <w:pitch w:val="default"/>
    <w:sig w:usb0="00000001" w:usb1="080E0800" w:usb2="00000002"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4"/>
                            <w:ind w:firstLine="0" w:firstLineChars="0"/>
                            <w:rPr>
                              <w:rFonts w:ascii="宋体" w:cs="宋体"/>
                              <w:sz w:val="24"/>
                              <w:szCs w:val="24"/>
                            </w:rPr>
                          </w:pPr>
                          <w:r>
                            <w:rPr>
                              <w:rFonts w:ascii="宋体" w:hAnsi="宋体" w:cs="宋体"/>
                              <w:sz w:val="24"/>
                              <w:szCs w:val="24"/>
                            </w:rPr>
                            <w:fldChar w:fldCharType="begin"/>
                          </w:r>
                          <w:r>
                            <w:rPr>
                              <w:rFonts w:ascii="宋体" w:hAnsi="宋体" w:cs="宋体"/>
                              <w:sz w:val="24"/>
                              <w:szCs w:val="24"/>
                            </w:rPr>
                            <w:instrText xml:space="preserve">PAGE   \* MERGEFORMAT</w:instrText>
                          </w:r>
                          <w:r>
                            <w:rPr>
                              <w:rFonts w:ascii="宋体" w:hAnsi="宋体" w:cs="宋体"/>
                              <w:sz w:val="24"/>
                              <w:szCs w:val="24"/>
                            </w:rPr>
                            <w:fldChar w:fldCharType="separate"/>
                          </w:r>
                          <w:r>
                            <w:rPr>
                              <w:rFonts w:ascii="宋体" w:cs="宋体"/>
                              <w:sz w:val="24"/>
                              <w:szCs w:val="24"/>
                              <w:lang w:val="zh-CN"/>
                            </w:rPr>
                            <w:t>-</w:t>
                          </w:r>
                          <w:r>
                            <w:rPr>
                              <w:rFonts w:ascii="宋体" w:hAnsi="宋体" w:cs="宋体"/>
                              <w:sz w:val="24"/>
                              <w:szCs w:val="24"/>
                            </w:rPr>
                            <w:t xml:space="preserve"> 4 -</w:t>
                          </w:r>
                          <w:r>
                            <w:rPr>
                              <w:rFonts w:ascii="宋体" w:hAnsi="宋体" w:cs="宋体"/>
                              <w:sz w:val="24"/>
                              <w:szCs w:val="24"/>
                            </w:rPr>
                            <w:fldChar w:fldCharType="end"/>
                          </w:r>
                        </w:p>
                      </w:txbxContent>
                    </wps:txbx>
                    <wps:bodyPr wrap="none" lIns="0" tIns="0" rIns="0" bIns="0" upright="tru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wU4t+1AQAAXwMAAA4AAABkcnMv&#10;ZTJvRG9jLnhtbK1TzY7TMBC+I/EOlu80aQ+oipqudrVahIQAaeEBXMduLPlPM26TvgC8AScu3Hmu&#10;Pgdjp+kucENcnPnz5++bmWxuRmfZUQGa4Fu+XNScKS9DZ/y+5Z8/Pbxac4ZJ+E7Y4FXLTwr5zfbl&#10;i80QG7UKfbCdAkYgHpshtrxPKTZVhbJXTuAiROUpqQM4kciFfdWBGAjd2WpV16+rIUAXIUiFSNH7&#10;Kcm3BV9rJdMHrVElZltO3FI5oZy7fFbbjWj2IGJv5IWG+AcWThhPj16h7kUS7ADmLyhnJAQMOi1k&#10;cFXQ2khVNJCaZf2HmsdeRFW0UHMwXtuE/w9Wvj9+BGY6mh1nXjga0fnb1/P3n+cfX9gqt2eI2FDV&#10;Y6S6NN6FseUJDmpOIcWz8FGDy1+SxKiEen269leNiUkKLter9bqmlKTc7NAT1dP1CJjeqOBYNloO&#10;NMDSV3F8h2kqnUvyaz48GGvLEK3/LUCYU0SVLbjczmImxtlK4268KNyF7kQCB9qElntaVc7sW0+N&#10;zkszGzAbu9k4RDD7noiWlmQCGG8PiVgVsvmRCZlEZoemWOReNi6vyXO/VD39F9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AwU4t+1AQAAXwMAAA4AAAAAAAAAAQAgAAAANAEAAGRycy9lMm9E&#10;b2MueG1sUEsFBgAAAAAGAAYAWQEAAFsFAAAAAA==&#10;">
              <v:fill on="f" focussize="0,0"/>
              <v:stroke on="f"/>
              <v:imagedata o:title=""/>
              <o:lock v:ext="edit" aspectratio="f"/>
              <v:textbox inset="0mm,0mm,0mm,0mm" style="mso-fit-shape-to-text:t;">
                <w:txbxContent>
                  <w:p>
                    <w:pPr>
                      <w:pStyle w:val="14"/>
                      <w:ind w:firstLine="0" w:firstLineChars="0"/>
                      <w:rPr>
                        <w:rFonts w:ascii="宋体" w:cs="宋体"/>
                        <w:sz w:val="24"/>
                        <w:szCs w:val="24"/>
                      </w:rPr>
                    </w:pPr>
                    <w:r>
                      <w:rPr>
                        <w:rFonts w:ascii="宋体" w:hAnsi="宋体" w:cs="宋体"/>
                        <w:sz w:val="24"/>
                        <w:szCs w:val="24"/>
                      </w:rPr>
                      <w:fldChar w:fldCharType="begin"/>
                    </w:r>
                    <w:r>
                      <w:rPr>
                        <w:rFonts w:ascii="宋体" w:hAnsi="宋体" w:cs="宋体"/>
                        <w:sz w:val="24"/>
                        <w:szCs w:val="24"/>
                      </w:rPr>
                      <w:instrText xml:space="preserve">PAGE   \* MERGEFORMAT</w:instrText>
                    </w:r>
                    <w:r>
                      <w:rPr>
                        <w:rFonts w:ascii="宋体" w:hAnsi="宋体" w:cs="宋体"/>
                        <w:sz w:val="24"/>
                        <w:szCs w:val="24"/>
                      </w:rPr>
                      <w:fldChar w:fldCharType="separate"/>
                    </w:r>
                    <w:r>
                      <w:rPr>
                        <w:rFonts w:ascii="宋体" w:cs="宋体"/>
                        <w:sz w:val="24"/>
                        <w:szCs w:val="24"/>
                        <w:lang w:val="zh-CN"/>
                      </w:rPr>
                      <w:t>-</w:t>
                    </w:r>
                    <w:r>
                      <w:rPr>
                        <w:rFonts w:ascii="宋体" w:hAnsi="宋体" w:cs="宋体"/>
                        <w:sz w:val="24"/>
                        <w:szCs w:val="24"/>
                      </w:rPr>
                      <w:t xml:space="preserve"> 4 -</w:t>
                    </w:r>
                    <w:r>
                      <w:rPr>
                        <w:rFonts w:ascii="宋体" w:hAnsi="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4"/>
                            <w:ind w:firstLine="0" w:firstLineChars="0"/>
                            <w:rPr>
                              <w:rFonts w:ascii="宋体" w:cs="宋体"/>
                              <w:sz w:val="24"/>
                              <w:szCs w:val="24"/>
                            </w:rPr>
                          </w:pPr>
                          <w:r>
                            <w:rPr>
                              <w:rFonts w:ascii="宋体" w:hAnsi="宋体" w:cs="宋体"/>
                              <w:sz w:val="24"/>
                              <w:szCs w:val="24"/>
                            </w:rPr>
                            <w:fldChar w:fldCharType="begin"/>
                          </w:r>
                          <w:r>
                            <w:rPr>
                              <w:rFonts w:ascii="宋体" w:hAnsi="宋体" w:cs="宋体"/>
                              <w:sz w:val="24"/>
                              <w:szCs w:val="24"/>
                            </w:rPr>
                            <w:instrText xml:space="preserve">PAGE   \* MERGEFORMAT</w:instrText>
                          </w:r>
                          <w:r>
                            <w:rPr>
                              <w:rFonts w:ascii="宋体" w:hAnsi="宋体" w:cs="宋体"/>
                              <w:sz w:val="24"/>
                              <w:szCs w:val="24"/>
                            </w:rPr>
                            <w:fldChar w:fldCharType="separate"/>
                          </w:r>
                          <w:r>
                            <w:rPr>
                              <w:rFonts w:ascii="宋体" w:cs="宋体"/>
                              <w:sz w:val="24"/>
                              <w:szCs w:val="24"/>
                              <w:lang w:val="zh-CN"/>
                            </w:rPr>
                            <w:t>-</w:t>
                          </w:r>
                          <w:r>
                            <w:rPr>
                              <w:rFonts w:ascii="宋体" w:hAnsi="宋体" w:cs="宋体"/>
                              <w:sz w:val="24"/>
                              <w:szCs w:val="24"/>
                            </w:rPr>
                            <w:t xml:space="preserve"> 26 -</w:t>
                          </w:r>
                          <w:r>
                            <w:rPr>
                              <w:rFonts w:ascii="宋体" w:hAnsi="宋体" w:cs="宋体"/>
                              <w:sz w:val="24"/>
                              <w:szCs w:val="24"/>
                            </w:rPr>
                            <w:fldChar w:fldCharType="end"/>
                          </w:r>
                        </w:p>
                      </w:txbxContent>
                    </wps:txbx>
                    <wps:bodyPr wrap="none" lIns="0" tIns="0" rIns="0" bIns="0" upright="tru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GgWgm3AQAAXwMAAA4AAABkcnMv&#10;ZTJvRG9jLnhtbK1TS27bMBDdF+gdCO5ryS5QGILpIEWQokCRBEh7AJoiLQL8YUhb8gWSG3TVTfY5&#10;l8/RIWU5bborsqHmx5n3Hkeri8EaspcQtXeMzmc1JdIJ32q3ZfTH9+sPS0pi4q7lxjvJ6EFGerF+&#10;/27Vh0YufOdNK4FgExebPjDapRSaqoqik5bHmQ/SYVJ5sDyhC9uqBd5jd2uqRV1/qnoPbQAvZIwY&#10;vRqTdF36KyVFulUqykQMo4gtlRPKuclntV7xZgs8dFqcYPD/QGG5djj03OqKJ052oP9pZbUAH71K&#10;M+Ft5ZXSQhYOyGZev2Jz3/EgCxcUJ4azTPHt2oqb/R0Q3TK6oMRxi090/Pl4/PV8fHogH7M8fYgN&#10;Vt0HrEvDZz8wmmAnp1TEeCY+KLD5i5QIlqDWh7O+ckhEYHC+XCyXNaYE5iYHR1Qv1wPE9EV6S7LB&#10;KOADFl35/ltMY+lUkqc5f62NKY9o3F8B7DlGZNmC0+1MZkScrTRshhPDjW8PSLDHTWDU4apSYr46&#10;FDovzWTAZGwmYxdAbzsEWiTJAGK43CVEVcDmIWNnJJkdfMVC97RxeU3+9EvVy3+x/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UaBaCbcBAABfAwAADgAAAAAAAAABACAAAAA0AQAAZHJzL2Uy&#10;b0RvYy54bWxQSwUGAAAAAAYABgBZAQAAXQUAAAAA&#10;">
              <v:fill on="f" focussize="0,0"/>
              <v:stroke on="f"/>
              <v:imagedata o:title=""/>
              <o:lock v:ext="edit" aspectratio="f"/>
              <v:textbox inset="0mm,0mm,0mm,0mm" style="mso-fit-shape-to-text:t;">
                <w:txbxContent>
                  <w:p>
                    <w:pPr>
                      <w:pStyle w:val="14"/>
                      <w:ind w:firstLine="0" w:firstLineChars="0"/>
                      <w:rPr>
                        <w:rFonts w:ascii="宋体" w:cs="宋体"/>
                        <w:sz w:val="24"/>
                        <w:szCs w:val="24"/>
                      </w:rPr>
                    </w:pPr>
                    <w:r>
                      <w:rPr>
                        <w:rFonts w:ascii="宋体" w:hAnsi="宋体" w:cs="宋体"/>
                        <w:sz w:val="24"/>
                        <w:szCs w:val="24"/>
                      </w:rPr>
                      <w:fldChar w:fldCharType="begin"/>
                    </w:r>
                    <w:r>
                      <w:rPr>
                        <w:rFonts w:ascii="宋体" w:hAnsi="宋体" w:cs="宋体"/>
                        <w:sz w:val="24"/>
                        <w:szCs w:val="24"/>
                      </w:rPr>
                      <w:instrText xml:space="preserve">PAGE   \* MERGEFORMAT</w:instrText>
                    </w:r>
                    <w:r>
                      <w:rPr>
                        <w:rFonts w:ascii="宋体" w:hAnsi="宋体" w:cs="宋体"/>
                        <w:sz w:val="24"/>
                        <w:szCs w:val="24"/>
                      </w:rPr>
                      <w:fldChar w:fldCharType="separate"/>
                    </w:r>
                    <w:r>
                      <w:rPr>
                        <w:rFonts w:ascii="宋体" w:cs="宋体"/>
                        <w:sz w:val="24"/>
                        <w:szCs w:val="24"/>
                        <w:lang w:val="zh-CN"/>
                      </w:rPr>
                      <w:t>-</w:t>
                    </w:r>
                    <w:r>
                      <w:rPr>
                        <w:rFonts w:ascii="宋体" w:hAnsi="宋体" w:cs="宋体"/>
                        <w:sz w:val="24"/>
                        <w:szCs w:val="24"/>
                      </w:rPr>
                      <w:t xml:space="preserve"> 26 -</w:t>
                    </w:r>
                    <w:r>
                      <w:rPr>
                        <w:rFonts w:ascii="宋体" w:hAnsi="宋体" w:cs="宋体"/>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0" w:firstLineChars="0"/>
      <w:rPr>
        <w:rFonts w:asci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A79C0D"/>
    <w:multiLevelType w:val="multilevel"/>
    <w:tmpl w:val="11A79C0D"/>
    <w:lvl w:ilvl="0" w:tentative="0">
      <w:start w:val="1"/>
      <w:numFmt w:val="decimal"/>
      <w:pStyle w:val="62"/>
      <w:lvlText w:val="工程项目包%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0BF5CFF"/>
    <w:multiLevelType w:val="multilevel"/>
    <w:tmpl w:val="30BF5CFF"/>
    <w:lvl w:ilvl="0" w:tentative="0">
      <w:start w:val="1"/>
      <w:numFmt w:val="chineseCountingThousand"/>
      <w:pStyle w:val="56"/>
      <w:lvlText w:val="专栏%1"/>
      <w:lvlJc w:val="left"/>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32AE743D"/>
    <w:multiLevelType w:val="multilevel"/>
    <w:tmpl w:val="32AE743D"/>
    <w:lvl w:ilvl="0" w:tentative="0">
      <w:start w:val="1"/>
      <w:numFmt w:val="decimal"/>
      <w:pStyle w:val="44"/>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4BEC5158"/>
    <w:multiLevelType w:val="multilevel"/>
    <w:tmpl w:val="4BEC5158"/>
    <w:lvl w:ilvl="0" w:tentative="0">
      <w:start w:val="1"/>
      <w:numFmt w:val="decimal"/>
      <w:pStyle w:val="58"/>
      <w:lvlText w:val="专栏%1."/>
      <w:lvlJc w:val="left"/>
      <w:pPr>
        <w:ind w:left="420" w:hanging="420"/>
      </w:pPr>
      <w:rPr>
        <w:rFonts w:hint="default" w:cs="Times New Roman"/>
        <w:b/>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NotTrackMoves/>
  <w:documentProtection w:enforcement="0"/>
  <w:defaultTabStop w:val="420"/>
  <w:drawingGridVerticalSpacing w:val="219"/>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EBA"/>
    <w:rsid w:val="0000070B"/>
    <w:rsid w:val="0000100F"/>
    <w:rsid w:val="00001912"/>
    <w:rsid w:val="00001DF5"/>
    <w:rsid w:val="00002710"/>
    <w:rsid w:val="000049B7"/>
    <w:rsid w:val="00004F7E"/>
    <w:rsid w:val="000050DB"/>
    <w:rsid w:val="0000743A"/>
    <w:rsid w:val="00007D0B"/>
    <w:rsid w:val="000104AF"/>
    <w:rsid w:val="00010BA2"/>
    <w:rsid w:val="0001207E"/>
    <w:rsid w:val="00012C17"/>
    <w:rsid w:val="00012C9E"/>
    <w:rsid w:val="00013B21"/>
    <w:rsid w:val="00013CA2"/>
    <w:rsid w:val="0001461B"/>
    <w:rsid w:val="0001573C"/>
    <w:rsid w:val="00015B42"/>
    <w:rsid w:val="00016AF8"/>
    <w:rsid w:val="00020AE7"/>
    <w:rsid w:val="000210B4"/>
    <w:rsid w:val="000218C2"/>
    <w:rsid w:val="000220FF"/>
    <w:rsid w:val="00022344"/>
    <w:rsid w:val="00022D55"/>
    <w:rsid w:val="00023CFE"/>
    <w:rsid w:val="000241E7"/>
    <w:rsid w:val="0002496A"/>
    <w:rsid w:val="00026AFE"/>
    <w:rsid w:val="000277C4"/>
    <w:rsid w:val="00027A2E"/>
    <w:rsid w:val="00027A40"/>
    <w:rsid w:val="00030317"/>
    <w:rsid w:val="000304C6"/>
    <w:rsid w:val="000308B8"/>
    <w:rsid w:val="000308C6"/>
    <w:rsid w:val="00031F9E"/>
    <w:rsid w:val="00032639"/>
    <w:rsid w:val="00032942"/>
    <w:rsid w:val="00033439"/>
    <w:rsid w:val="00033501"/>
    <w:rsid w:val="00034557"/>
    <w:rsid w:val="00034AF2"/>
    <w:rsid w:val="000350A9"/>
    <w:rsid w:val="00035669"/>
    <w:rsid w:val="00037B99"/>
    <w:rsid w:val="00037FF1"/>
    <w:rsid w:val="00040F35"/>
    <w:rsid w:val="00042382"/>
    <w:rsid w:val="00043AB6"/>
    <w:rsid w:val="00046C75"/>
    <w:rsid w:val="000473DB"/>
    <w:rsid w:val="00047414"/>
    <w:rsid w:val="00047717"/>
    <w:rsid w:val="0005069F"/>
    <w:rsid w:val="00050AEE"/>
    <w:rsid w:val="00052612"/>
    <w:rsid w:val="00055699"/>
    <w:rsid w:val="00055EC1"/>
    <w:rsid w:val="0005617F"/>
    <w:rsid w:val="00056225"/>
    <w:rsid w:val="000574B7"/>
    <w:rsid w:val="00057899"/>
    <w:rsid w:val="000579E0"/>
    <w:rsid w:val="00057F43"/>
    <w:rsid w:val="0006039E"/>
    <w:rsid w:val="00060512"/>
    <w:rsid w:val="00060C6D"/>
    <w:rsid w:val="00060F48"/>
    <w:rsid w:val="000619D1"/>
    <w:rsid w:val="00061D23"/>
    <w:rsid w:val="000623FF"/>
    <w:rsid w:val="0006371E"/>
    <w:rsid w:val="00063DD2"/>
    <w:rsid w:val="0006533F"/>
    <w:rsid w:val="00065D8E"/>
    <w:rsid w:val="000665B0"/>
    <w:rsid w:val="0006674B"/>
    <w:rsid w:val="00067372"/>
    <w:rsid w:val="0006757E"/>
    <w:rsid w:val="000676BC"/>
    <w:rsid w:val="00067DAF"/>
    <w:rsid w:val="000700A3"/>
    <w:rsid w:val="00070343"/>
    <w:rsid w:val="0007185F"/>
    <w:rsid w:val="00072889"/>
    <w:rsid w:val="00075060"/>
    <w:rsid w:val="00075922"/>
    <w:rsid w:val="00076604"/>
    <w:rsid w:val="0007769E"/>
    <w:rsid w:val="000778F6"/>
    <w:rsid w:val="00077BAF"/>
    <w:rsid w:val="000801FE"/>
    <w:rsid w:val="000809F7"/>
    <w:rsid w:val="00080A3F"/>
    <w:rsid w:val="00080B35"/>
    <w:rsid w:val="0008123F"/>
    <w:rsid w:val="00082651"/>
    <w:rsid w:val="00082C9C"/>
    <w:rsid w:val="00084C2A"/>
    <w:rsid w:val="00085217"/>
    <w:rsid w:val="0008534A"/>
    <w:rsid w:val="00085473"/>
    <w:rsid w:val="000854B7"/>
    <w:rsid w:val="00085671"/>
    <w:rsid w:val="00086026"/>
    <w:rsid w:val="00086147"/>
    <w:rsid w:val="0008777D"/>
    <w:rsid w:val="00091DD8"/>
    <w:rsid w:val="000937A1"/>
    <w:rsid w:val="00093994"/>
    <w:rsid w:val="000944E1"/>
    <w:rsid w:val="0009517B"/>
    <w:rsid w:val="000954B3"/>
    <w:rsid w:val="00095838"/>
    <w:rsid w:val="0009604D"/>
    <w:rsid w:val="000A138D"/>
    <w:rsid w:val="000A294F"/>
    <w:rsid w:val="000A2C7B"/>
    <w:rsid w:val="000A3100"/>
    <w:rsid w:val="000A3482"/>
    <w:rsid w:val="000A3770"/>
    <w:rsid w:val="000A3E53"/>
    <w:rsid w:val="000A4AD4"/>
    <w:rsid w:val="000A60A1"/>
    <w:rsid w:val="000A7B45"/>
    <w:rsid w:val="000B0849"/>
    <w:rsid w:val="000B18FD"/>
    <w:rsid w:val="000B3862"/>
    <w:rsid w:val="000B568C"/>
    <w:rsid w:val="000B6EDD"/>
    <w:rsid w:val="000B740C"/>
    <w:rsid w:val="000C036C"/>
    <w:rsid w:val="000C13E1"/>
    <w:rsid w:val="000C14FD"/>
    <w:rsid w:val="000C1A09"/>
    <w:rsid w:val="000C1D85"/>
    <w:rsid w:val="000C5162"/>
    <w:rsid w:val="000C6367"/>
    <w:rsid w:val="000C6B3B"/>
    <w:rsid w:val="000C7A77"/>
    <w:rsid w:val="000C7B23"/>
    <w:rsid w:val="000D01FD"/>
    <w:rsid w:val="000D1497"/>
    <w:rsid w:val="000D16A8"/>
    <w:rsid w:val="000D1BD7"/>
    <w:rsid w:val="000D2465"/>
    <w:rsid w:val="000D282E"/>
    <w:rsid w:val="000D29CF"/>
    <w:rsid w:val="000D2D30"/>
    <w:rsid w:val="000D3921"/>
    <w:rsid w:val="000D40E3"/>
    <w:rsid w:val="000D610E"/>
    <w:rsid w:val="000D6E47"/>
    <w:rsid w:val="000E0589"/>
    <w:rsid w:val="000E0CBB"/>
    <w:rsid w:val="000E0D2E"/>
    <w:rsid w:val="000E15D5"/>
    <w:rsid w:val="000E2837"/>
    <w:rsid w:val="000E40B7"/>
    <w:rsid w:val="000E4F65"/>
    <w:rsid w:val="000E52ED"/>
    <w:rsid w:val="000E584C"/>
    <w:rsid w:val="000E67C6"/>
    <w:rsid w:val="000E6B99"/>
    <w:rsid w:val="000E6F14"/>
    <w:rsid w:val="000F116E"/>
    <w:rsid w:val="000F1367"/>
    <w:rsid w:val="000F1C16"/>
    <w:rsid w:val="000F21FD"/>
    <w:rsid w:val="000F26E1"/>
    <w:rsid w:val="000F26ED"/>
    <w:rsid w:val="000F332F"/>
    <w:rsid w:val="000F334C"/>
    <w:rsid w:val="000F3957"/>
    <w:rsid w:val="000F3B7B"/>
    <w:rsid w:val="000F4569"/>
    <w:rsid w:val="000F4BBC"/>
    <w:rsid w:val="000F4E65"/>
    <w:rsid w:val="000F58B6"/>
    <w:rsid w:val="000F6C1A"/>
    <w:rsid w:val="000F6CA1"/>
    <w:rsid w:val="001002CD"/>
    <w:rsid w:val="0010264A"/>
    <w:rsid w:val="00102822"/>
    <w:rsid w:val="001034C7"/>
    <w:rsid w:val="00104CA5"/>
    <w:rsid w:val="00105B6F"/>
    <w:rsid w:val="00105C50"/>
    <w:rsid w:val="0010629E"/>
    <w:rsid w:val="00107A8D"/>
    <w:rsid w:val="001100F4"/>
    <w:rsid w:val="00110EBE"/>
    <w:rsid w:val="00111196"/>
    <w:rsid w:val="0011183D"/>
    <w:rsid w:val="00111E18"/>
    <w:rsid w:val="00112C25"/>
    <w:rsid w:val="0011302D"/>
    <w:rsid w:val="00114765"/>
    <w:rsid w:val="001158B4"/>
    <w:rsid w:val="00115DC7"/>
    <w:rsid w:val="00117071"/>
    <w:rsid w:val="00120DFB"/>
    <w:rsid w:val="00121475"/>
    <w:rsid w:val="00122629"/>
    <w:rsid w:val="00122AB3"/>
    <w:rsid w:val="00123C01"/>
    <w:rsid w:val="00124751"/>
    <w:rsid w:val="00125A7D"/>
    <w:rsid w:val="00125AC8"/>
    <w:rsid w:val="00126107"/>
    <w:rsid w:val="00126244"/>
    <w:rsid w:val="00127002"/>
    <w:rsid w:val="00132182"/>
    <w:rsid w:val="00132F55"/>
    <w:rsid w:val="0013309D"/>
    <w:rsid w:val="001340D3"/>
    <w:rsid w:val="00135F47"/>
    <w:rsid w:val="00136DB7"/>
    <w:rsid w:val="001405E5"/>
    <w:rsid w:val="00141820"/>
    <w:rsid w:val="0014184F"/>
    <w:rsid w:val="00142885"/>
    <w:rsid w:val="00142AF6"/>
    <w:rsid w:val="00142C81"/>
    <w:rsid w:val="001448DB"/>
    <w:rsid w:val="0014587C"/>
    <w:rsid w:val="00147155"/>
    <w:rsid w:val="0014727C"/>
    <w:rsid w:val="001474C1"/>
    <w:rsid w:val="00152123"/>
    <w:rsid w:val="001521D1"/>
    <w:rsid w:val="001533A7"/>
    <w:rsid w:val="001537DF"/>
    <w:rsid w:val="00153F21"/>
    <w:rsid w:val="001540BD"/>
    <w:rsid w:val="00154610"/>
    <w:rsid w:val="001556AB"/>
    <w:rsid w:val="00156119"/>
    <w:rsid w:val="00156891"/>
    <w:rsid w:val="00156DC6"/>
    <w:rsid w:val="0015786F"/>
    <w:rsid w:val="00160E33"/>
    <w:rsid w:val="001611BF"/>
    <w:rsid w:val="00162E5B"/>
    <w:rsid w:val="00164192"/>
    <w:rsid w:val="0016452C"/>
    <w:rsid w:val="00164534"/>
    <w:rsid w:val="001659E3"/>
    <w:rsid w:val="00166777"/>
    <w:rsid w:val="00167CD4"/>
    <w:rsid w:val="00167D79"/>
    <w:rsid w:val="00172D11"/>
    <w:rsid w:val="00173237"/>
    <w:rsid w:val="00174073"/>
    <w:rsid w:val="001740A1"/>
    <w:rsid w:val="001746F9"/>
    <w:rsid w:val="00174D82"/>
    <w:rsid w:val="00174EF7"/>
    <w:rsid w:val="00175A4F"/>
    <w:rsid w:val="00175C0D"/>
    <w:rsid w:val="00176278"/>
    <w:rsid w:val="00180399"/>
    <w:rsid w:val="001803C4"/>
    <w:rsid w:val="00180CAC"/>
    <w:rsid w:val="00180E92"/>
    <w:rsid w:val="00180EBA"/>
    <w:rsid w:val="001830E2"/>
    <w:rsid w:val="00183968"/>
    <w:rsid w:val="00184424"/>
    <w:rsid w:val="00184E6B"/>
    <w:rsid w:val="0018538D"/>
    <w:rsid w:val="00185668"/>
    <w:rsid w:val="001873DC"/>
    <w:rsid w:val="00187A26"/>
    <w:rsid w:val="00187C18"/>
    <w:rsid w:val="001909A1"/>
    <w:rsid w:val="00190B31"/>
    <w:rsid w:val="00191CC0"/>
    <w:rsid w:val="0019259F"/>
    <w:rsid w:val="00193ACB"/>
    <w:rsid w:val="001943BB"/>
    <w:rsid w:val="00195BB3"/>
    <w:rsid w:val="00195D75"/>
    <w:rsid w:val="00196381"/>
    <w:rsid w:val="00196F31"/>
    <w:rsid w:val="0019735F"/>
    <w:rsid w:val="001A1244"/>
    <w:rsid w:val="001A1562"/>
    <w:rsid w:val="001A163A"/>
    <w:rsid w:val="001A1C47"/>
    <w:rsid w:val="001A20A9"/>
    <w:rsid w:val="001A4729"/>
    <w:rsid w:val="001A4A01"/>
    <w:rsid w:val="001A5780"/>
    <w:rsid w:val="001A61BA"/>
    <w:rsid w:val="001A6CBC"/>
    <w:rsid w:val="001B136E"/>
    <w:rsid w:val="001B14C3"/>
    <w:rsid w:val="001B1D03"/>
    <w:rsid w:val="001B1E5D"/>
    <w:rsid w:val="001B1FA7"/>
    <w:rsid w:val="001B241C"/>
    <w:rsid w:val="001B290A"/>
    <w:rsid w:val="001B3CAE"/>
    <w:rsid w:val="001B4FCA"/>
    <w:rsid w:val="001B5014"/>
    <w:rsid w:val="001B740E"/>
    <w:rsid w:val="001C0943"/>
    <w:rsid w:val="001C0CCF"/>
    <w:rsid w:val="001C1809"/>
    <w:rsid w:val="001C1DA7"/>
    <w:rsid w:val="001C2904"/>
    <w:rsid w:val="001C2923"/>
    <w:rsid w:val="001C2BB3"/>
    <w:rsid w:val="001C4150"/>
    <w:rsid w:val="001C47D0"/>
    <w:rsid w:val="001C77A7"/>
    <w:rsid w:val="001D024D"/>
    <w:rsid w:val="001D28CA"/>
    <w:rsid w:val="001D2994"/>
    <w:rsid w:val="001D2F5B"/>
    <w:rsid w:val="001D3789"/>
    <w:rsid w:val="001D4646"/>
    <w:rsid w:val="001D4D26"/>
    <w:rsid w:val="001D5D5E"/>
    <w:rsid w:val="001D6069"/>
    <w:rsid w:val="001D654E"/>
    <w:rsid w:val="001D6C07"/>
    <w:rsid w:val="001E1361"/>
    <w:rsid w:val="001E2593"/>
    <w:rsid w:val="001E29C0"/>
    <w:rsid w:val="001E2F03"/>
    <w:rsid w:val="001E4B38"/>
    <w:rsid w:val="001E5E5D"/>
    <w:rsid w:val="001E664D"/>
    <w:rsid w:val="001E6B17"/>
    <w:rsid w:val="001E7DA0"/>
    <w:rsid w:val="001F02B1"/>
    <w:rsid w:val="001F0881"/>
    <w:rsid w:val="001F096E"/>
    <w:rsid w:val="001F4A73"/>
    <w:rsid w:val="001F4C5A"/>
    <w:rsid w:val="001F4E8F"/>
    <w:rsid w:val="001F531B"/>
    <w:rsid w:val="001F6B97"/>
    <w:rsid w:val="001F6BC2"/>
    <w:rsid w:val="001F6E08"/>
    <w:rsid w:val="001F6F02"/>
    <w:rsid w:val="00201CF5"/>
    <w:rsid w:val="002023AC"/>
    <w:rsid w:val="002033F2"/>
    <w:rsid w:val="00203835"/>
    <w:rsid w:val="00204866"/>
    <w:rsid w:val="002070EF"/>
    <w:rsid w:val="00207A14"/>
    <w:rsid w:val="00211A09"/>
    <w:rsid w:val="00211B83"/>
    <w:rsid w:val="00212420"/>
    <w:rsid w:val="002150F7"/>
    <w:rsid w:val="00215AFE"/>
    <w:rsid w:val="00217E64"/>
    <w:rsid w:val="002228A5"/>
    <w:rsid w:val="00222BDC"/>
    <w:rsid w:val="00224AF4"/>
    <w:rsid w:val="00225E12"/>
    <w:rsid w:val="00226ECD"/>
    <w:rsid w:val="00230201"/>
    <w:rsid w:val="002312C8"/>
    <w:rsid w:val="002312ED"/>
    <w:rsid w:val="00231529"/>
    <w:rsid w:val="002320DB"/>
    <w:rsid w:val="00232816"/>
    <w:rsid w:val="00232A18"/>
    <w:rsid w:val="00233239"/>
    <w:rsid w:val="00233EF1"/>
    <w:rsid w:val="00233FA3"/>
    <w:rsid w:val="00234557"/>
    <w:rsid w:val="0023489F"/>
    <w:rsid w:val="00235C0C"/>
    <w:rsid w:val="0023656D"/>
    <w:rsid w:val="002373E7"/>
    <w:rsid w:val="00240AA3"/>
    <w:rsid w:val="00241208"/>
    <w:rsid w:val="002415D6"/>
    <w:rsid w:val="002419D1"/>
    <w:rsid w:val="002425DC"/>
    <w:rsid w:val="00243CB9"/>
    <w:rsid w:val="00243DDB"/>
    <w:rsid w:val="00244024"/>
    <w:rsid w:val="002448EB"/>
    <w:rsid w:val="00246CEF"/>
    <w:rsid w:val="0025038D"/>
    <w:rsid w:val="00250654"/>
    <w:rsid w:val="002508CB"/>
    <w:rsid w:val="0025124F"/>
    <w:rsid w:val="002519B3"/>
    <w:rsid w:val="0025207B"/>
    <w:rsid w:val="002524AC"/>
    <w:rsid w:val="0025260A"/>
    <w:rsid w:val="00252A2F"/>
    <w:rsid w:val="00252BAD"/>
    <w:rsid w:val="00252F93"/>
    <w:rsid w:val="002546F5"/>
    <w:rsid w:val="00254FB1"/>
    <w:rsid w:val="002563CA"/>
    <w:rsid w:val="00256845"/>
    <w:rsid w:val="00257E68"/>
    <w:rsid w:val="0026031F"/>
    <w:rsid w:val="00260377"/>
    <w:rsid w:val="002605F9"/>
    <w:rsid w:val="002608C4"/>
    <w:rsid w:val="00261FC2"/>
    <w:rsid w:val="00262DF6"/>
    <w:rsid w:val="00263032"/>
    <w:rsid w:val="00263174"/>
    <w:rsid w:val="00263C7C"/>
    <w:rsid w:val="002647FA"/>
    <w:rsid w:val="00264CE8"/>
    <w:rsid w:val="0026502F"/>
    <w:rsid w:val="002654CF"/>
    <w:rsid w:val="00265C13"/>
    <w:rsid w:val="00267AFA"/>
    <w:rsid w:val="0027036A"/>
    <w:rsid w:val="00270B73"/>
    <w:rsid w:val="0027143D"/>
    <w:rsid w:val="00271B02"/>
    <w:rsid w:val="00271EE3"/>
    <w:rsid w:val="00273A59"/>
    <w:rsid w:val="0027423B"/>
    <w:rsid w:val="00274A67"/>
    <w:rsid w:val="00274FFC"/>
    <w:rsid w:val="002764E3"/>
    <w:rsid w:val="00276873"/>
    <w:rsid w:val="00276B74"/>
    <w:rsid w:val="00276F73"/>
    <w:rsid w:val="00281122"/>
    <w:rsid w:val="00281544"/>
    <w:rsid w:val="00282ED7"/>
    <w:rsid w:val="002835B6"/>
    <w:rsid w:val="0028364B"/>
    <w:rsid w:val="00284E8E"/>
    <w:rsid w:val="00287110"/>
    <w:rsid w:val="00287246"/>
    <w:rsid w:val="002910A3"/>
    <w:rsid w:val="002922C0"/>
    <w:rsid w:val="002931C2"/>
    <w:rsid w:val="00293B58"/>
    <w:rsid w:val="00293E16"/>
    <w:rsid w:val="002947A7"/>
    <w:rsid w:val="00294D1E"/>
    <w:rsid w:val="00294FF3"/>
    <w:rsid w:val="002968BF"/>
    <w:rsid w:val="00296F5C"/>
    <w:rsid w:val="002A02E9"/>
    <w:rsid w:val="002A286A"/>
    <w:rsid w:val="002A2D8E"/>
    <w:rsid w:val="002A3122"/>
    <w:rsid w:val="002A350A"/>
    <w:rsid w:val="002A3EFF"/>
    <w:rsid w:val="002A41D5"/>
    <w:rsid w:val="002A5DFE"/>
    <w:rsid w:val="002A659A"/>
    <w:rsid w:val="002A6A7F"/>
    <w:rsid w:val="002A729C"/>
    <w:rsid w:val="002A7B83"/>
    <w:rsid w:val="002B0130"/>
    <w:rsid w:val="002B091D"/>
    <w:rsid w:val="002B0A7C"/>
    <w:rsid w:val="002B13DE"/>
    <w:rsid w:val="002B2041"/>
    <w:rsid w:val="002B3163"/>
    <w:rsid w:val="002B3594"/>
    <w:rsid w:val="002B3FD0"/>
    <w:rsid w:val="002B4035"/>
    <w:rsid w:val="002B47A1"/>
    <w:rsid w:val="002B50B6"/>
    <w:rsid w:val="002B5A36"/>
    <w:rsid w:val="002B722A"/>
    <w:rsid w:val="002B7640"/>
    <w:rsid w:val="002C09F7"/>
    <w:rsid w:val="002C1569"/>
    <w:rsid w:val="002C1B8A"/>
    <w:rsid w:val="002C238F"/>
    <w:rsid w:val="002C3533"/>
    <w:rsid w:val="002C4292"/>
    <w:rsid w:val="002C4D07"/>
    <w:rsid w:val="002C5601"/>
    <w:rsid w:val="002C722E"/>
    <w:rsid w:val="002C7F21"/>
    <w:rsid w:val="002D0400"/>
    <w:rsid w:val="002D194A"/>
    <w:rsid w:val="002D196F"/>
    <w:rsid w:val="002D1997"/>
    <w:rsid w:val="002D1DB8"/>
    <w:rsid w:val="002D3013"/>
    <w:rsid w:val="002D33CD"/>
    <w:rsid w:val="002D3952"/>
    <w:rsid w:val="002D47A3"/>
    <w:rsid w:val="002D4BD0"/>
    <w:rsid w:val="002D537E"/>
    <w:rsid w:val="002D54A5"/>
    <w:rsid w:val="002D6732"/>
    <w:rsid w:val="002D6761"/>
    <w:rsid w:val="002D760C"/>
    <w:rsid w:val="002D79DE"/>
    <w:rsid w:val="002E0344"/>
    <w:rsid w:val="002E056D"/>
    <w:rsid w:val="002E0957"/>
    <w:rsid w:val="002E1631"/>
    <w:rsid w:val="002E17EE"/>
    <w:rsid w:val="002E2211"/>
    <w:rsid w:val="002E3002"/>
    <w:rsid w:val="002E3F0F"/>
    <w:rsid w:val="002E41B7"/>
    <w:rsid w:val="002E4820"/>
    <w:rsid w:val="002E4A9E"/>
    <w:rsid w:val="002E5137"/>
    <w:rsid w:val="002E576D"/>
    <w:rsid w:val="002E5901"/>
    <w:rsid w:val="002E5930"/>
    <w:rsid w:val="002E5C29"/>
    <w:rsid w:val="002E6CB0"/>
    <w:rsid w:val="002E7038"/>
    <w:rsid w:val="002F06DC"/>
    <w:rsid w:val="002F1034"/>
    <w:rsid w:val="002F26C7"/>
    <w:rsid w:val="002F472F"/>
    <w:rsid w:val="002F487F"/>
    <w:rsid w:val="002F6EAF"/>
    <w:rsid w:val="00300277"/>
    <w:rsid w:val="0030112C"/>
    <w:rsid w:val="00301392"/>
    <w:rsid w:val="00301B8A"/>
    <w:rsid w:val="00301CD7"/>
    <w:rsid w:val="00303160"/>
    <w:rsid w:val="00303AE6"/>
    <w:rsid w:val="00304B3E"/>
    <w:rsid w:val="00304E06"/>
    <w:rsid w:val="003055F3"/>
    <w:rsid w:val="00305703"/>
    <w:rsid w:val="00305F75"/>
    <w:rsid w:val="00305FAB"/>
    <w:rsid w:val="00307010"/>
    <w:rsid w:val="00307327"/>
    <w:rsid w:val="00307AA0"/>
    <w:rsid w:val="003101D3"/>
    <w:rsid w:val="00310453"/>
    <w:rsid w:val="00310F3C"/>
    <w:rsid w:val="00313D0A"/>
    <w:rsid w:val="0031419E"/>
    <w:rsid w:val="00314460"/>
    <w:rsid w:val="00314748"/>
    <w:rsid w:val="00314D94"/>
    <w:rsid w:val="00315676"/>
    <w:rsid w:val="003156C5"/>
    <w:rsid w:val="0031572F"/>
    <w:rsid w:val="0031669C"/>
    <w:rsid w:val="00316CDD"/>
    <w:rsid w:val="003176C6"/>
    <w:rsid w:val="0032087A"/>
    <w:rsid w:val="00320940"/>
    <w:rsid w:val="00320BE6"/>
    <w:rsid w:val="00320E20"/>
    <w:rsid w:val="00321C7A"/>
    <w:rsid w:val="00322839"/>
    <w:rsid w:val="00322BD6"/>
    <w:rsid w:val="00323390"/>
    <w:rsid w:val="00324B3F"/>
    <w:rsid w:val="00324BF9"/>
    <w:rsid w:val="00324F76"/>
    <w:rsid w:val="00325057"/>
    <w:rsid w:val="00325C01"/>
    <w:rsid w:val="00326FFB"/>
    <w:rsid w:val="003270E0"/>
    <w:rsid w:val="00327360"/>
    <w:rsid w:val="003273E8"/>
    <w:rsid w:val="003318C2"/>
    <w:rsid w:val="003318EC"/>
    <w:rsid w:val="00331DC8"/>
    <w:rsid w:val="00332549"/>
    <w:rsid w:val="0033457D"/>
    <w:rsid w:val="00334F2E"/>
    <w:rsid w:val="003364C5"/>
    <w:rsid w:val="00337227"/>
    <w:rsid w:val="0033765F"/>
    <w:rsid w:val="00337AD6"/>
    <w:rsid w:val="00337B64"/>
    <w:rsid w:val="00340447"/>
    <w:rsid w:val="00340E1A"/>
    <w:rsid w:val="003427E3"/>
    <w:rsid w:val="00342B3C"/>
    <w:rsid w:val="0034314F"/>
    <w:rsid w:val="003435C0"/>
    <w:rsid w:val="00344353"/>
    <w:rsid w:val="00346437"/>
    <w:rsid w:val="00346AD6"/>
    <w:rsid w:val="00346EB4"/>
    <w:rsid w:val="00347002"/>
    <w:rsid w:val="003472A9"/>
    <w:rsid w:val="003472EF"/>
    <w:rsid w:val="0034765D"/>
    <w:rsid w:val="00350BAB"/>
    <w:rsid w:val="00350C33"/>
    <w:rsid w:val="00350F50"/>
    <w:rsid w:val="00351D3B"/>
    <w:rsid w:val="00352249"/>
    <w:rsid w:val="00353619"/>
    <w:rsid w:val="00353DB0"/>
    <w:rsid w:val="00355D6A"/>
    <w:rsid w:val="003565EF"/>
    <w:rsid w:val="00356E26"/>
    <w:rsid w:val="003571AB"/>
    <w:rsid w:val="00357619"/>
    <w:rsid w:val="0035787F"/>
    <w:rsid w:val="00360FF6"/>
    <w:rsid w:val="003611B4"/>
    <w:rsid w:val="003616F6"/>
    <w:rsid w:val="00362227"/>
    <w:rsid w:val="00362B6F"/>
    <w:rsid w:val="00363706"/>
    <w:rsid w:val="00364B64"/>
    <w:rsid w:val="0036676D"/>
    <w:rsid w:val="00366B2E"/>
    <w:rsid w:val="003675A2"/>
    <w:rsid w:val="00370A2B"/>
    <w:rsid w:val="00370EFE"/>
    <w:rsid w:val="00371F84"/>
    <w:rsid w:val="0037315B"/>
    <w:rsid w:val="003736D1"/>
    <w:rsid w:val="0037584A"/>
    <w:rsid w:val="00375901"/>
    <w:rsid w:val="00375958"/>
    <w:rsid w:val="00377777"/>
    <w:rsid w:val="00377EF9"/>
    <w:rsid w:val="00380340"/>
    <w:rsid w:val="00380FC2"/>
    <w:rsid w:val="0038111E"/>
    <w:rsid w:val="003816D3"/>
    <w:rsid w:val="003832C6"/>
    <w:rsid w:val="00384E4A"/>
    <w:rsid w:val="003854E6"/>
    <w:rsid w:val="003855F2"/>
    <w:rsid w:val="00386052"/>
    <w:rsid w:val="003864CE"/>
    <w:rsid w:val="00386556"/>
    <w:rsid w:val="0038688E"/>
    <w:rsid w:val="0038699D"/>
    <w:rsid w:val="00386C9E"/>
    <w:rsid w:val="00386FC1"/>
    <w:rsid w:val="00387793"/>
    <w:rsid w:val="00387F52"/>
    <w:rsid w:val="003906CF"/>
    <w:rsid w:val="0039323B"/>
    <w:rsid w:val="003940F8"/>
    <w:rsid w:val="00394D43"/>
    <w:rsid w:val="00394E80"/>
    <w:rsid w:val="00396412"/>
    <w:rsid w:val="0039711C"/>
    <w:rsid w:val="003979C7"/>
    <w:rsid w:val="003A0778"/>
    <w:rsid w:val="003A0D41"/>
    <w:rsid w:val="003A0EF6"/>
    <w:rsid w:val="003A1723"/>
    <w:rsid w:val="003A256D"/>
    <w:rsid w:val="003A3101"/>
    <w:rsid w:val="003A5EB5"/>
    <w:rsid w:val="003A61CC"/>
    <w:rsid w:val="003A73AF"/>
    <w:rsid w:val="003A7824"/>
    <w:rsid w:val="003B0FCD"/>
    <w:rsid w:val="003B2706"/>
    <w:rsid w:val="003B2A48"/>
    <w:rsid w:val="003B2DB4"/>
    <w:rsid w:val="003B3485"/>
    <w:rsid w:val="003B354B"/>
    <w:rsid w:val="003B4B2E"/>
    <w:rsid w:val="003B609B"/>
    <w:rsid w:val="003B6377"/>
    <w:rsid w:val="003B6BD6"/>
    <w:rsid w:val="003B71F1"/>
    <w:rsid w:val="003B7693"/>
    <w:rsid w:val="003C06E1"/>
    <w:rsid w:val="003C0C2B"/>
    <w:rsid w:val="003C2420"/>
    <w:rsid w:val="003C2D0F"/>
    <w:rsid w:val="003C510F"/>
    <w:rsid w:val="003C5793"/>
    <w:rsid w:val="003C59F0"/>
    <w:rsid w:val="003C5F79"/>
    <w:rsid w:val="003C69F1"/>
    <w:rsid w:val="003C6A0C"/>
    <w:rsid w:val="003C7066"/>
    <w:rsid w:val="003C71C0"/>
    <w:rsid w:val="003D015C"/>
    <w:rsid w:val="003D02CB"/>
    <w:rsid w:val="003D05D5"/>
    <w:rsid w:val="003D0743"/>
    <w:rsid w:val="003D254C"/>
    <w:rsid w:val="003D3080"/>
    <w:rsid w:val="003D4C94"/>
    <w:rsid w:val="003D4E52"/>
    <w:rsid w:val="003D5717"/>
    <w:rsid w:val="003D7310"/>
    <w:rsid w:val="003D7604"/>
    <w:rsid w:val="003E0772"/>
    <w:rsid w:val="003E0912"/>
    <w:rsid w:val="003E0C8E"/>
    <w:rsid w:val="003E0D8C"/>
    <w:rsid w:val="003E1306"/>
    <w:rsid w:val="003E2833"/>
    <w:rsid w:val="003E288B"/>
    <w:rsid w:val="003E3607"/>
    <w:rsid w:val="003E3AB1"/>
    <w:rsid w:val="003E4D83"/>
    <w:rsid w:val="003E4F14"/>
    <w:rsid w:val="003E588E"/>
    <w:rsid w:val="003E5B49"/>
    <w:rsid w:val="003E5FF1"/>
    <w:rsid w:val="003E612C"/>
    <w:rsid w:val="003E74FC"/>
    <w:rsid w:val="003F09CB"/>
    <w:rsid w:val="003F10FC"/>
    <w:rsid w:val="003F11D9"/>
    <w:rsid w:val="003F234B"/>
    <w:rsid w:val="003F26E8"/>
    <w:rsid w:val="003F2A6B"/>
    <w:rsid w:val="003F2AA6"/>
    <w:rsid w:val="003F3F58"/>
    <w:rsid w:val="003F5357"/>
    <w:rsid w:val="003F6E73"/>
    <w:rsid w:val="003F7004"/>
    <w:rsid w:val="0040134D"/>
    <w:rsid w:val="004017AC"/>
    <w:rsid w:val="0040195E"/>
    <w:rsid w:val="00401D50"/>
    <w:rsid w:val="004044EF"/>
    <w:rsid w:val="00406E96"/>
    <w:rsid w:val="00410A8E"/>
    <w:rsid w:val="00411386"/>
    <w:rsid w:val="004116F5"/>
    <w:rsid w:val="00411848"/>
    <w:rsid w:val="004128DD"/>
    <w:rsid w:val="00412E41"/>
    <w:rsid w:val="00413AA3"/>
    <w:rsid w:val="00413B07"/>
    <w:rsid w:val="00413C2C"/>
    <w:rsid w:val="00414310"/>
    <w:rsid w:val="00414C24"/>
    <w:rsid w:val="0041506F"/>
    <w:rsid w:val="0041561B"/>
    <w:rsid w:val="00415C24"/>
    <w:rsid w:val="00415E68"/>
    <w:rsid w:val="00416B37"/>
    <w:rsid w:val="00416FC4"/>
    <w:rsid w:val="00416FE9"/>
    <w:rsid w:val="00420007"/>
    <w:rsid w:val="004200D9"/>
    <w:rsid w:val="004200E2"/>
    <w:rsid w:val="004206EA"/>
    <w:rsid w:val="00420718"/>
    <w:rsid w:val="00420B98"/>
    <w:rsid w:val="0042100E"/>
    <w:rsid w:val="0042147B"/>
    <w:rsid w:val="004214AC"/>
    <w:rsid w:val="00421BF1"/>
    <w:rsid w:val="00421D2D"/>
    <w:rsid w:val="00422FFC"/>
    <w:rsid w:val="00425021"/>
    <w:rsid w:val="004252BD"/>
    <w:rsid w:val="00425386"/>
    <w:rsid w:val="004253C9"/>
    <w:rsid w:val="00425C8A"/>
    <w:rsid w:val="00426606"/>
    <w:rsid w:val="00427D7F"/>
    <w:rsid w:val="004337FF"/>
    <w:rsid w:val="00434265"/>
    <w:rsid w:val="00435367"/>
    <w:rsid w:val="00436DD3"/>
    <w:rsid w:val="00436F84"/>
    <w:rsid w:val="00437517"/>
    <w:rsid w:val="004408F9"/>
    <w:rsid w:val="0044093D"/>
    <w:rsid w:val="00440D23"/>
    <w:rsid w:val="00440FAD"/>
    <w:rsid w:val="004413D8"/>
    <w:rsid w:val="00442186"/>
    <w:rsid w:val="00443271"/>
    <w:rsid w:val="00445D7D"/>
    <w:rsid w:val="00446077"/>
    <w:rsid w:val="0044609D"/>
    <w:rsid w:val="00450300"/>
    <w:rsid w:val="00450565"/>
    <w:rsid w:val="004506F0"/>
    <w:rsid w:val="00450B73"/>
    <w:rsid w:val="0045238A"/>
    <w:rsid w:val="004525EE"/>
    <w:rsid w:val="00452CA4"/>
    <w:rsid w:val="00454217"/>
    <w:rsid w:val="0045532D"/>
    <w:rsid w:val="004553EF"/>
    <w:rsid w:val="00455C61"/>
    <w:rsid w:val="00455D23"/>
    <w:rsid w:val="00455D42"/>
    <w:rsid w:val="004566D5"/>
    <w:rsid w:val="00460F8C"/>
    <w:rsid w:val="00462797"/>
    <w:rsid w:val="00462D52"/>
    <w:rsid w:val="00463D9A"/>
    <w:rsid w:val="0046482C"/>
    <w:rsid w:val="00465BA6"/>
    <w:rsid w:val="00465C1F"/>
    <w:rsid w:val="00465C62"/>
    <w:rsid w:val="0046729C"/>
    <w:rsid w:val="00467368"/>
    <w:rsid w:val="004673D9"/>
    <w:rsid w:val="004675AD"/>
    <w:rsid w:val="00467BD3"/>
    <w:rsid w:val="00467D4D"/>
    <w:rsid w:val="004707DE"/>
    <w:rsid w:val="00470929"/>
    <w:rsid w:val="0047173E"/>
    <w:rsid w:val="0047175E"/>
    <w:rsid w:val="00471AF5"/>
    <w:rsid w:val="00471EA6"/>
    <w:rsid w:val="00471FF0"/>
    <w:rsid w:val="00473574"/>
    <w:rsid w:val="00473F10"/>
    <w:rsid w:val="00474C5D"/>
    <w:rsid w:val="004760A1"/>
    <w:rsid w:val="0047722B"/>
    <w:rsid w:val="00477D32"/>
    <w:rsid w:val="0048025B"/>
    <w:rsid w:val="00480499"/>
    <w:rsid w:val="004820BC"/>
    <w:rsid w:val="004851E5"/>
    <w:rsid w:val="00485A15"/>
    <w:rsid w:val="00485FB1"/>
    <w:rsid w:val="0048612D"/>
    <w:rsid w:val="00486AD9"/>
    <w:rsid w:val="004876F1"/>
    <w:rsid w:val="00490014"/>
    <w:rsid w:val="0049063D"/>
    <w:rsid w:val="00491305"/>
    <w:rsid w:val="00491A3F"/>
    <w:rsid w:val="00492359"/>
    <w:rsid w:val="00492EF1"/>
    <w:rsid w:val="00493DEC"/>
    <w:rsid w:val="00494D16"/>
    <w:rsid w:val="00495923"/>
    <w:rsid w:val="004965D2"/>
    <w:rsid w:val="00496860"/>
    <w:rsid w:val="0049746D"/>
    <w:rsid w:val="004A0520"/>
    <w:rsid w:val="004A087F"/>
    <w:rsid w:val="004A19AF"/>
    <w:rsid w:val="004A1D32"/>
    <w:rsid w:val="004A2B54"/>
    <w:rsid w:val="004A3A81"/>
    <w:rsid w:val="004A4F07"/>
    <w:rsid w:val="004A5F32"/>
    <w:rsid w:val="004A6451"/>
    <w:rsid w:val="004A6773"/>
    <w:rsid w:val="004A780C"/>
    <w:rsid w:val="004B0071"/>
    <w:rsid w:val="004B099B"/>
    <w:rsid w:val="004B099C"/>
    <w:rsid w:val="004B18F3"/>
    <w:rsid w:val="004B31B1"/>
    <w:rsid w:val="004B3D04"/>
    <w:rsid w:val="004B3E4A"/>
    <w:rsid w:val="004B3E70"/>
    <w:rsid w:val="004B3E90"/>
    <w:rsid w:val="004B476A"/>
    <w:rsid w:val="004B7F34"/>
    <w:rsid w:val="004C0428"/>
    <w:rsid w:val="004C0A3D"/>
    <w:rsid w:val="004C149B"/>
    <w:rsid w:val="004C25C2"/>
    <w:rsid w:val="004C2674"/>
    <w:rsid w:val="004C5910"/>
    <w:rsid w:val="004C639D"/>
    <w:rsid w:val="004C6C43"/>
    <w:rsid w:val="004C7746"/>
    <w:rsid w:val="004C7D51"/>
    <w:rsid w:val="004D0285"/>
    <w:rsid w:val="004D0552"/>
    <w:rsid w:val="004D092E"/>
    <w:rsid w:val="004D16B7"/>
    <w:rsid w:val="004D1AB9"/>
    <w:rsid w:val="004D35F6"/>
    <w:rsid w:val="004D37FC"/>
    <w:rsid w:val="004D3837"/>
    <w:rsid w:val="004D3BBC"/>
    <w:rsid w:val="004D4EA1"/>
    <w:rsid w:val="004D5CDF"/>
    <w:rsid w:val="004D70A7"/>
    <w:rsid w:val="004D740E"/>
    <w:rsid w:val="004D7D56"/>
    <w:rsid w:val="004E028E"/>
    <w:rsid w:val="004E0E13"/>
    <w:rsid w:val="004E2750"/>
    <w:rsid w:val="004E2DF5"/>
    <w:rsid w:val="004E3295"/>
    <w:rsid w:val="004E34C4"/>
    <w:rsid w:val="004E3606"/>
    <w:rsid w:val="004E4CEB"/>
    <w:rsid w:val="004E52AC"/>
    <w:rsid w:val="004E5DDF"/>
    <w:rsid w:val="004E5EEB"/>
    <w:rsid w:val="004E5FEA"/>
    <w:rsid w:val="004E63B0"/>
    <w:rsid w:val="004E6813"/>
    <w:rsid w:val="004F3EF0"/>
    <w:rsid w:val="004F4668"/>
    <w:rsid w:val="004F60B4"/>
    <w:rsid w:val="00500955"/>
    <w:rsid w:val="00500A6F"/>
    <w:rsid w:val="00501993"/>
    <w:rsid w:val="005019A3"/>
    <w:rsid w:val="00502EF4"/>
    <w:rsid w:val="00503130"/>
    <w:rsid w:val="00503683"/>
    <w:rsid w:val="00503C2A"/>
    <w:rsid w:val="00504180"/>
    <w:rsid w:val="00504B8B"/>
    <w:rsid w:val="00504F79"/>
    <w:rsid w:val="00506950"/>
    <w:rsid w:val="00507820"/>
    <w:rsid w:val="00510350"/>
    <w:rsid w:val="00510DE0"/>
    <w:rsid w:val="00510F96"/>
    <w:rsid w:val="0051122F"/>
    <w:rsid w:val="0051137B"/>
    <w:rsid w:val="0051157E"/>
    <w:rsid w:val="00511634"/>
    <w:rsid w:val="00511907"/>
    <w:rsid w:val="00512F1A"/>
    <w:rsid w:val="005136F6"/>
    <w:rsid w:val="00515824"/>
    <w:rsid w:val="00515C5A"/>
    <w:rsid w:val="005161FB"/>
    <w:rsid w:val="0051635A"/>
    <w:rsid w:val="00517265"/>
    <w:rsid w:val="00517FF6"/>
    <w:rsid w:val="00521B3D"/>
    <w:rsid w:val="005229F1"/>
    <w:rsid w:val="00522ED1"/>
    <w:rsid w:val="005235CB"/>
    <w:rsid w:val="00524D61"/>
    <w:rsid w:val="00525684"/>
    <w:rsid w:val="005275EF"/>
    <w:rsid w:val="00527767"/>
    <w:rsid w:val="00527FEC"/>
    <w:rsid w:val="00531E85"/>
    <w:rsid w:val="0053323D"/>
    <w:rsid w:val="0053398F"/>
    <w:rsid w:val="00533FAF"/>
    <w:rsid w:val="00535337"/>
    <w:rsid w:val="0053538A"/>
    <w:rsid w:val="0053604A"/>
    <w:rsid w:val="00536A94"/>
    <w:rsid w:val="0054054A"/>
    <w:rsid w:val="0054077E"/>
    <w:rsid w:val="00540C86"/>
    <w:rsid w:val="0054103A"/>
    <w:rsid w:val="005415B9"/>
    <w:rsid w:val="00542E18"/>
    <w:rsid w:val="00544B89"/>
    <w:rsid w:val="005455AF"/>
    <w:rsid w:val="00545C50"/>
    <w:rsid w:val="0054609B"/>
    <w:rsid w:val="00546154"/>
    <w:rsid w:val="00546A1F"/>
    <w:rsid w:val="005476D0"/>
    <w:rsid w:val="005479BC"/>
    <w:rsid w:val="005508CE"/>
    <w:rsid w:val="005511B4"/>
    <w:rsid w:val="0055188F"/>
    <w:rsid w:val="00551D5F"/>
    <w:rsid w:val="0055306D"/>
    <w:rsid w:val="0055352E"/>
    <w:rsid w:val="00553C31"/>
    <w:rsid w:val="00553F16"/>
    <w:rsid w:val="00554C74"/>
    <w:rsid w:val="0055513D"/>
    <w:rsid w:val="00555CE2"/>
    <w:rsid w:val="005563EC"/>
    <w:rsid w:val="00557F2D"/>
    <w:rsid w:val="005601D2"/>
    <w:rsid w:val="00560CBF"/>
    <w:rsid w:val="00561DF8"/>
    <w:rsid w:val="005624C8"/>
    <w:rsid w:val="0056252D"/>
    <w:rsid w:val="005639CC"/>
    <w:rsid w:val="0056433C"/>
    <w:rsid w:val="00565304"/>
    <w:rsid w:val="00565ECE"/>
    <w:rsid w:val="00566A85"/>
    <w:rsid w:val="0056709E"/>
    <w:rsid w:val="00567A53"/>
    <w:rsid w:val="00567FEE"/>
    <w:rsid w:val="00570052"/>
    <w:rsid w:val="00570BAE"/>
    <w:rsid w:val="00571978"/>
    <w:rsid w:val="0057320B"/>
    <w:rsid w:val="00573696"/>
    <w:rsid w:val="005736BB"/>
    <w:rsid w:val="005741A3"/>
    <w:rsid w:val="005743AF"/>
    <w:rsid w:val="00574CCC"/>
    <w:rsid w:val="00575CE9"/>
    <w:rsid w:val="005768CF"/>
    <w:rsid w:val="0057693A"/>
    <w:rsid w:val="005800C3"/>
    <w:rsid w:val="0058044A"/>
    <w:rsid w:val="005811A8"/>
    <w:rsid w:val="0058417F"/>
    <w:rsid w:val="00584540"/>
    <w:rsid w:val="00585AC9"/>
    <w:rsid w:val="0059046B"/>
    <w:rsid w:val="00590A97"/>
    <w:rsid w:val="00591E3B"/>
    <w:rsid w:val="00591F1A"/>
    <w:rsid w:val="005935C1"/>
    <w:rsid w:val="00593644"/>
    <w:rsid w:val="00593864"/>
    <w:rsid w:val="0059442B"/>
    <w:rsid w:val="00594ADD"/>
    <w:rsid w:val="0059642F"/>
    <w:rsid w:val="005A2654"/>
    <w:rsid w:val="005A2734"/>
    <w:rsid w:val="005A3B6F"/>
    <w:rsid w:val="005A4022"/>
    <w:rsid w:val="005A418D"/>
    <w:rsid w:val="005A49A9"/>
    <w:rsid w:val="005A632F"/>
    <w:rsid w:val="005B1012"/>
    <w:rsid w:val="005B1379"/>
    <w:rsid w:val="005B1CFA"/>
    <w:rsid w:val="005B38C4"/>
    <w:rsid w:val="005B3E9D"/>
    <w:rsid w:val="005B461C"/>
    <w:rsid w:val="005B5661"/>
    <w:rsid w:val="005B5E9B"/>
    <w:rsid w:val="005B6967"/>
    <w:rsid w:val="005B6A71"/>
    <w:rsid w:val="005B6C5C"/>
    <w:rsid w:val="005B7E09"/>
    <w:rsid w:val="005C0F2D"/>
    <w:rsid w:val="005C1C0C"/>
    <w:rsid w:val="005C2E94"/>
    <w:rsid w:val="005C3D12"/>
    <w:rsid w:val="005C41BB"/>
    <w:rsid w:val="005C4955"/>
    <w:rsid w:val="005C4A6D"/>
    <w:rsid w:val="005C6F66"/>
    <w:rsid w:val="005C725A"/>
    <w:rsid w:val="005C76AC"/>
    <w:rsid w:val="005C7952"/>
    <w:rsid w:val="005C799E"/>
    <w:rsid w:val="005D08B9"/>
    <w:rsid w:val="005D0EDA"/>
    <w:rsid w:val="005D1558"/>
    <w:rsid w:val="005D16A8"/>
    <w:rsid w:val="005D16FE"/>
    <w:rsid w:val="005D277F"/>
    <w:rsid w:val="005D3324"/>
    <w:rsid w:val="005D3480"/>
    <w:rsid w:val="005D3C98"/>
    <w:rsid w:val="005D3F20"/>
    <w:rsid w:val="005D4CF8"/>
    <w:rsid w:val="005D512D"/>
    <w:rsid w:val="005D548D"/>
    <w:rsid w:val="005D5641"/>
    <w:rsid w:val="005D5BC2"/>
    <w:rsid w:val="005D5CEE"/>
    <w:rsid w:val="005D5DD5"/>
    <w:rsid w:val="005D614E"/>
    <w:rsid w:val="005D62DD"/>
    <w:rsid w:val="005D640C"/>
    <w:rsid w:val="005D6667"/>
    <w:rsid w:val="005E08DA"/>
    <w:rsid w:val="005E1827"/>
    <w:rsid w:val="005E194A"/>
    <w:rsid w:val="005E2833"/>
    <w:rsid w:val="005E43E5"/>
    <w:rsid w:val="005E477E"/>
    <w:rsid w:val="005E581C"/>
    <w:rsid w:val="005E6ADD"/>
    <w:rsid w:val="005E75D7"/>
    <w:rsid w:val="005E7608"/>
    <w:rsid w:val="005F01A7"/>
    <w:rsid w:val="005F07AA"/>
    <w:rsid w:val="005F07ED"/>
    <w:rsid w:val="005F08E1"/>
    <w:rsid w:val="005F0F33"/>
    <w:rsid w:val="005F11B1"/>
    <w:rsid w:val="005F1628"/>
    <w:rsid w:val="005F1732"/>
    <w:rsid w:val="005F25AA"/>
    <w:rsid w:val="005F2610"/>
    <w:rsid w:val="005F39EE"/>
    <w:rsid w:val="005F3A59"/>
    <w:rsid w:val="005F4A03"/>
    <w:rsid w:val="005F562B"/>
    <w:rsid w:val="005F5CA4"/>
    <w:rsid w:val="005F719B"/>
    <w:rsid w:val="005F72A4"/>
    <w:rsid w:val="005F7581"/>
    <w:rsid w:val="005F771E"/>
    <w:rsid w:val="005F7E92"/>
    <w:rsid w:val="0060049F"/>
    <w:rsid w:val="006004BC"/>
    <w:rsid w:val="0060088A"/>
    <w:rsid w:val="00604A80"/>
    <w:rsid w:val="00605151"/>
    <w:rsid w:val="00605997"/>
    <w:rsid w:val="00605DFD"/>
    <w:rsid w:val="00605FCA"/>
    <w:rsid w:val="00607AA4"/>
    <w:rsid w:val="00610546"/>
    <w:rsid w:val="00610D8F"/>
    <w:rsid w:val="00612524"/>
    <w:rsid w:val="00612748"/>
    <w:rsid w:val="0061325E"/>
    <w:rsid w:val="006159F7"/>
    <w:rsid w:val="00615C41"/>
    <w:rsid w:val="00615E74"/>
    <w:rsid w:val="006178AF"/>
    <w:rsid w:val="00617EBB"/>
    <w:rsid w:val="0062074E"/>
    <w:rsid w:val="0062090C"/>
    <w:rsid w:val="00622964"/>
    <w:rsid w:val="00622B1D"/>
    <w:rsid w:val="006234C2"/>
    <w:rsid w:val="006235CA"/>
    <w:rsid w:val="00623F05"/>
    <w:rsid w:val="006245AC"/>
    <w:rsid w:val="00624610"/>
    <w:rsid w:val="0062468C"/>
    <w:rsid w:val="0062781C"/>
    <w:rsid w:val="00631846"/>
    <w:rsid w:val="006318D1"/>
    <w:rsid w:val="0063227A"/>
    <w:rsid w:val="00633279"/>
    <w:rsid w:val="006336EE"/>
    <w:rsid w:val="0063462D"/>
    <w:rsid w:val="00634E00"/>
    <w:rsid w:val="006356C8"/>
    <w:rsid w:val="006359ED"/>
    <w:rsid w:val="006363EC"/>
    <w:rsid w:val="006372A1"/>
    <w:rsid w:val="00637F3C"/>
    <w:rsid w:val="0064023B"/>
    <w:rsid w:val="0064123B"/>
    <w:rsid w:val="00641287"/>
    <w:rsid w:val="00641A8A"/>
    <w:rsid w:val="00642DF2"/>
    <w:rsid w:val="00642F0F"/>
    <w:rsid w:val="00643CCB"/>
    <w:rsid w:val="00644064"/>
    <w:rsid w:val="0064592B"/>
    <w:rsid w:val="00645ACE"/>
    <w:rsid w:val="00645E18"/>
    <w:rsid w:val="00646AB2"/>
    <w:rsid w:val="0064756C"/>
    <w:rsid w:val="00650C44"/>
    <w:rsid w:val="00653D23"/>
    <w:rsid w:val="00654530"/>
    <w:rsid w:val="006549E4"/>
    <w:rsid w:val="006552EB"/>
    <w:rsid w:val="00656D2F"/>
    <w:rsid w:val="00656D89"/>
    <w:rsid w:val="0065729D"/>
    <w:rsid w:val="006600DF"/>
    <w:rsid w:val="0066061D"/>
    <w:rsid w:val="006609B7"/>
    <w:rsid w:val="00661DF4"/>
    <w:rsid w:val="00661F7F"/>
    <w:rsid w:val="00662752"/>
    <w:rsid w:val="00662D7F"/>
    <w:rsid w:val="00663497"/>
    <w:rsid w:val="00663EF7"/>
    <w:rsid w:val="006641A1"/>
    <w:rsid w:val="00664EB2"/>
    <w:rsid w:val="00665D3A"/>
    <w:rsid w:val="00666293"/>
    <w:rsid w:val="006663F5"/>
    <w:rsid w:val="006668A1"/>
    <w:rsid w:val="00666B91"/>
    <w:rsid w:val="0066705F"/>
    <w:rsid w:val="00667AD4"/>
    <w:rsid w:val="00667F1A"/>
    <w:rsid w:val="00670474"/>
    <w:rsid w:val="00671EEB"/>
    <w:rsid w:val="00671FDA"/>
    <w:rsid w:val="0067369B"/>
    <w:rsid w:val="00673F77"/>
    <w:rsid w:val="00674C4A"/>
    <w:rsid w:val="0067658B"/>
    <w:rsid w:val="0067767F"/>
    <w:rsid w:val="00681CB2"/>
    <w:rsid w:val="00683306"/>
    <w:rsid w:val="0068365C"/>
    <w:rsid w:val="00683D33"/>
    <w:rsid w:val="0068567E"/>
    <w:rsid w:val="00685784"/>
    <w:rsid w:val="00685823"/>
    <w:rsid w:val="00685EB6"/>
    <w:rsid w:val="00686886"/>
    <w:rsid w:val="00687B47"/>
    <w:rsid w:val="00690F7A"/>
    <w:rsid w:val="006927B7"/>
    <w:rsid w:val="006937AE"/>
    <w:rsid w:val="0069416D"/>
    <w:rsid w:val="00694243"/>
    <w:rsid w:val="00694379"/>
    <w:rsid w:val="00695CEC"/>
    <w:rsid w:val="00695D9B"/>
    <w:rsid w:val="00695FE1"/>
    <w:rsid w:val="006962BD"/>
    <w:rsid w:val="006974E2"/>
    <w:rsid w:val="006A07D9"/>
    <w:rsid w:val="006A0CA0"/>
    <w:rsid w:val="006A0CB3"/>
    <w:rsid w:val="006A1C56"/>
    <w:rsid w:val="006A228A"/>
    <w:rsid w:val="006A2487"/>
    <w:rsid w:val="006A2A4B"/>
    <w:rsid w:val="006A2DAA"/>
    <w:rsid w:val="006A4329"/>
    <w:rsid w:val="006A4609"/>
    <w:rsid w:val="006A4D3F"/>
    <w:rsid w:val="006A53F6"/>
    <w:rsid w:val="006A7645"/>
    <w:rsid w:val="006A7AAD"/>
    <w:rsid w:val="006A7C8D"/>
    <w:rsid w:val="006B0D57"/>
    <w:rsid w:val="006B15B4"/>
    <w:rsid w:val="006B3855"/>
    <w:rsid w:val="006B3B43"/>
    <w:rsid w:val="006B3FD1"/>
    <w:rsid w:val="006B47D3"/>
    <w:rsid w:val="006B4B90"/>
    <w:rsid w:val="006B63A5"/>
    <w:rsid w:val="006B6705"/>
    <w:rsid w:val="006B6F9B"/>
    <w:rsid w:val="006B725D"/>
    <w:rsid w:val="006B7431"/>
    <w:rsid w:val="006C039E"/>
    <w:rsid w:val="006C0511"/>
    <w:rsid w:val="006C1230"/>
    <w:rsid w:val="006C153D"/>
    <w:rsid w:val="006C1F0A"/>
    <w:rsid w:val="006C2037"/>
    <w:rsid w:val="006C507F"/>
    <w:rsid w:val="006C52B0"/>
    <w:rsid w:val="006C640A"/>
    <w:rsid w:val="006D044A"/>
    <w:rsid w:val="006D0EEF"/>
    <w:rsid w:val="006D1C20"/>
    <w:rsid w:val="006D30C4"/>
    <w:rsid w:val="006D3CD1"/>
    <w:rsid w:val="006D4C47"/>
    <w:rsid w:val="006D52E6"/>
    <w:rsid w:val="006D54FE"/>
    <w:rsid w:val="006D655C"/>
    <w:rsid w:val="006D675D"/>
    <w:rsid w:val="006D67EB"/>
    <w:rsid w:val="006D6999"/>
    <w:rsid w:val="006D6CFB"/>
    <w:rsid w:val="006D7DD4"/>
    <w:rsid w:val="006E1C96"/>
    <w:rsid w:val="006E27DA"/>
    <w:rsid w:val="006E2ADE"/>
    <w:rsid w:val="006E2F77"/>
    <w:rsid w:val="006E5AAA"/>
    <w:rsid w:val="006E602C"/>
    <w:rsid w:val="006E635B"/>
    <w:rsid w:val="006F0155"/>
    <w:rsid w:val="006F0EBA"/>
    <w:rsid w:val="006F1074"/>
    <w:rsid w:val="006F12A7"/>
    <w:rsid w:val="006F14F4"/>
    <w:rsid w:val="006F17E4"/>
    <w:rsid w:val="006F2492"/>
    <w:rsid w:val="006F3B0A"/>
    <w:rsid w:val="006F50E9"/>
    <w:rsid w:val="006F5394"/>
    <w:rsid w:val="006F5806"/>
    <w:rsid w:val="006F5C8C"/>
    <w:rsid w:val="006F67D9"/>
    <w:rsid w:val="006F6F83"/>
    <w:rsid w:val="006F7309"/>
    <w:rsid w:val="006F74C2"/>
    <w:rsid w:val="006F7F65"/>
    <w:rsid w:val="00700727"/>
    <w:rsid w:val="00700D26"/>
    <w:rsid w:val="0070156C"/>
    <w:rsid w:val="00701ED8"/>
    <w:rsid w:val="00701F16"/>
    <w:rsid w:val="00702330"/>
    <w:rsid w:val="00702465"/>
    <w:rsid w:val="0070325C"/>
    <w:rsid w:val="00704969"/>
    <w:rsid w:val="0070593D"/>
    <w:rsid w:val="00705FC1"/>
    <w:rsid w:val="00706E68"/>
    <w:rsid w:val="007076C0"/>
    <w:rsid w:val="00707AC6"/>
    <w:rsid w:val="00707EFA"/>
    <w:rsid w:val="007107C4"/>
    <w:rsid w:val="0071094C"/>
    <w:rsid w:val="007124B2"/>
    <w:rsid w:val="0071293B"/>
    <w:rsid w:val="00713464"/>
    <w:rsid w:val="007143AB"/>
    <w:rsid w:val="00715103"/>
    <w:rsid w:val="0071540E"/>
    <w:rsid w:val="00715864"/>
    <w:rsid w:val="00716510"/>
    <w:rsid w:val="00717829"/>
    <w:rsid w:val="0072011F"/>
    <w:rsid w:val="00720386"/>
    <w:rsid w:val="00720783"/>
    <w:rsid w:val="00720A2D"/>
    <w:rsid w:val="00721305"/>
    <w:rsid w:val="007215F3"/>
    <w:rsid w:val="00721695"/>
    <w:rsid w:val="00721B9C"/>
    <w:rsid w:val="00721BF8"/>
    <w:rsid w:val="007228AC"/>
    <w:rsid w:val="00723ABD"/>
    <w:rsid w:val="007247AD"/>
    <w:rsid w:val="00724B5F"/>
    <w:rsid w:val="00726CCF"/>
    <w:rsid w:val="00727C1D"/>
    <w:rsid w:val="0073035E"/>
    <w:rsid w:val="0073245A"/>
    <w:rsid w:val="00733240"/>
    <w:rsid w:val="00734449"/>
    <w:rsid w:val="00734960"/>
    <w:rsid w:val="00734E61"/>
    <w:rsid w:val="00735A10"/>
    <w:rsid w:val="00735DB7"/>
    <w:rsid w:val="0073671B"/>
    <w:rsid w:val="00737359"/>
    <w:rsid w:val="00740E54"/>
    <w:rsid w:val="00741512"/>
    <w:rsid w:val="00741BA8"/>
    <w:rsid w:val="00742FC4"/>
    <w:rsid w:val="007430EC"/>
    <w:rsid w:val="00744B39"/>
    <w:rsid w:val="00744B79"/>
    <w:rsid w:val="00744F3C"/>
    <w:rsid w:val="00745ED7"/>
    <w:rsid w:val="00746AFD"/>
    <w:rsid w:val="00746F98"/>
    <w:rsid w:val="007476ED"/>
    <w:rsid w:val="00747A10"/>
    <w:rsid w:val="007503C2"/>
    <w:rsid w:val="00750950"/>
    <w:rsid w:val="00750A58"/>
    <w:rsid w:val="00751159"/>
    <w:rsid w:val="00751F9F"/>
    <w:rsid w:val="00752F39"/>
    <w:rsid w:val="0075312A"/>
    <w:rsid w:val="0075417A"/>
    <w:rsid w:val="0075500C"/>
    <w:rsid w:val="00755643"/>
    <w:rsid w:val="00755A9A"/>
    <w:rsid w:val="00755E8F"/>
    <w:rsid w:val="00756E4F"/>
    <w:rsid w:val="00756FC6"/>
    <w:rsid w:val="007577C2"/>
    <w:rsid w:val="00757F9C"/>
    <w:rsid w:val="00761641"/>
    <w:rsid w:val="007635B8"/>
    <w:rsid w:val="00763B79"/>
    <w:rsid w:val="00764380"/>
    <w:rsid w:val="007644F3"/>
    <w:rsid w:val="0076598E"/>
    <w:rsid w:val="007659C7"/>
    <w:rsid w:val="0076705D"/>
    <w:rsid w:val="00770CB7"/>
    <w:rsid w:val="007713AB"/>
    <w:rsid w:val="007716D0"/>
    <w:rsid w:val="00771F4E"/>
    <w:rsid w:val="007722D0"/>
    <w:rsid w:val="00772BBB"/>
    <w:rsid w:val="00774F1C"/>
    <w:rsid w:val="00775A4E"/>
    <w:rsid w:val="0077608B"/>
    <w:rsid w:val="00776BB7"/>
    <w:rsid w:val="00777570"/>
    <w:rsid w:val="00777BCF"/>
    <w:rsid w:val="00777C05"/>
    <w:rsid w:val="007803AD"/>
    <w:rsid w:val="007812C2"/>
    <w:rsid w:val="007842DB"/>
    <w:rsid w:val="00784320"/>
    <w:rsid w:val="00784CED"/>
    <w:rsid w:val="00784E59"/>
    <w:rsid w:val="00785724"/>
    <w:rsid w:val="00787329"/>
    <w:rsid w:val="00787363"/>
    <w:rsid w:val="00787649"/>
    <w:rsid w:val="0078783C"/>
    <w:rsid w:val="00787C4F"/>
    <w:rsid w:val="00790A3B"/>
    <w:rsid w:val="0079102C"/>
    <w:rsid w:val="00792811"/>
    <w:rsid w:val="00793397"/>
    <w:rsid w:val="00793890"/>
    <w:rsid w:val="007940BE"/>
    <w:rsid w:val="00794659"/>
    <w:rsid w:val="0079611B"/>
    <w:rsid w:val="007963FD"/>
    <w:rsid w:val="0079727D"/>
    <w:rsid w:val="00797A65"/>
    <w:rsid w:val="007A06EE"/>
    <w:rsid w:val="007A1D72"/>
    <w:rsid w:val="007A1FDF"/>
    <w:rsid w:val="007A35FA"/>
    <w:rsid w:val="007A3A40"/>
    <w:rsid w:val="007A3C26"/>
    <w:rsid w:val="007A4404"/>
    <w:rsid w:val="007A5A24"/>
    <w:rsid w:val="007A5D6A"/>
    <w:rsid w:val="007B122B"/>
    <w:rsid w:val="007B1503"/>
    <w:rsid w:val="007B18BF"/>
    <w:rsid w:val="007B3294"/>
    <w:rsid w:val="007B4450"/>
    <w:rsid w:val="007B48A6"/>
    <w:rsid w:val="007B54FA"/>
    <w:rsid w:val="007B6158"/>
    <w:rsid w:val="007B6279"/>
    <w:rsid w:val="007B73B2"/>
    <w:rsid w:val="007B77E1"/>
    <w:rsid w:val="007B7AF1"/>
    <w:rsid w:val="007C0166"/>
    <w:rsid w:val="007C10D0"/>
    <w:rsid w:val="007C19CD"/>
    <w:rsid w:val="007C1DCB"/>
    <w:rsid w:val="007C1EC9"/>
    <w:rsid w:val="007C2456"/>
    <w:rsid w:val="007C2E97"/>
    <w:rsid w:val="007C31FC"/>
    <w:rsid w:val="007C3617"/>
    <w:rsid w:val="007C3AF0"/>
    <w:rsid w:val="007C505D"/>
    <w:rsid w:val="007D055E"/>
    <w:rsid w:val="007D0812"/>
    <w:rsid w:val="007D1516"/>
    <w:rsid w:val="007D241A"/>
    <w:rsid w:val="007D252F"/>
    <w:rsid w:val="007D2E2C"/>
    <w:rsid w:val="007D2F86"/>
    <w:rsid w:val="007D3232"/>
    <w:rsid w:val="007D35B0"/>
    <w:rsid w:val="007D3864"/>
    <w:rsid w:val="007D3881"/>
    <w:rsid w:val="007D3906"/>
    <w:rsid w:val="007D40D8"/>
    <w:rsid w:val="007D59B6"/>
    <w:rsid w:val="007D6519"/>
    <w:rsid w:val="007D690C"/>
    <w:rsid w:val="007D7D8F"/>
    <w:rsid w:val="007E0AB1"/>
    <w:rsid w:val="007E0F86"/>
    <w:rsid w:val="007E0FFB"/>
    <w:rsid w:val="007E1435"/>
    <w:rsid w:val="007E16E6"/>
    <w:rsid w:val="007E1C45"/>
    <w:rsid w:val="007E24BA"/>
    <w:rsid w:val="007E2593"/>
    <w:rsid w:val="007E555D"/>
    <w:rsid w:val="007E5F2F"/>
    <w:rsid w:val="007E7D34"/>
    <w:rsid w:val="007E7E88"/>
    <w:rsid w:val="007F0849"/>
    <w:rsid w:val="007F19EF"/>
    <w:rsid w:val="007F278F"/>
    <w:rsid w:val="007F29D1"/>
    <w:rsid w:val="007F317B"/>
    <w:rsid w:val="007F3792"/>
    <w:rsid w:val="007F4E40"/>
    <w:rsid w:val="007F508F"/>
    <w:rsid w:val="007F5237"/>
    <w:rsid w:val="007F5D13"/>
    <w:rsid w:val="007F5EE7"/>
    <w:rsid w:val="007F5F02"/>
    <w:rsid w:val="007F6762"/>
    <w:rsid w:val="00800D20"/>
    <w:rsid w:val="00801B62"/>
    <w:rsid w:val="008039C8"/>
    <w:rsid w:val="00805337"/>
    <w:rsid w:val="00805B48"/>
    <w:rsid w:val="00806085"/>
    <w:rsid w:val="00806A9A"/>
    <w:rsid w:val="00806B9C"/>
    <w:rsid w:val="00806D15"/>
    <w:rsid w:val="008108E9"/>
    <w:rsid w:val="0081094E"/>
    <w:rsid w:val="008115FF"/>
    <w:rsid w:val="00811D34"/>
    <w:rsid w:val="00812331"/>
    <w:rsid w:val="008126BE"/>
    <w:rsid w:val="00812763"/>
    <w:rsid w:val="008131AA"/>
    <w:rsid w:val="00813B22"/>
    <w:rsid w:val="008158EE"/>
    <w:rsid w:val="00815936"/>
    <w:rsid w:val="00815F06"/>
    <w:rsid w:val="00816138"/>
    <w:rsid w:val="00816358"/>
    <w:rsid w:val="00822803"/>
    <w:rsid w:val="00824346"/>
    <w:rsid w:val="00824792"/>
    <w:rsid w:val="00824AA9"/>
    <w:rsid w:val="008258DE"/>
    <w:rsid w:val="0082654F"/>
    <w:rsid w:val="008265EF"/>
    <w:rsid w:val="00826869"/>
    <w:rsid w:val="00827A1A"/>
    <w:rsid w:val="008307B6"/>
    <w:rsid w:val="00832030"/>
    <w:rsid w:val="00832339"/>
    <w:rsid w:val="00832491"/>
    <w:rsid w:val="008325C4"/>
    <w:rsid w:val="00832FC6"/>
    <w:rsid w:val="008330EC"/>
    <w:rsid w:val="00833A8B"/>
    <w:rsid w:val="00833F5A"/>
    <w:rsid w:val="0083483B"/>
    <w:rsid w:val="00835393"/>
    <w:rsid w:val="008355C6"/>
    <w:rsid w:val="008365E8"/>
    <w:rsid w:val="0083680A"/>
    <w:rsid w:val="0083746A"/>
    <w:rsid w:val="00837893"/>
    <w:rsid w:val="008403F0"/>
    <w:rsid w:val="00840696"/>
    <w:rsid w:val="00840DAC"/>
    <w:rsid w:val="00841ACD"/>
    <w:rsid w:val="00841E75"/>
    <w:rsid w:val="0084333B"/>
    <w:rsid w:val="00843F21"/>
    <w:rsid w:val="008445E0"/>
    <w:rsid w:val="008475BA"/>
    <w:rsid w:val="00847915"/>
    <w:rsid w:val="00850797"/>
    <w:rsid w:val="00850D3E"/>
    <w:rsid w:val="0085111F"/>
    <w:rsid w:val="00851667"/>
    <w:rsid w:val="008523A0"/>
    <w:rsid w:val="00852D5B"/>
    <w:rsid w:val="00852F3E"/>
    <w:rsid w:val="00853290"/>
    <w:rsid w:val="0085371E"/>
    <w:rsid w:val="00854C10"/>
    <w:rsid w:val="00854FEC"/>
    <w:rsid w:val="0085613F"/>
    <w:rsid w:val="008617AC"/>
    <w:rsid w:val="00861942"/>
    <w:rsid w:val="00862B72"/>
    <w:rsid w:val="00863C2C"/>
    <w:rsid w:val="00864E3D"/>
    <w:rsid w:val="00864E87"/>
    <w:rsid w:val="008651E9"/>
    <w:rsid w:val="00865528"/>
    <w:rsid w:val="00865563"/>
    <w:rsid w:val="008671FA"/>
    <w:rsid w:val="00870A7D"/>
    <w:rsid w:val="00870D35"/>
    <w:rsid w:val="00871D38"/>
    <w:rsid w:val="008740CB"/>
    <w:rsid w:val="0087481F"/>
    <w:rsid w:val="008753CB"/>
    <w:rsid w:val="00875609"/>
    <w:rsid w:val="00876003"/>
    <w:rsid w:val="00877CB4"/>
    <w:rsid w:val="00877DA9"/>
    <w:rsid w:val="00881899"/>
    <w:rsid w:val="0088218E"/>
    <w:rsid w:val="008821FA"/>
    <w:rsid w:val="008827BF"/>
    <w:rsid w:val="00882FA6"/>
    <w:rsid w:val="0088349B"/>
    <w:rsid w:val="00883F1D"/>
    <w:rsid w:val="008853E5"/>
    <w:rsid w:val="0088657B"/>
    <w:rsid w:val="00886AD1"/>
    <w:rsid w:val="00886E2A"/>
    <w:rsid w:val="008875FE"/>
    <w:rsid w:val="0088789A"/>
    <w:rsid w:val="00887C37"/>
    <w:rsid w:val="00887DC1"/>
    <w:rsid w:val="008906E2"/>
    <w:rsid w:val="00890B30"/>
    <w:rsid w:val="008922F0"/>
    <w:rsid w:val="00892678"/>
    <w:rsid w:val="00892920"/>
    <w:rsid w:val="00892D41"/>
    <w:rsid w:val="008931D3"/>
    <w:rsid w:val="00894115"/>
    <w:rsid w:val="00895765"/>
    <w:rsid w:val="00895790"/>
    <w:rsid w:val="0089640D"/>
    <w:rsid w:val="008973DF"/>
    <w:rsid w:val="008977C2"/>
    <w:rsid w:val="00897E59"/>
    <w:rsid w:val="008A0651"/>
    <w:rsid w:val="008A0DAD"/>
    <w:rsid w:val="008A1C75"/>
    <w:rsid w:val="008A2FCC"/>
    <w:rsid w:val="008A3060"/>
    <w:rsid w:val="008A3740"/>
    <w:rsid w:val="008A3904"/>
    <w:rsid w:val="008A3A25"/>
    <w:rsid w:val="008A47F1"/>
    <w:rsid w:val="008A5081"/>
    <w:rsid w:val="008A65DC"/>
    <w:rsid w:val="008B1DDD"/>
    <w:rsid w:val="008B1F10"/>
    <w:rsid w:val="008B3531"/>
    <w:rsid w:val="008B3668"/>
    <w:rsid w:val="008B495F"/>
    <w:rsid w:val="008B54C8"/>
    <w:rsid w:val="008B6A65"/>
    <w:rsid w:val="008C0DEB"/>
    <w:rsid w:val="008C3AA5"/>
    <w:rsid w:val="008C3AE5"/>
    <w:rsid w:val="008C3C37"/>
    <w:rsid w:val="008C635D"/>
    <w:rsid w:val="008D00D8"/>
    <w:rsid w:val="008D017D"/>
    <w:rsid w:val="008D0969"/>
    <w:rsid w:val="008D0A98"/>
    <w:rsid w:val="008D127A"/>
    <w:rsid w:val="008D28FA"/>
    <w:rsid w:val="008D2CF7"/>
    <w:rsid w:val="008D300F"/>
    <w:rsid w:val="008D3146"/>
    <w:rsid w:val="008D3DA2"/>
    <w:rsid w:val="008D3DB9"/>
    <w:rsid w:val="008D4279"/>
    <w:rsid w:val="008D5DE3"/>
    <w:rsid w:val="008D6290"/>
    <w:rsid w:val="008D658E"/>
    <w:rsid w:val="008D7059"/>
    <w:rsid w:val="008E0A72"/>
    <w:rsid w:val="008E131F"/>
    <w:rsid w:val="008E18A7"/>
    <w:rsid w:val="008E3640"/>
    <w:rsid w:val="008E5482"/>
    <w:rsid w:val="008E6129"/>
    <w:rsid w:val="008E6771"/>
    <w:rsid w:val="008E6C19"/>
    <w:rsid w:val="008E7077"/>
    <w:rsid w:val="008E74F4"/>
    <w:rsid w:val="008E7AE8"/>
    <w:rsid w:val="008F05A6"/>
    <w:rsid w:val="008F0DC8"/>
    <w:rsid w:val="008F17D8"/>
    <w:rsid w:val="008F38DD"/>
    <w:rsid w:val="008F3F54"/>
    <w:rsid w:val="008F4D70"/>
    <w:rsid w:val="008F630D"/>
    <w:rsid w:val="008F7817"/>
    <w:rsid w:val="008F7BFE"/>
    <w:rsid w:val="008F7F90"/>
    <w:rsid w:val="00900830"/>
    <w:rsid w:val="00900E3A"/>
    <w:rsid w:val="009014A1"/>
    <w:rsid w:val="009014DC"/>
    <w:rsid w:val="00901674"/>
    <w:rsid w:val="00901A61"/>
    <w:rsid w:val="00901BC7"/>
    <w:rsid w:val="00902AE1"/>
    <w:rsid w:val="00903788"/>
    <w:rsid w:val="00904823"/>
    <w:rsid w:val="00906203"/>
    <w:rsid w:val="00906B15"/>
    <w:rsid w:val="00907313"/>
    <w:rsid w:val="00907B2F"/>
    <w:rsid w:val="00907B61"/>
    <w:rsid w:val="0091039F"/>
    <w:rsid w:val="00911418"/>
    <w:rsid w:val="009124AC"/>
    <w:rsid w:val="00912874"/>
    <w:rsid w:val="00913302"/>
    <w:rsid w:val="009135DB"/>
    <w:rsid w:val="00915066"/>
    <w:rsid w:val="00915151"/>
    <w:rsid w:val="00915609"/>
    <w:rsid w:val="009158E3"/>
    <w:rsid w:val="00915950"/>
    <w:rsid w:val="00915D09"/>
    <w:rsid w:val="0091786F"/>
    <w:rsid w:val="00920737"/>
    <w:rsid w:val="00920A39"/>
    <w:rsid w:val="009212CE"/>
    <w:rsid w:val="00922BC2"/>
    <w:rsid w:val="009231C8"/>
    <w:rsid w:val="00924F42"/>
    <w:rsid w:val="00926CA7"/>
    <w:rsid w:val="0092721A"/>
    <w:rsid w:val="009302E5"/>
    <w:rsid w:val="00930B37"/>
    <w:rsid w:val="00930BA1"/>
    <w:rsid w:val="009319EC"/>
    <w:rsid w:val="00932BD6"/>
    <w:rsid w:val="00933275"/>
    <w:rsid w:val="009334A6"/>
    <w:rsid w:val="009336EF"/>
    <w:rsid w:val="00934150"/>
    <w:rsid w:val="009342B6"/>
    <w:rsid w:val="00936077"/>
    <w:rsid w:val="00936C26"/>
    <w:rsid w:val="00937195"/>
    <w:rsid w:val="00937C2D"/>
    <w:rsid w:val="00937F43"/>
    <w:rsid w:val="00940440"/>
    <w:rsid w:val="0094091D"/>
    <w:rsid w:val="00941BD7"/>
    <w:rsid w:val="00942996"/>
    <w:rsid w:val="0094325E"/>
    <w:rsid w:val="00943296"/>
    <w:rsid w:val="00943616"/>
    <w:rsid w:val="009437BE"/>
    <w:rsid w:val="009439D5"/>
    <w:rsid w:val="00946213"/>
    <w:rsid w:val="00946B28"/>
    <w:rsid w:val="00946C4C"/>
    <w:rsid w:val="009474EA"/>
    <w:rsid w:val="00947C64"/>
    <w:rsid w:val="0095053B"/>
    <w:rsid w:val="00950E44"/>
    <w:rsid w:val="00951D0F"/>
    <w:rsid w:val="0095219F"/>
    <w:rsid w:val="00952D86"/>
    <w:rsid w:val="00953D93"/>
    <w:rsid w:val="0095511C"/>
    <w:rsid w:val="009579CF"/>
    <w:rsid w:val="00957FF5"/>
    <w:rsid w:val="00960242"/>
    <w:rsid w:val="00961736"/>
    <w:rsid w:val="00961944"/>
    <w:rsid w:val="00961A2E"/>
    <w:rsid w:val="00961A3F"/>
    <w:rsid w:val="0096234C"/>
    <w:rsid w:val="00962557"/>
    <w:rsid w:val="00963433"/>
    <w:rsid w:val="00964929"/>
    <w:rsid w:val="00965192"/>
    <w:rsid w:val="009651BB"/>
    <w:rsid w:val="00965219"/>
    <w:rsid w:val="0096542B"/>
    <w:rsid w:val="0097077D"/>
    <w:rsid w:val="00970EE6"/>
    <w:rsid w:val="00971562"/>
    <w:rsid w:val="009725E9"/>
    <w:rsid w:val="00973393"/>
    <w:rsid w:val="00973B4F"/>
    <w:rsid w:val="00973C40"/>
    <w:rsid w:val="00974004"/>
    <w:rsid w:val="009747A7"/>
    <w:rsid w:val="00974810"/>
    <w:rsid w:val="00975AB8"/>
    <w:rsid w:val="00976050"/>
    <w:rsid w:val="009764E1"/>
    <w:rsid w:val="009765BA"/>
    <w:rsid w:val="0097727E"/>
    <w:rsid w:val="00977490"/>
    <w:rsid w:val="00977630"/>
    <w:rsid w:val="00977679"/>
    <w:rsid w:val="00977684"/>
    <w:rsid w:val="00977D8A"/>
    <w:rsid w:val="00982155"/>
    <w:rsid w:val="009823D7"/>
    <w:rsid w:val="009825B3"/>
    <w:rsid w:val="00983531"/>
    <w:rsid w:val="00983AC9"/>
    <w:rsid w:val="0098414C"/>
    <w:rsid w:val="0098461D"/>
    <w:rsid w:val="00985F64"/>
    <w:rsid w:val="00990348"/>
    <w:rsid w:val="009909D3"/>
    <w:rsid w:val="00991B82"/>
    <w:rsid w:val="00992B68"/>
    <w:rsid w:val="00995AB6"/>
    <w:rsid w:val="00996E30"/>
    <w:rsid w:val="00996F0B"/>
    <w:rsid w:val="00997180"/>
    <w:rsid w:val="009973BC"/>
    <w:rsid w:val="00997426"/>
    <w:rsid w:val="009977DA"/>
    <w:rsid w:val="009A076F"/>
    <w:rsid w:val="009A0A86"/>
    <w:rsid w:val="009A1919"/>
    <w:rsid w:val="009A2B58"/>
    <w:rsid w:val="009A3698"/>
    <w:rsid w:val="009A41A3"/>
    <w:rsid w:val="009A49D8"/>
    <w:rsid w:val="009A67EC"/>
    <w:rsid w:val="009A7C12"/>
    <w:rsid w:val="009A7E44"/>
    <w:rsid w:val="009B0339"/>
    <w:rsid w:val="009B0A46"/>
    <w:rsid w:val="009B0A6C"/>
    <w:rsid w:val="009B1419"/>
    <w:rsid w:val="009B2604"/>
    <w:rsid w:val="009B392E"/>
    <w:rsid w:val="009B3DBE"/>
    <w:rsid w:val="009B4BB2"/>
    <w:rsid w:val="009B54C5"/>
    <w:rsid w:val="009B6FDE"/>
    <w:rsid w:val="009B707F"/>
    <w:rsid w:val="009B7194"/>
    <w:rsid w:val="009C0F05"/>
    <w:rsid w:val="009C126B"/>
    <w:rsid w:val="009C27AC"/>
    <w:rsid w:val="009C2880"/>
    <w:rsid w:val="009C3655"/>
    <w:rsid w:val="009C3BBB"/>
    <w:rsid w:val="009C3C82"/>
    <w:rsid w:val="009C44F7"/>
    <w:rsid w:val="009C5DEB"/>
    <w:rsid w:val="009C6A29"/>
    <w:rsid w:val="009C6A62"/>
    <w:rsid w:val="009C6E7F"/>
    <w:rsid w:val="009C6F36"/>
    <w:rsid w:val="009C7D78"/>
    <w:rsid w:val="009D05AF"/>
    <w:rsid w:val="009D0E87"/>
    <w:rsid w:val="009D208D"/>
    <w:rsid w:val="009D238D"/>
    <w:rsid w:val="009D2747"/>
    <w:rsid w:val="009D301D"/>
    <w:rsid w:val="009D32FC"/>
    <w:rsid w:val="009D5353"/>
    <w:rsid w:val="009D6F73"/>
    <w:rsid w:val="009E03E3"/>
    <w:rsid w:val="009E42FC"/>
    <w:rsid w:val="009E4556"/>
    <w:rsid w:val="009E537C"/>
    <w:rsid w:val="009E58EC"/>
    <w:rsid w:val="009E5A4F"/>
    <w:rsid w:val="009F0A0E"/>
    <w:rsid w:val="009F21FA"/>
    <w:rsid w:val="009F2E96"/>
    <w:rsid w:val="009F47B7"/>
    <w:rsid w:val="009F6D52"/>
    <w:rsid w:val="009F73AB"/>
    <w:rsid w:val="009F751A"/>
    <w:rsid w:val="00A00A29"/>
    <w:rsid w:val="00A01079"/>
    <w:rsid w:val="00A01886"/>
    <w:rsid w:val="00A02339"/>
    <w:rsid w:val="00A03785"/>
    <w:rsid w:val="00A03F2D"/>
    <w:rsid w:val="00A03FC0"/>
    <w:rsid w:val="00A041D0"/>
    <w:rsid w:val="00A04844"/>
    <w:rsid w:val="00A0584A"/>
    <w:rsid w:val="00A06C22"/>
    <w:rsid w:val="00A07008"/>
    <w:rsid w:val="00A0799E"/>
    <w:rsid w:val="00A07A19"/>
    <w:rsid w:val="00A10766"/>
    <w:rsid w:val="00A1077F"/>
    <w:rsid w:val="00A11064"/>
    <w:rsid w:val="00A11C57"/>
    <w:rsid w:val="00A12550"/>
    <w:rsid w:val="00A12C72"/>
    <w:rsid w:val="00A13C97"/>
    <w:rsid w:val="00A145F2"/>
    <w:rsid w:val="00A14CCD"/>
    <w:rsid w:val="00A152BD"/>
    <w:rsid w:val="00A15F6B"/>
    <w:rsid w:val="00A16AE0"/>
    <w:rsid w:val="00A16B72"/>
    <w:rsid w:val="00A172A5"/>
    <w:rsid w:val="00A17955"/>
    <w:rsid w:val="00A200D3"/>
    <w:rsid w:val="00A200D9"/>
    <w:rsid w:val="00A20464"/>
    <w:rsid w:val="00A222CB"/>
    <w:rsid w:val="00A22972"/>
    <w:rsid w:val="00A22D64"/>
    <w:rsid w:val="00A23D25"/>
    <w:rsid w:val="00A23FC2"/>
    <w:rsid w:val="00A240A0"/>
    <w:rsid w:val="00A2437F"/>
    <w:rsid w:val="00A2556B"/>
    <w:rsid w:val="00A2569C"/>
    <w:rsid w:val="00A269DC"/>
    <w:rsid w:val="00A27308"/>
    <w:rsid w:val="00A30998"/>
    <w:rsid w:val="00A30C74"/>
    <w:rsid w:val="00A30E02"/>
    <w:rsid w:val="00A30F54"/>
    <w:rsid w:val="00A31641"/>
    <w:rsid w:val="00A3278F"/>
    <w:rsid w:val="00A32D5D"/>
    <w:rsid w:val="00A33708"/>
    <w:rsid w:val="00A33AF9"/>
    <w:rsid w:val="00A34108"/>
    <w:rsid w:val="00A34439"/>
    <w:rsid w:val="00A34887"/>
    <w:rsid w:val="00A35DA7"/>
    <w:rsid w:val="00A35EDD"/>
    <w:rsid w:val="00A360F2"/>
    <w:rsid w:val="00A367DF"/>
    <w:rsid w:val="00A37A18"/>
    <w:rsid w:val="00A37D32"/>
    <w:rsid w:val="00A4017E"/>
    <w:rsid w:val="00A4025E"/>
    <w:rsid w:val="00A409D4"/>
    <w:rsid w:val="00A41217"/>
    <w:rsid w:val="00A41A76"/>
    <w:rsid w:val="00A42078"/>
    <w:rsid w:val="00A428F7"/>
    <w:rsid w:val="00A43732"/>
    <w:rsid w:val="00A4386C"/>
    <w:rsid w:val="00A443B2"/>
    <w:rsid w:val="00A447DE"/>
    <w:rsid w:val="00A44DFC"/>
    <w:rsid w:val="00A44F5C"/>
    <w:rsid w:val="00A455F6"/>
    <w:rsid w:val="00A467FA"/>
    <w:rsid w:val="00A47456"/>
    <w:rsid w:val="00A52B34"/>
    <w:rsid w:val="00A531AC"/>
    <w:rsid w:val="00A576CF"/>
    <w:rsid w:val="00A60508"/>
    <w:rsid w:val="00A617EB"/>
    <w:rsid w:val="00A62068"/>
    <w:rsid w:val="00A640A7"/>
    <w:rsid w:val="00A645AE"/>
    <w:rsid w:val="00A65E9A"/>
    <w:rsid w:val="00A6752C"/>
    <w:rsid w:val="00A67B61"/>
    <w:rsid w:val="00A712A1"/>
    <w:rsid w:val="00A712B9"/>
    <w:rsid w:val="00A7386D"/>
    <w:rsid w:val="00A73D67"/>
    <w:rsid w:val="00A75C4A"/>
    <w:rsid w:val="00A80241"/>
    <w:rsid w:val="00A80E62"/>
    <w:rsid w:val="00A8114E"/>
    <w:rsid w:val="00A8141E"/>
    <w:rsid w:val="00A81BCD"/>
    <w:rsid w:val="00A82249"/>
    <w:rsid w:val="00A82571"/>
    <w:rsid w:val="00A82741"/>
    <w:rsid w:val="00A83096"/>
    <w:rsid w:val="00A83594"/>
    <w:rsid w:val="00A839B7"/>
    <w:rsid w:val="00A83A4E"/>
    <w:rsid w:val="00A84363"/>
    <w:rsid w:val="00A84D9A"/>
    <w:rsid w:val="00A851AA"/>
    <w:rsid w:val="00A85600"/>
    <w:rsid w:val="00A85638"/>
    <w:rsid w:val="00A85656"/>
    <w:rsid w:val="00A87B38"/>
    <w:rsid w:val="00A87F77"/>
    <w:rsid w:val="00A904D3"/>
    <w:rsid w:val="00A90900"/>
    <w:rsid w:val="00A9223D"/>
    <w:rsid w:val="00A928B4"/>
    <w:rsid w:val="00A92983"/>
    <w:rsid w:val="00A92C69"/>
    <w:rsid w:val="00A92D23"/>
    <w:rsid w:val="00A932BF"/>
    <w:rsid w:val="00A939BA"/>
    <w:rsid w:val="00A93A6A"/>
    <w:rsid w:val="00A94917"/>
    <w:rsid w:val="00A955CD"/>
    <w:rsid w:val="00A95BFB"/>
    <w:rsid w:val="00A968FE"/>
    <w:rsid w:val="00A96AB3"/>
    <w:rsid w:val="00AA1164"/>
    <w:rsid w:val="00AA11AB"/>
    <w:rsid w:val="00AA222C"/>
    <w:rsid w:val="00AA2D0A"/>
    <w:rsid w:val="00AA2FDC"/>
    <w:rsid w:val="00AA3138"/>
    <w:rsid w:val="00AA41CB"/>
    <w:rsid w:val="00AA6382"/>
    <w:rsid w:val="00AA6BBD"/>
    <w:rsid w:val="00AA747B"/>
    <w:rsid w:val="00AA75E1"/>
    <w:rsid w:val="00AB1A05"/>
    <w:rsid w:val="00AB2B25"/>
    <w:rsid w:val="00AB2CA0"/>
    <w:rsid w:val="00AB3E2F"/>
    <w:rsid w:val="00AB4AAE"/>
    <w:rsid w:val="00AB4C4A"/>
    <w:rsid w:val="00AB4EF9"/>
    <w:rsid w:val="00AB52B9"/>
    <w:rsid w:val="00AB5639"/>
    <w:rsid w:val="00AB598D"/>
    <w:rsid w:val="00AB60BA"/>
    <w:rsid w:val="00AB6190"/>
    <w:rsid w:val="00AB70B0"/>
    <w:rsid w:val="00AB71C7"/>
    <w:rsid w:val="00AB73E9"/>
    <w:rsid w:val="00AB77AE"/>
    <w:rsid w:val="00AC038D"/>
    <w:rsid w:val="00AC05B2"/>
    <w:rsid w:val="00AC0660"/>
    <w:rsid w:val="00AC0833"/>
    <w:rsid w:val="00AC10D1"/>
    <w:rsid w:val="00AC13CC"/>
    <w:rsid w:val="00AC1DFB"/>
    <w:rsid w:val="00AC2106"/>
    <w:rsid w:val="00AC26FF"/>
    <w:rsid w:val="00AC2732"/>
    <w:rsid w:val="00AC2ED0"/>
    <w:rsid w:val="00AC3403"/>
    <w:rsid w:val="00AC3499"/>
    <w:rsid w:val="00AC394E"/>
    <w:rsid w:val="00AC3B93"/>
    <w:rsid w:val="00AC48F2"/>
    <w:rsid w:val="00AC4B40"/>
    <w:rsid w:val="00AC5B24"/>
    <w:rsid w:val="00AC6094"/>
    <w:rsid w:val="00AC70C9"/>
    <w:rsid w:val="00AC7251"/>
    <w:rsid w:val="00AC72B3"/>
    <w:rsid w:val="00AC744C"/>
    <w:rsid w:val="00AC7880"/>
    <w:rsid w:val="00AC792C"/>
    <w:rsid w:val="00AC7B35"/>
    <w:rsid w:val="00AD013C"/>
    <w:rsid w:val="00AD02BF"/>
    <w:rsid w:val="00AD0B07"/>
    <w:rsid w:val="00AD10CF"/>
    <w:rsid w:val="00AD21F4"/>
    <w:rsid w:val="00AD3115"/>
    <w:rsid w:val="00AD3686"/>
    <w:rsid w:val="00AD560E"/>
    <w:rsid w:val="00AD5DE9"/>
    <w:rsid w:val="00AD6085"/>
    <w:rsid w:val="00AD6A56"/>
    <w:rsid w:val="00AD6D12"/>
    <w:rsid w:val="00AD79A1"/>
    <w:rsid w:val="00AD7A69"/>
    <w:rsid w:val="00AD7D28"/>
    <w:rsid w:val="00AE005C"/>
    <w:rsid w:val="00AE1019"/>
    <w:rsid w:val="00AE150D"/>
    <w:rsid w:val="00AE1F13"/>
    <w:rsid w:val="00AE34CE"/>
    <w:rsid w:val="00AE41F6"/>
    <w:rsid w:val="00AE486B"/>
    <w:rsid w:val="00AE4D8D"/>
    <w:rsid w:val="00AE538D"/>
    <w:rsid w:val="00AE5F79"/>
    <w:rsid w:val="00AE7A2F"/>
    <w:rsid w:val="00AF110A"/>
    <w:rsid w:val="00AF1D2E"/>
    <w:rsid w:val="00AF245F"/>
    <w:rsid w:val="00AF29BC"/>
    <w:rsid w:val="00AF31AB"/>
    <w:rsid w:val="00AF3B0B"/>
    <w:rsid w:val="00AF42C4"/>
    <w:rsid w:val="00AF4327"/>
    <w:rsid w:val="00AF668E"/>
    <w:rsid w:val="00AF69B3"/>
    <w:rsid w:val="00AF6D9F"/>
    <w:rsid w:val="00AF6E4E"/>
    <w:rsid w:val="00B009A4"/>
    <w:rsid w:val="00B00F5C"/>
    <w:rsid w:val="00B00F6E"/>
    <w:rsid w:val="00B03BD5"/>
    <w:rsid w:val="00B04A17"/>
    <w:rsid w:val="00B051FF"/>
    <w:rsid w:val="00B05EA2"/>
    <w:rsid w:val="00B06704"/>
    <w:rsid w:val="00B06B0A"/>
    <w:rsid w:val="00B07493"/>
    <w:rsid w:val="00B117AC"/>
    <w:rsid w:val="00B117F8"/>
    <w:rsid w:val="00B12523"/>
    <w:rsid w:val="00B12DB0"/>
    <w:rsid w:val="00B132A8"/>
    <w:rsid w:val="00B14282"/>
    <w:rsid w:val="00B142E8"/>
    <w:rsid w:val="00B14462"/>
    <w:rsid w:val="00B14E91"/>
    <w:rsid w:val="00B17073"/>
    <w:rsid w:val="00B2138E"/>
    <w:rsid w:val="00B2147B"/>
    <w:rsid w:val="00B229A3"/>
    <w:rsid w:val="00B232F0"/>
    <w:rsid w:val="00B2421A"/>
    <w:rsid w:val="00B25547"/>
    <w:rsid w:val="00B25871"/>
    <w:rsid w:val="00B267D5"/>
    <w:rsid w:val="00B26E5A"/>
    <w:rsid w:val="00B2755E"/>
    <w:rsid w:val="00B277E4"/>
    <w:rsid w:val="00B31064"/>
    <w:rsid w:val="00B310B4"/>
    <w:rsid w:val="00B31C81"/>
    <w:rsid w:val="00B321EA"/>
    <w:rsid w:val="00B32A04"/>
    <w:rsid w:val="00B36090"/>
    <w:rsid w:val="00B3663A"/>
    <w:rsid w:val="00B37C6A"/>
    <w:rsid w:val="00B37DFF"/>
    <w:rsid w:val="00B37F25"/>
    <w:rsid w:val="00B405D7"/>
    <w:rsid w:val="00B409D2"/>
    <w:rsid w:val="00B4157B"/>
    <w:rsid w:val="00B4198B"/>
    <w:rsid w:val="00B41DBC"/>
    <w:rsid w:val="00B41E93"/>
    <w:rsid w:val="00B42541"/>
    <w:rsid w:val="00B42629"/>
    <w:rsid w:val="00B428A2"/>
    <w:rsid w:val="00B42E54"/>
    <w:rsid w:val="00B43B41"/>
    <w:rsid w:val="00B44226"/>
    <w:rsid w:val="00B44CA2"/>
    <w:rsid w:val="00B45402"/>
    <w:rsid w:val="00B45638"/>
    <w:rsid w:val="00B47757"/>
    <w:rsid w:val="00B47AF2"/>
    <w:rsid w:val="00B5049A"/>
    <w:rsid w:val="00B51807"/>
    <w:rsid w:val="00B53C64"/>
    <w:rsid w:val="00B5403A"/>
    <w:rsid w:val="00B541C1"/>
    <w:rsid w:val="00B541E9"/>
    <w:rsid w:val="00B5578C"/>
    <w:rsid w:val="00B56197"/>
    <w:rsid w:val="00B56E90"/>
    <w:rsid w:val="00B61259"/>
    <w:rsid w:val="00B619B7"/>
    <w:rsid w:val="00B61F2B"/>
    <w:rsid w:val="00B62560"/>
    <w:rsid w:val="00B62B16"/>
    <w:rsid w:val="00B64285"/>
    <w:rsid w:val="00B65698"/>
    <w:rsid w:val="00B65A0A"/>
    <w:rsid w:val="00B65C3D"/>
    <w:rsid w:val="00B660E5"/>
    <w:rsid w:val="00B66989"/>
    <w:rsid w:val="00B70FFF"/>
    <w:rsid w:val="00B716F1"/>
    <w:rsid w:val="00B71789"/>
    <w:rsid w:val="00B719F6"/>
    <w:rsid w:val="00B72340"/>
    <w:rsid w:val="00B7263C"/>
    <w:rsid w:val="00B72907"/>
    <w:rsid w:val="00B72A8E"/>
    <w:rsid w:val="00B733D7"/>
    <w:rsid w:val="00B7413F"/>
    <w:rsid w:val="00B75BA7"/>
    <w:rsid w:val="00B7634C"/>
    <w:rsid w:val="00B76BFB"/>
    <w:rsid w:val="00B76E9F"/>
    <w:rsid w:val="00B7741E"/>
    <w:rsid w:val="00B77894"/>
    <w:rsid w:val="00B77F8A"/>
    <w:rsid w:val="00B81068"/>
    <w:rsid w:val="00B8191F"/>
    <w:rsid w:val="00B81A29"/>
    <w:rsid w:val="00B82D29"/>
    <w:rsid w:val="00B8346C"/>
    <w:rsid w:val="00B84105"/>
    <w:rsid w:val="00B84C0B"/>
    <w:rsid w:val="00B868E3"/>
    <w:rsid w:val="00B904BE"/>
    <w:rsid w:val="00B91A9E"/>
    <w:rsid w:val="00B9356C"/>
    <w:rsid w:val="00B93E85"/>
    <w:rsid w:val="00B96070"/>
    <w:rsid w:val="00B9613D"/>
    <w:rsid w:val="00B96EA6"/>
    <w:rsid w:val="00B96F0D"/>
    <w:rsid w:val="00BA04A3"/>
    <w:rsid w:val="00BA0C85"/>
    <w:rsid w:val="00BA105E"/>
    <w:rsid w:val="00BA10A0"/>
    <w:rsid w:val="00BA1C7C"/>
    <w:rsid w:val="00BA2544"/>
    <w:rsid w:val="00BA3AB8"/>
    <w:rsid w:val="00BA4549"/>
    <w:rsid w:val="00BA5996"/>
    <w:rsid w:val="00BA6D54"/>
    <w:rsid w:val="00BA74DF"/>
    <w:rsid w:val="00BB33FA"/>
    <w:rsid w:val="00BB6113"/>
    <w:rsid w:val="00BB7177"/>
    <w:rsid w:val="00BB79F7"/>
    <w:rsid w:val="00BB7D0E"/>
    <w:rsid w:val="00BC028A"/>
    <w:rsid w:val="00BC02BC"/>
    <w:rsid w:val="00BC051A"/>
    <w:rsid w:val="00BC066E"/>
    <w:rsid w:val="00BC0C01"/>
    <w:rsid w:val="00BC12D3"/>
    <w:rsid w:val="00BC1689"/>
    <w:rsid w:val="00BC1801"/>
    <w:rsid w:val="00BC1FB1"/>
    <w:rsid w:val="00BC3026"/>
    <w:rsid w:val="00BC3AD5"/>
    <w:rsid w:val="00BC459F"/>
    <w:rsid w:val="00BC473B"/>
    <w:rsid w:val="00BC49AB"/>
    <w:rsid w:val="00BC4C6B"/>
    <w:rsid w:val="00BC58D1"/>
    <w:rsid w:val="00BC611F"/>
    <w:rsid w:val="00BC617A"/>
    <w:rsid w:val="00BC684F"/>
    <w:rsid w:val="00BC6990"/>
    <w:rsid w:val="00BC6F1B"/>
    <w:rsid w:val="00BC6FB3"/>
    <w:rsid w:val="00BC7085"/>
    <w:rsid w:val="00BC77B1"/>
    <w:rsid w:val="00BC7CB7"/>
    <w:rsid w:val="00BD021F"/>
    <w:rsid w:val="00BD2AAA"/>
    <w:rsid w:val="00BD360A"/>
    <w:rsid w:val="00BD37EA"/>
    <w:rsid w:val="00BD3D0D"/>
    <w:rsid w:val="00BD5328"/>
    <w:rsid w:val="00BD5B5D"/>
    <w:rsid w:val="00BD6AEA"/>
    <w:rsid w:val="00BD7B91"/>
    <w:rsid w:val="00BD7E9E"/>
    <w:rsid w:val="00BE0282"/>
    <w:rsid w:val="00BE2920"/>
    <w:rsid w:val="00BE2BD2"/>
    <w:rsid w:val="00BE2FD2"/>
    <w:rsid w:val="00BE30B0"/>
    <w:rsid w:val="00BE3526"/>
    <w:rsid w:val="00BE377C"/>
    <w:rsid w:val="00BE3C26"/>
    <w:rsid w:val="00BE445F"/>
    <w:rsid w:val="00BE4CFD"/>
    <w:rsid w:val="00BE5274"/>
    <w:rsid w:val="00BE53FC"/>
    <w:rsid w:val="00BE671D"/>
    <w:rsid w:val="00BE6FFE"/>
    <w:rsid w:val="00BE7447"/>
    <w:rsid w:val="00BF0835"/>
    <w:rsid w:val="00BF09C3"/>
    <w:rsid w:val="00BF1038"/>
    <w:rsid w:val="00BF150A"/>
    <w:rsid w:val="00BF269F"/>
    <w:rsid w:val="00BF27A5"/>
    <w:rsid w:val="00BF347E"/>
    <w:rsid w:val="00BF3E2C"/>
    <w:rsid w:val="00BF4D4E"/>
    <w:rsid w:val="00BF4FB8"/>
    <w:rsid w:val="00BF51BD"/>
    <w:rsid w:val="00BF565E"/>
    <w:rsid w:val="00BF5794"/>
    <w:rsid w:val="00BF6944"/>
    <w:rsid w:val="00BF798C"/>
    <w:rsid w:val="00C01040"/>
    <w:rsid w:val="00C03227"/>
    <w:rsid w:val="00C05B00"/>
    <w:rsid w:val="00C060D0"/>
    <w:rsid w:val="00C063AB"/>
    <w:rsid w:val="00C0670F"/>
    <w:rsid w:val="00C07916"/>
    <w:rsid w:val="00C107A7"/>
    <w:rsid w:val="00C115DC"/>
    <w:rsid w:val="00C1354C"/>
    <w:rsid w:val="00C13605"/>
    <w:rsid w:val="00C13FF7"/>
    <w:rsid w:val="00C1405D"/>
    <w:rsid w:val="00C153CB"/>
    <w:rsid w:val="00C15E8D"/>
    <w:rsid w:val="00C15FAD"/>
    <w:rsid w:val="00C166D3"/>
    <w:rsid w:val="00C17485"/>
    <w:rsid w:val="00C17AF6"/>
    <w:rsid w:val="00C218B7"/>
    <w:rsid w:val="00C226CF"/>
    <w:rsid w:val="00C22F8B"/>
    <w:rsid w:val="00C23915"/>
    <w:rsid w:val="00C239E1"/>
    <w:rsid w:val="00C2424A"/>
    <w:rsid w:val="00C246A2"/>
    <w:rsid w:val="00C271A4"/>
    <w:rsid w:val="00C2737F"/>
    <w:rsid w:val="00C27A40"/>
    <w:rsid w:val="00C301F8"/>
    <w:rsid w:val="00C30D3D"/>
    <w:rsid w:val="00C31ACF"/>
    <w:rsid w:val="00C322D8"/>
    <w:rsid w:val="00C32A5D"/>
    <w:rsid w:val="00C33DE4"/>
    <w:rsid w:val="00C33DEC"/>
    <w:rsid w:val="00C346A6"/>
    <w:rsid w:val="00C34D70"/>
    <w:rsid w:val="00C35144"/>
    <w:rsid w:val="00C3641E"/>
    <w:rsid w:val="00C366C2"/>
    <w:rsid w:val="00C36DB3"/>
    <w:rsid w:val="00C36E1D"/>
    <w:rsid w:val="00C377BB"/>
    <w:rsid w:val="00C4055D"/>
    <w:rsid w:val="00C41129"/>
    <w:rsid w:val="00C4198F"/>
    <w:rsid w:val="00C44101"/>
    <w:rsid w:val="00C45E44"/>
    <w:rsid w:val="00C467C5"/>
    <w:rsid w:val="00C46DCB"/>
    <w:rsid w:val="00C471E7"/>
    <w:rsid w:val="00C4747E"/>
    <w:rsid w:val="00C50017"/>
    <w:rsid w:val="00C51ED9"/>
    <w:rsid w:val="00C52155"/>
    <w:rsid w:val="00C5290B"/>
    <w:rsid w:val="00C53CD7"/>
    <w:rsid w:val="00C562EA"/>
    <w:rsid w:val="00C569E4"/>
    <w:rsid w:val="00C57C87"/>
    <w:rsid w:val="00C606B4"/>
    <w:rsid w:val="00C61419"/>
    <w:rsid w:val="00C61959"/>
    <w:rsid w:val="00C626E5"/>
    <w:rsid w:val="00C63774"/>
    <w:rsid w:val="00C63AE9"/>
    <w:rsid w:val="00C651CC"/>
    <w:rsid w:val="00C65C41"/>
    <w:rsid w:val="00C66431"/>
    <w:rsid w:val="00C6659B"/>
    <w:rsid w:val="00C67290"/>
    <w:rsid w:val="00C70158"/>
    <w:rsid w:val="00C71093"/>
    <w:rsid w:val="00C7117B"/>
    <w:rsid w:val="00C71C1D"/>
    <w:rsid w:val="00C71F5F"/>
    <w:rsid w:val="00C721B7"/>
    <w:rsid w:val="00C72243"/>
    <w:rsid w:val="00C725D5"/>
    <w:rsid w:val="00C7266B"/>
    <w:rsid w:val="00C72B4C"/>
    <w:rsid w:val="00C73275"/>
    <w:rsid w:val="00C73F8F"/>
    <w:rsid w:val="00C7462D"/>
    <w:rsid w:val="00C74857"/>
    <w:rsid w:val="00C75824"/>
    <w:rsid w:val="00C75873"/>
    <w:rsid w:val="00C76629"/>
    <w:rsid w:val="00C76B2C"/>
    <w:rsid w:val="00C77409"/>
    <w:rsid w:val="00C774FA"/>
    <w:rsid w:val="00C81897"/>
    <w:rsid w:val="00C81F5E"/>
    <w:rsid w:val="00C834C3"/>
    <w:rsid w:val="00C8377B"/>
    <w:rsid w:val="00C83A09"/>
    <w:rsid w:val="00C83A59"/>
    <w:rsid w:val="00C84BD8"/>
    <w:rsid w:val="00C8502E"/>
    <w:rsid w:val="00C852F1"/>
    <w:rsid w:val="00C85D09"/>
    <w:rsid w:val="00C87D32"/>
    <w:rsid w:val="00C9018E"/>
    <w:rsid w:val="00C90228"/>
    <w:rsid w:val="00C9083D"/>
    <w:rsid w:val="00C90F4D"/>
    <w:rsid w:val="00C911EB"/>
    <w:rsid w:val="00C920FE"/>
    <w:rsid w:val="00C92912"/>
    <w:rsid w:val="00C92B9B"/>
    <w:rsid w:val="00C931A5"/>
    <w:rsid w:val="00C94392"/>
    <w:rsid w:val="00C94DC5"/>
    <w:rsid w:val="00C95080"/>
    <w:rsid w:val="00C957F7"/>
    <w:rsid w:val="00CA0116"/>
    <w:rsid w:val="00CA0AC9"/>
    <w:rsid w:val="00CA12B2"/>
    <w:rsid w:val="00CA18AA"/>
    <w:rsid w:val="00CA19C4"/>
    <w:rsid w:val="00CA1CBD"/>
    <w:rsid w:val="00CA1CC4"/>
    <w:rsid w:val="00CA24F2"/>
    <w:rsid w:val="00CA256B"/>
    <w:rsid w:val="00CA26BE"/>
    <w:rsid w:val="00CA3160"/>
    <w:rsid w:val="00CA3840"/>
    <w:rsid w:val="00CA388E"/>
    <w:rsid w:val="00CA58C4"/>
    <w:rsid w:val="00CB0036"/>
    <w:rsid w:val="00CB0157"/>
    <w:rsid w:val="00CB046A"/>
    <w:rsid w:val="00CB0595"/>
    <w:rsid w:val="00CB33CA"/>
    <w:rsid w:val="00CB35D0"/>
    <w:rsid w:val="00CB38D3"/>
    <w:rsid w:val="00CB58B2"/>
    <w:rsid w:val="00CB6169"/>
    <w:rsid w:val="00CB61E2"/>
    <w:rsid w:val="00CB6587"/>
    <w:rsid w:val="00CB724E"/>
    <w:rsid w:val="00CB7293"/>
    <w:rsid w:val="00CB7F4B"/>
    <w:rsid w:val="00CC2C4A"/>
    <w:rsid w:val="00CC42A8"/>
    <w:rsid w:val="00CC4ADE"/>
    <w:rsid w:val="00CC5260"/>
    <w:rsid w:val="00CC5B5B"/>
    <w:rsid w:val="00CC6317"/>
    <w:rsid w:val="00CC64C7"/>
    <w:rsid w:val="00CC7625"/>
    <w:rsid w:val="00CD06C5"/>
    <w:rsid w:val="00CD0C03"/>
    <w:rsid w:val="00CD1222"/>
    <w:rsid w:val="00CD18B1"/>
    <w:rsid w:val="00CD25BA"/>
    <w:rsid w:val="00CD3438"/>
    <w:rsid w:val="00CD3A3C"/>
    <w:rsid w:val="00CD3E95"/>
    <w:rsid w:val="00CD4939"/>
    <w:rsid w:val="00CD601E"/>
    <w:rsid w:val="00CD65AA"/>
    <w:rsid w:val="00CD670F"/>
    <w:rsid w:val="00CD768E"/>
    <w:rsid w:val="00CD7B3E"/>
    <w:rsid w:val="00CE0EB7"/>
    <w:rsid w:val="00CE0FD7"/>
    <w:rsid w:val="00CE3976"/>
    <w:rsid w:val="00CE5C0E"/>
    <w:rsid w:val="00CE6035"/>
    <w:rsid w:val="00CE68B6"/>
    <w:rsid w:val="00CE68E8"/>
    <w:rsid w:val="00CE7A25"/>
    <w:rsid w:val="00CF009A"/>
    <w:rsid w:val="00CF05A0"/>
    <w:rsid w:val="00CF10EB"/>
    <w:rsid w:val="00CF13D6"/>
    <w:rsid w:val="00CF36B7"/>
    <w:rsid w:val="00CF40C6"/>
    <w:rsid w:val="00CF4367"/>
    <w:rsid w:val="00CF43DD"/>
    <w:rsid w:val="00CF4556"/>
    <w:rsid w:val="00CF60E4"/>
    <w:rsid w:val="00CF66C1"/>
    <w:rsid w:val="00CF6FA6"/>
    <w:rsid w:val="00CF6FD9"/>
    <w:rsid w:val="00CF7218"/>
    <w:rsid w:val="00D00372"/>
    <w:rsid w:val="00D006C4"/>
    <w:rsid w:val="00D007DA"/>
    <w:rsid w:val="00D0087A"/>
    <w:rsid w:val="00D00D02"/>
    <w:rsid w:val="00D00E01"/>
    <w:rsid w:val="00D020AE"/>
    <w:rsid w:val="00D02C55"/>
    <w:rsid w:val="00D04E99"/>
    <w:rsid w:val="00D06525"/>
    <w:rsid w:val="00D06AC9"/>
    <w:rsid w:val="00D06D54"/>
    <w:rsid w:val="00D0701A"/>
    <w:rsid w:val="00D07E75"/>
    <w:rsid w:val="00D07FA9"/>
    <w:rsid w:val="00D11206"/>
    <w:rsid w:val="00D11924"/>
    <w:rsid w:val="00D12799"/>
    <w:rsid w:val="00D1307A"/>
    <w:rsid w:val="00D13EBC"/>
    <w:rsid w:val="00D14226"/>
    <w:rsid w:val="00D15178"/>
    <w:rsid w:val="00D168E4"/>
    <w:rsid w:val="00D20B20"/>
    <w:rsid w:val="00D20CBC"/>
    <w:rsid w:val="00D20DF7"/>
    <w:rsid w:val="00D21440"/>
    <w:rsid w:val="00D216C9"/>
    <w:rsid w:val="00D22555"/>
    <w:rsid w:val="00D225C4"/>
    <w:rsid w:val="00D22EBD"/>
    <w:rsid w:val="00D24F32"/>
    <w:rsid w:val="00D257B5"/>
    <w:rsid w:val="00D26277"/>
    <w:rsid w:val="00D26582"/>
    <w:rsid w:val="00D26DCE"/>
    <w:rsid w:val="00D27BE7"/>
    <w:rsid w:val="00D27F52"/>
    <w:rsid w:val="00D314C2"/>
    <w:rsid w:val="00D32769"/>
    <w:rsid w:val="00D327A7"/>
    <w:rsid w:val="00D3442A"/>
    <w:rsid w:val="00D35063"/>
    <w:rsid w:val="00D35773"/>
    <w:rsid w:val="00D3591A"/>
    <w:rsid w:val="00D3672B"/>
    <w:rsid w:val="00D3733C"/>
    <w:rsid w:val="00D375BE"/>
    <w:rsid w:val="00D37B43"/>
    <w:rsid w:val="00D4137D"/>
    <w:rsid w:val="00D41598"/>
    <w:rsid w:val="00D42AB1"/>
    <w:rsid w:val="00D4345C"/>
    <w:rsid w:val="00D436ED"/>
    <w:rsid w:val="00D43EA1"/>
    <w:rsid w:val="00D44B1F"/>
    <w:rsid w:val="00D46452"/>
    <w:rsid w:val="00D4673F"/>
    <w:rsid w:val="00D46C67"/>
    <w:rsid w:val="00D470D8"/>
    <w:rsid w:val="00D4716E"/>
    <w:rsid w:val="00D4743F"/>
    <w:rsid w:val="00D477D9"/>
    <w:rsid w:val="00D51748"/>
    <w:rsid w:val="00D51DA2"/>
    <w:rsid w:val="00D51FF5"/>
    <w:rsid w:val="00D52FA6"/>
    <w:rsid w:val="00D53800"/>
    <w:rsid w:val="00D54958"/>
    <w:rsid w:val="00D554E4"/>
    <w:rsid w:val="00D55C7D"/>
    <w:rsid w:val="00D55DE4"/>
    <w:rsid w:val="00D600AC"/>
    <w:rsid w:val="00D60369"/>
    <w:rsid w:val="00D60627"/>
    <w:rsid w:val="00D62055"/>
    <w:rsid w:val="00D6288F"/>
    <w:rsid w:val="00D6336E"/>
    <w:rsid w:val="00D63C61"/>
    <w:rsid w:val="00D64BA3"/>
    <w:rsid w:val="00D6717F"/>
    <w:rsid w:val="00D67945"/>
    <w:rsid w:val="00D7072A"/>
    <w:rsid w:val="00D71013"/>
    <w:rsid w:val="00D7164D"/>
    <w:rsid w:val="00D718AF"/>
    <w:rsid w:val="00D71C41"/>
    <w:rsid w:val="00D727FA"/>
    <w:rsid w:val="00D7308C"/>
    <w:rsid w:val="00D73BE5"/>
    <w:rsid w:val="00D74527"/>
    <w:rsid w:val="00D747C8"/>
    <w:rsid w:val="00D758BA"/>
    <w:rsid w:val="00D76693"/>
    <w:rsid w:val="00D7671D"/>
    <w:rsid w:val="00D76967"/>
    <w:rsid w:val="00D809D7"/>
    <w:rsid w:val="00D80B59"/>
    <w:rsid w:val="00D81195"/>
    <w:rsid w:val="00D81D71"/>
    <w:rsid w:val="00D82032"/>
    <w:rsid w:val="00D829FD"/>
    <w:rsid w:val="00D84BFD"/>
    <w:rsid w:val="00D85761"/>
    <w:rsid w:val="00D86B40"/>
    <w:rsid w:val="00D86F55"/>
    <w:rsid w:val="00D871FC"/>
    <w:rsid w:val="00D90F41"/>
    <w:rsid w:val="00D911D0"/>
    <w:rsid w:val="00D9137D"/>
    <w:rsid w:val="00D915D1"/>
    <w:rsid w:val="00D91899"/>
    <w:rsid w:val="00D91CEE"/>
    <w:rsid w:val="00D923BD"/>
    <w:rsid w:val="00D93770"/>
    <w:rsid w:val="00D9588D"/>
    <w:rsid w:val="00D95ACA"/>
    <w:rsid w:val="00D95AE6"/>
    <w:rsid w:val="00D9616A"/>
    <w:rsid w:val="00D96B9F"/>
    <w:rsid w:val="00D96BB6"/>
    <w:rsid w:val="00D96C3B"/>
    <w:rsid w:val="00D976B3"/>
    <w:rsid w:val="00DA066E"/>
    <w:rsid w:val="00DA0F42"/>
    <w:rsid w:val="00DA0F57"/>
    <w:rsid w:val="00DA17D0"/>
    <w:rsid w:val="00DA1D57"/>
    <w:rsid w:val="00DA1DC8"/>
    <w:rsid w:val="00DA27D6"/>
    <w:rsid w:val="00DA2BED"/>
    <w:rsid w:val="00DA3BD5"/>
    <w:rsid w:val="00DA4602"/>
    <w:rsid w:val="00DA476E"/>
    <w:rsid w:val="00DA4E04"/>
    <w:rsid w:val="00DA55AB"/>
    <w:rsid w:val="00DA5A80"/>
    <w:rsid w:val="00DA6747"/>
    <w:rsid w:val="00DA7A57"/>
    <w:rsid w:val="00DA7CD1"/>
    <w:rsid w:val="00DB083E"/>
    <w:rsid w:val="00DB0B36"/>
    <w:rsid w:val="00DB10B0"/>
    <w:rsid w:val="00DB1165"/>
    <w:rsid w:val="00DB116F"/>
    <w:rsid w:val="00DB1704"/>
    <w:rsid w:val="00DB1868"/>
    <w:rsid w:val="00DB2218"/>
    <w:rsid w:val="00DB2ABB"/>
    <w:rsid w:val="00DB3FFC"/>
    <w:rsid w:val="00DB4A72"/>
    <w:rsid w:val="00DB54AF"/>
    <w:rsid w:val="00DB5BEB"/>
    <w:rsid w:val="00DB5CBD"/>
    <w:rsid w:val="00DB5E81"/>
    <w:rsid w:val="00DB5F11"/>
    <w:rsid w:val="00DB69DB"/>
    <w:rsid w:val="00DB7003"/>
    <w:rsid w:val="00DB7BDB"/>
    <w:rsid w:val="00DC0114"/>
    <w:rsid w:val="00DC084E"/>
    <w:rsid w:val="00DC1676"/>
    <w:rsid w:val="00DC2790"/>
    <w:rsid w:val="00DC282B"/>
    <w:rsid w:val="00DC2E61"/>
    <w:rsid w:val="00DC3126"/>
    <w:rsid w:val="00DC334A"/>
    <w:rsid w:val="00DC39C5"/>
    <w:rsid w:val="00DC4C22"/>
    <w:rsid w:val="00DC4DC2"/>
    <w:rsid w:val="00DC6D63"/>
    <w:rsid w:val="00DC75B7"/>
    <w:rsid w:val="00DC7E50"/>
    <w:rsid w:val="00DD0116"/>
    <w:rsid w:val="00DD0579"/>
    <w:rsid w:val="00DD0FE0"/>
    <w:rsid w:val="00DD292B"/>
    <w:rsid w:val="00DD2FD3"/>
    <w:rsid w:val="00DD38C1"/>
    <w:rsid w:val="00DD4D82"/>
    <w:rsid w:val="00DD5476"/>
    <w:rsid w:val="00DD5777"/>
    <w:rsid w:val="00DE05D6"/>
    <w:rsid w:val="00DE05E9"/>
    <w:rsid w:val="00DE1BE8"/>
    <w:rsid w:val="00DE2128"/>
    <w:rsid w:val="00DE26F3"/>
    <w:rsid w:val="00DE2B44"/>
    <w:rsid w:val="00DE62DA"/>
    <w:rsid w:val="00DE7017"/>
    <w:rsid w:val="00DF0D30"/>
    <w:rsid w:val="00DF193E"/>
    <w:rsid w:val="00DF1F5D"/>
    <w:rsid w:val="00DF20B2"/>
    <w:rsid w:val="00DF2502"/>
    <w:rsid w:val="00DF2AD9"/>
    <w:rsid w:val="00DF60E4"/>
    <w:rsid w:val="00DF6541"/>
    <w:rsid w:val="00DF6575"/>
    <w:rsid w:val="00DF701D"/>
    <w:rsid w:val="00DF7DED"/>
    <w:rsid w:val="00E007E2"/>
    <w:rsid w:val="00E00C87"/>
    <w:rsid w:val="00E00D9F"/>
    <w:rsid w:val="00E01135"/>
    <w:rsid w:val="00E03ABC"/>
    <w:rsid w:val="00E04330"/>
    <w:rsid w:val="00E057AA"/>
    <w:rsid w:val="00E05CB0"/>
    <w:rsid w:val="00E06766"/>
    <w:rsid w:val="00E1018E"/>
    <w:rsid w:val="00E1106E"/>
    <w:rsid w:val="00E13E34"/>
    <w:rsid w:val="00E14DBB"/>
    <w:rsid w:val="00E1582F"/>
    <w:rsid w:val="00E16221"/>
    <w:rsid w:val="00E17CEC"/>
    <w:rsid w:val="00E209A9"/>
    <w:rsid w:val="00E21413"/>
    <w:rsid w:val="00E225FF"/>
    <w:rsid w:val="00E22C37"/>
    <w:rsid w:val="00E2445D"/>
    <w:rsid w:val="00E244C1"/>
    <w:rsid w:val="00E25D11"/>
    <w:rsid w:val="00E25E1E"/>
    <w:rsid w:val="00E260CA"/>
    <w:rsid w:val="00E26249"/>
    <w:rsid w:val="00E268AC"/>
    <w:rsid w:val="00E26F60"/>
    <w:rsid w:val="00E32F10"/>
    <w:rsid w:val="00E3338C"/>
    <w:rsid w:val="00E333FF"/>
    <w:rsid w:val="00E3392D"/>
    <w:rsid w:val="00E35A1F"/>
    <w:rsid w:val="00E408FB"/>
    <w:rsid w:val="00E41415"/>
    <w:rsid w:val="00E41430"/>
    <w:rsid w:val="00E427E5"/>
    <w:rsid w:val="00E4418B"/>
    <w:rsid w:val="00E4492A"/>
    <w:rsid w:val="00E45C6F"/>
    <w:rsid w:val="00E45EC1"/>
    <w:rsid w:val="00E469AB"/>
    <w:rsid w:val="00E501A1"/>
    <w:rsid w:val="00E51051"/>
    <w:rsid w:val="00E51780"/>
    <w:rsid w:val="00E52131"/>
    <w:rsid w:val="00E52374"/>
    <w:rsid w:val="00E5242D"/>
    <w:rsid w:val="00E5511C"/>
    <w:rsid w:val="00E553CC"/>
    <w:rsid w:val="00E55929"/>
    <w:rsid w:val="00E5604A"/>
    <w:rsid w:val="00E569BB"/>
    <w:rsid w:val="00E56C33"/>
    <w:rsid w:val="00E60059"/>
    <w:rsid w:val="00E60509"/>
    <w:rsid w:val="00E60664"/>
    <w:rsid w:val="00E61643"/>
    <w:rsid w:val="00E6240E"/>
    <w:rsid w:val="00E626BF"/>
    <w:rsid w:val="00E63115"/>
    <w:rsid w:val="00E64573"/>
    <w:rsid w:val="00E6497C"/>
    <w:rsid w:val="00E64CF9"/>
    <w:rsid w:val="00E6512E"/>
    <w:rsid w:val="00E65FF7"/>
    <w:rsid w:val="00E67A8C"/>
    <w:rsid w:val="00E70179"/>
    <w:rsid w:val="00E719A8"/>
    <w:rsid w:val="00E72088"/>
    <w:rsid w:val="00E7283A"/>
    <w:rsid w:val="00E741D9"/>
    <w:rsid w:val="00E7462D"/>
    <w:rsid w:val="00E7762F"/>
    <w:rsid w:val="00E77E7D"/>
    <w:rsid w:val="00E805DB"/>
    <w:rsid w:val="00E8082B"/>
    <w:rsid w:val="00E80C7C"/>
    <w:rsid w:val="00E81123"/>
    <w:rsid w:val="00E81FCA"/>
    <w:rsid w:val="00E83164"/>
    <w:rsid w:val="00E832B9"/>
    <w:rsid w:val="00E832FC"/>
    <w:rsid w:val="00E83C90"/>
    <w:rsid w:val="00E84982"/>
    <w:rsid w:val="00E84DD6"/>
    <w:rsid w:val="00E85F32"/>
    <w:rsid w:val="00E8775B"/>
    <w:rsid w:val="00E90C82"/>
    <w:rsid w:val="00E90DCF"/>
    <w:rsid w:val="00E92DC1"/>
    <w:rsid w:val="00E947D0"/>
    <w:rsid w:val="00E949EC"/>
    <w:rsid w:val="00E96C03"/>
    <w:rsid w:val="00E9776B"/>
    <w:rsid w:val="00EA105D"/>
    <w:rsid w:val="00EA1EF7"/>
    <w:rsid w:val="00EA230D"/>
    <w:rsid w:val="00EA29CC"/>
    <w:rsid w:val="00EA2A0A"/>
    <w:rsid w:val="00EA2FE0"/>
    <w:rsid w:val="00EA333F"/>
    <w:rsid w:val="00EA3D4C"/>
    <w:rsid w:val="00EA5184"/>
    <w:rsid w:val="00EA6365"/>
    <w:rsid w:val="00EA78C6"/>
    <w:rsid w:val="00EB13D3"/>
    <w:rsid w:val="00EB1821"/>
    <w:rsid w:val="00EB2AC7"/>
    <w:rsid w:val="00EB522C"/>
    <w:rsid w:val="00EB553B"/>
    <w:rsid w:val="00EB6B9E"/>
    <w:rsid w:val="00EB73EB"/>
    <w:rsid w:val="00EB7D92"/>
    <w:rsid w:val="00EC0C81"/>
    <w:rsid w:val="00EC2446"/>
    <w:rsid w:val="00EC2AC6"/>
    <w:rsid w:val="00EC3311"/>
    <w:rsid w:val="00EC5C3B"/>
    <w:rsid w:val="00EC64BC"/>
    <w:rsid w:val="00EC7CEF"/>
    <w:rsid w:val="00ED0646"/>
    <w:rsid w:val="00ED0700"/>
    <w:rsid w:val="00ED106B"/>
    <w:rsid w:val="00ED3C66"/>
    <w:rsid w:val="00ED3DAB"/>
    <w:rsid w:val="00ED4166"/>
    <w:rsid w:val="00ED49CE"/>
    <w:rsid w:val="00ED50FE"/>
    <w:rsid w:val="00ED679B"/>
    <w:rsid w:val="00ED6841"/>
    <w:rsid w:val="00ED6A9F"/>
    <w:rsid w:val="00ED7C3E"/>
    <w:rsid w:val="00ED7C91"/>
    <w:rsid w:val="00EE1883"/>
    <w:rsid w:val="00EE192B"/>
    <w:rsid w:val="00EE21A7"/>
    <w:rsid w:val="00EE4827"/>
    <w:rsid w:val="00EE4D92"/>
    <w:rsid w:val="00EE7DCC"/>
    <w:rsid w:val="00EF036E"/>
    <w:rsid w:val="00EF0E81"/>
    <w:rsid w:val="00EF0F57"/>
    <w:rsid w:val="00EF115F"/>
    <w:rsid w:val="00EF16C6"/>
    <w:rsid w:val="00EF1D0A"/>
    <w:rsid w:val="00EF1E34"/>
    <w:rsid w:val="00EF28B7"/>
    <w:rsid w:val="00EF3A42"/>
    <w:rsid w:val="00EF4111"/>
    <w:rsid w:val="00EF4B4B"/>
    <w:rsid w:val="00EF5227"/>
    <w:rsid w:val="00EF5243"/>
    <w:rsid w:val="00EF54F4"/>
    <w:rsid w:val="00F00B2D"/>
    <w:rsid w:val="00F00C39"/>
    <w:rsid w:val="00F014B6"/>
    <w:rsid w:val="00F01907"/>
    <w:rsid w:val="00F03A15"/>
    <w:rsid w:val="00F03E69"/>
    <w:rsid w:val="00F04DEE"/>
    <w:rsid w:val="00F066DA"/>
    <w:rsid w:val="00F1042E"/>
    <w:rsid w:val="00F10637"/>
    <w:rsid w:val="00F11C2B"/>
    <w:rsid w:val="00F123EE"/>
    <w:rsid w:val="00F12A37"/>
    <w:rsid w:val="00F13709"/>
    <w:rsid w:val="00F15E0B"/>
    <w:rsid w:val="00F16732"/>
    <w:rsid w:val="00F16B31"/>
    <w:rsid w:val="00F16BDF"/>
    <w:rsid w:val="00F1741B"/>
    <w:rsid w:val="00F17688"/>
    <w:rsid w:val="00F2081D"/>
    <w:rsid w:val="00F20C3C"/>
    <w:rsid w:val="00F21B0F"/>
    <w:rsid w:val="00F21C3A"/>
    <w:rsid w:val="00F21D02"/>
    <w:rsid w:val="00F2234A"/>
    <w:rsid w:val="00F22ED1"/>
    <w:rsid w:val="00F248BA"/>
    <w:rsid w:val="00F25255"/>
    <w:rsid w:val="00F25682"/>
    <w:rsid w:val="00F27F28"/>
    <w:rsid w:val="00F27F35"/>
    <w:rsid w:val="00F30D40"/>
    <w:rsid w:val="00F31157"/>
    <w:rsid w:val="00F31648"/>
    <w:rsid w:val="00F32C89"/>
    <w:rsid w:val="00F32D92"/>
    <w:rsid w:val="00F33022"/>
    <w:rsid w:val="00F330EB"/>
    <w:rsid w:val="00F332AB"/>
    <w:rsid w:val="00F332C0"/>
    <w:rsid w:val="00F33318"/>
    <w:rsid w:val="00F34927"/>
    <w:rsid w:val="00F35115"/>
    <w:rsid w:val="00F3633F"/>
    <w:rsid w:val="00F374B5"/>
    <w:rsid w:val="00F37ACF"/>
    <w:rsid w:val="00F37E02"/>
    <w:rsid w:val="00F37FBE"/>
    <w:rsid w:val="00F41260"/>
    <w:rsid w:val="00F41B8B"/>
    <w:rsid w:val="00F43575"/>
    <w:rsid w:val="00F44579"/>
    <w:rsid w:val="00F448CE"/>
    <w:rsid w:val="00F4493C"/>
    <w:rsid w:val="00F46EE4"/>
    <w:rsid w:val="00F47FDD"/>
    <w:rsid w:val="00F51231"/>
    <w:rsid w:val="00F51AAB"/>
    <w:rsid w:val="00F51AB2"/>
    <w:rsid w:val="00F51D62"/>
    <w:rsid w:val="00F527EC"/>
    <w:rsid w:val="00F52C7F"/>
    <w:rsid w:val="00F533E2"/>
    <w:rsid w:val="00F53BA4"/>
    <w:rsid w:val="00F547C4"/>
    <w:rsid w:val="00F552D8"/>
    <w:rsid w:val="00F55570"/>
    <w:rsid w:val="00F5585F"/>
    <w:rsid w:val="00F56071"/>
    <w:rsid w:val="00F564BC"/>
    <w:rsid w:val="00F56C06"/>
    <w:rsid w:val="00F56EC6"/>
    <w:rsid w:val="00F600C0"/>
    <w:rsid w:val="00F60306"/>
    <w:rsid w:val="00F616CC"/>
    <w:rsid w:val="00F62EAB"/>
    <w:rsid w:val="00F63C52"/>
    <w:rsid w:val="00F6468C"/>
    <w:rsid w:val="00F66998"/>
    <w:rsid w:val="00F67391"/>
    <w:rsid w:val="00F708B0"/>
    <w:rsid w:val="00F71342"/>
    <w:rsid w:val="00F7286E"/>
    <w:rsid w:val="00F7322F"/>
    <w:rsid w:val="00F732D7"/>
    <w:rsid w:val="00F7343A"/>
    <w:rsid w:val="00F7413F"/>
    <w:rsid w:val="00F74ADA"/>
    <w:rsid w:val="00F75DBC"/>
    <w:rsid w:val="00F761CB"/>
    <w:rsid w:val="00F76596"/>
    <w:rsid w:val="00F77C7B"/>
    <w:rsid w:val="00F810D5"/>
    <w:rsid w:val="00F815D0"/>
    <w:rsid w:val="00F81F0C"/>
    <w:rsid w:val="00F82A56"/>
    <w:rsid w:val="00F82D53"/>
    <w:rsid w:val="00F8323B"/>
    <w:rsid w:val="00F836BF"/>
    <w:rsid w:val="00F83B6F"/>
    <w:rsid w:val="00F83CB1"/>
    <w:rsid w:val="00F8404E"/>
    <w:rsid w:val="00F8464E"/>
    <w:rsid w:val="00F846C4"/>
    <w:rsid w:val="00F84A48"/>
    <w:rsid w:val="00F851B3"/>
    <w:rsid w:val="00F85414"/>
    <w:rsid w:val="00F856F7"/>
    <w:rsid w:val="00F90876"/>
    <w:rsid w:val="00F90D84"/>
    <w:rsid w:val="00F92E92"/>
    <w:rsid w:val="00F9544F"/>
    <w:rsid w:val="00F95469"/>
    <w:rsid w:val="00F95C1D"/>
    <w:rsid w:val="00F96203"/>
    <w:rsid w:val="00F9666A"/>
    <w:rsid w:val="00F96873"/>
    <w:rsid w:val="00F96BC3"/>
    <w:rsid w:val="00F96CAF"/>
    <w:rsid w:val="00F97AD0"/>
    <w:rsid w:val="00FA0694"/>
    <w:rsid w:val="00FA1731"/>
    <w:rsid w:val="00FA1814"/>
    <w:rsid w:val="00FA2681"/>
    <w:rsid w:val="00FA284D"/>
    <w:rsid w:val="00FA49F5"/>
    <w:rsid w:val="00FA4F50"/>
    <w:rsid w:val="00FA6292"/>
    <w:rsid w:val="00FA672C"/>
    <w:rsid w:val="00FA7A22"/>
    <w:rsid w:val="00FB2E2C"/>
    <w:rsid w:val="00FB392C"/>
    <w:rsid w:val="00FB3AEA"/>
    <w:rsid w:val="00FB3D21"/>
    <w:rsid w:val="00FB3F35"/>
    <w:rsid w:val="00FB4579"/>
    <w:rsid w:val="00FB46E0"/>
    <w:rsid w:val="00FB48D3"/>
    <w:rsid w:val="00FB6754"/>
    <w:rsid w:val="00FB691D"/>
    <w:rsid w:val="00FB7639"/>
    <w:rsid w:val="00FC174F"/>
    <w:rsid w:val="00FC1CD4"/>
    <w:rsid w:val="00FC2414"/>
    <w:rsid w:val="00FC3307"/>
    <w:rsid w:val="00FC3ADA"/>
    <w:rsid w:val="00FC585E"/>
    <w:rsid w:val="00FC5E32"/>
    <w:rsid w:val="00FC641B"/>
    <w:rsid w:val="00FC6DBB"/>
    <w:rsid w:val="00FC7865"/>
    <w:rsid w:val="00FC79F4"/>
    <w:rsid w:val="00FD0691"/>
    <w:rsid w:val="00FD48B8"/>
    <w:rsid w:val="00FD49FC"/>
    <w:rsid w:val="00FD4DC0"/>
    <w:rsid w:val="00FD588E"/>
    <w:rsid w:val="00FD7BF8"/>
    <w:rsid w:val="00FE08D8"/>
    <w:rsid w:val="00FE0FFA"/>
    <w:rsid w:val="00FE1AA9"/>
    <w:rsid w:val="00FE1E6E"/>
    <w:rsid w:val="00FE1F30"/>
    <w:rsid w:val="00FE226E"/>
    <w:rsid w:val="00FE2966"/>
    <w:rsid w:val="00FE4ED1"/>
    <w:rsid w:val="00FE55A6"/>
    <w:rsid w:val="00FF1C58"/>
    <w:rsid w:val="00FF2136"/>
    <w:rsid w:val="00FF3B17"/>
    <w:rsid w:val="00FF3F36"/>
    <w:rsid w:val="00FF4C9C"/>
    <w:rsid w:val="00FF561C"/>
    <w:rsid w:val="00FF69EA"/>
    <w:rsid w:val="00FF7558"/>
    <w:rsid w:val="017108B4"/>
    <w:rsid w:val="036D4955"/>
    <w:rsid w:val="068143C3"/>
    <w:rsid w:val="08272848"/>
    <w:rsid w:val="083F6B81"/>
    <w:rsid w:val="09875631"/>
    <w:rsid w:val="0B914A44"/>
    <w:rsid w:val="0C4B5B9B"/>
    <w:rsid w:val="10B93F8A"/>
    <w:rsid w:val="11780114"/>
    <w:rsid w:val="13CC5710"/>
    <w:rsid w:val="13F40C53"/>
    <w:rsid w:val="141E66ED"/>
    <w:rsid w:val="17957B34"/>
    <w:rsid w:val="17D45346"/>
    <w:rsid w:val="190A5359"/>
    <w:rsid w:val="19962A83"/>
    <w:rsid w:val="1AC728F0"/>
    <w:rsid w:val="1B791434"/>
    <w:rsid w:val="1D43162C"/>
    <w:rsid w:val="1E823B12"/>
    <w:rsid w:val="205C753C"/>
    <w:rsid w:val="229A7C18"/>
    <w:rsid w:val="237B3B1F"/>
    <w:rsid w:val="268B3850"/>
    <w:rsid w:val="26E34270"/>
    <w:rsid w:val="281374FF"/>
    <w:rsid w:val="288B5007"/>
    <w:rsid w:val="293D3271"/>
    <w:rsid w:val="2C106681"/>
    <w:rsid w:val="2D9B6232"/>
    <w:rsid w:val="2DDA5F38"/>
    <w:rsid w:val="2ECB63FA"/>
    <w:rsid w:val="30173B00"/>
    <w:rsid w:val="317B3473"/>
    <w:rsid w:val="31C24ED1"/>
    <w:rsid w:val="31E419E2"/>
    <w:rsid w:val="32704FC8"/>
    <w:rsid w:val="337D64DA"/>
    <w:rsid w:val="34A73C69"/>
    <w:rsid w:val="34E427CC"/>
    <w:rsid w:val="355F70DE"/>
    <w:rsid w:val="38FC08E3"/>
    <w:rsid w:val="3C923326"/>
    <w:rsid w:val="3CFD1536"/>
    <w:rsid w:val="3EB20A43"/>
    <w:rsid w:val="415D6869"/>
    <w:rsid w:val="42FA6F56"/>
    <w:rsid w:val="439433B3"/>
    <w:rsid w:val="44761154"/>
    <w:rsid w:val="46C27F49"/>
    <w:rsid w:val="48446F0D"/>
    <w:rsid w:val="4A267727"/>
    <w:rsid w:val="4AA21D43"/>
    <w:rsid w:val="4D9C5BCF"/>
    <w:rsid w:val="4E603935"/>
    <w:rsid w:val="4FD06B5A"/>
    <w:rsid w:val="52A6615F"/>
    <w:rsid w:val="54562A07"/>
    <w:rsid w:val="561D4816"/>
    <w:rsid w:val="56F646BE"/>
    <w:rsid w:val="5A093E86"/>
    <w:rsid w:val="5AF65CD0"/>
    <w:rsid w:val="5D632B12"/>
    <w:rsid w:val="5D922A62"/>
    <w:rsid w:val="5EC92E6D"/>
    <w:rsid w:val="5FC67AC5"/>
    <w:rsid w:val="605118B5"/>
    <w:rsid w:val="614B52C1"/>
    <w:rsid w:val="61E664C3"/>
    <w:rsid w:val="621D4A46"/>
    <w:rsid w:val="641A12FB"/>
    <w:rsid w:val="64CB0E57"/>
    <w:rsid w:val="66D34FC8"/>
    <w:rsid w:val="66E029BD"/>
    <w:rsid w:val="6952226E"/>
    <w:rsid w:val="69D95F28"/>
    <w:rsid w:val="6ADA4D57"/>
    <w:rsid w:val="6B6557BA"/>
    <w:rsid w:val="6BA374C2"/>
    <w:rsid w:val="6C223665"/>
    <w:rsid w:val="6DBA2A53"/>
    <w:rsid w:val="6E4277DA"/>
    <w:rsid w:val="6E5D15A7"/>
    <w:rsid w:val="6E7E5B8E"/>
    <w:rsid w:val="6F593C09"/>
    <w:rsid w:val="6F6463BF"/>
    <w:rsid w:val="6F851941"/>
    <w:rsid w:val="70453DFD"/>
    <w:rsid w:val="73FF006F"/>
    <w:rsid w:val="74E512C2"/>
    <w:rsid w:val="74E542B4"/>
    <w:rsid w:val="76AB476E"/>
    <w:rsid w:val="776579FD"/>
    <w:rsid w:val="78380107"/>
    <w:rsid w:val="787B14DB"/>
    <w:rsid w:val="79004D30"/>
    <w:rsid w:val="7D92461E"/>
    <w:rsid w:val="7DCA1B6C"/>
    <w:rsid w:val="7E4C108D"/>
    <w:rsid w:val="7EA96C28"/>
    <w:rsid w:val="7EFF0651"/>
    <w:rsid w:val="7F3D303B"/>
    <w:rsid w:val="7FC43801"/>
    <w:rsid w:val="BA7B23C6"/>
    <w:rsid w:val="EFEC8630"/>
    <w:rsid w:val="FE7348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link w:val="30"/>
    <w:qFormat/>
    <w:uiPriority w:val="99"/>
    <w:pPr>
      <w:pageBreakBefore/>
      <w:widowControl w:val="0"/>
      <w:spacing w:beforeLines="50" w:afterLines="50" w:line="240" w:lineRule="auto"/>
      <w:ind w:firstLine="0" w:firstLineChars="0"/>
      <w:jc w:val="center"/>
      <w:outlineLvl w:val="0"/>
    </w:pPr>
    <w:rPr>
      <w:rFonts w:ascii="Calibri Light" w:hAnsi="Calibri Light" w:eastAsia="宋体"/>
      <w:bCs/>
      <w:szCs w:val="32"/>
    </w:rPr>
  </w:style>
  <w:style w:type="paragraph" w:styleId="3">
    <w:name w:val="heading 2"/>
    <w:basedOn w:val="1"/>
    <w:next w:val="1"/>
    <w:link w:val="31"/>
    <w:qFormat/>
    <w:uiPriority w:val="99"/>
    <w:pPr>
      <w:keepNext/>
      <w:keepLines/>
      <w:spacing w:beforeLines="50" w:afterLines="50"/>
      <w:ind w:firstLine="0" w:firstLineChars="0"/>
      <w:jc w:val="center"/>
      <w:outlineLvl w:val="1"/>
    </w:pPr>
    <w:rPr>
      <w:rFonts w:ascii="Calibri Light" w:hAnsi="Calibri Light" w:eastAsia="楷体"/>
      <w:b/>
      <w:bCs/>
      <w:szCs w:val="32"/>
    </w:rPr>
  </w:style>
  <w:style w:type="paragraph" w:styleId="4">
    <w:name w:val="heading 3"/>
    <w:basedOn w:val="1"/>
    <w:next w:val="1"/>
    <w:link w:val="32"/>
    <w:qFormat/>
    <w:uiPriority w:val="99"/>
    <w:pPr>
      <w:keepNext/>
      <w:keepLines/>
      <w:spacing w:afterLines="50"/>
      <w:outlineLvl w:val="2"/>
    </w:pPr>
    <w:rPr>
      <w:rFonts w:eastAsia="黑体"/>
      <w:bCs/>
      <w:szCs w:val="32"/>
    </w:rPr>
  </w:style>
  <w:style w:type="paragraph" w:styleId="5">
    <w:name w:val="heading 4"/>
    <w:basedOn w:val="1"/>
    <w:next w:val="1"/>
    <w:link w:val="33"/>
    <w:qFormat/>
    <w:uiPriority w:val="99"/>
    <w:pPr>
      <w:keepNext/>
      <w:keepLines/>
      <w:spacing w:before="280" w:after="290" w:line="376" w:lineRule="auto"/>
      <w:outlineLvl w:val="3"/>
    </w:pPr>
    <w:rPr>
      <w:rFonts w:ascii="Calibri Light" w:hAnsi="Calibri Light" w:eastAsia="宋体"/>
      <w:b/>
      <w:bCs/>
      <w:kern w:val="0"/>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99"/>
    <w:pPr>
      <w:widowControl w:val="0"/>
      <w:ind w:left="2520" w:leftChars="1200"/>
    </w:pPr>
  </w:style>
  <w:style w:type="paragraph" w:styleId="7">
    <w:name w:val="annotation text"/>
    <w:basedOn w:val="1"/>
    <w:link w:val="34"/>
    <w:qFormat/>
    <w:uiPriority w:val="99"/>
    <w:pPr>
      <w:widowControl w:val="0"/>
    </w:pPr>
    <w:rPr>
      <w:rFonts w:ascii="Calibri" w:hAnsi="Calibri" w:eastAsia="宋体"/>
      <w:kern w:val="0"/>
      <w:sz w:val="20"/>
      <w:szCs w:val="20"/>
    </w:rPr>
  </w:style>
  <w:style w:type="paragraph" w:styleId="8">
    <w:name w:val="Body Text"/>
    <w:basedOn w:val="1"/>
    <w:link w:val="35"/>
    <w:qFormat/>
    <w:uiPriority w:val="99"/>
    <w:pPr>
      <w:widowControl w:val="0"/>
      <w:spacing w:after="120" w:line="600" w:lineRule="exact"/>
      <w:ind w:firstLine="1124"/>
    </w:pPr>
    <w:rPr>
      <w:rFonts w:ascii="Calibri" w:hAnsi="Calibri"/>
      <w:kern w:val="0"/>
      <w:sz w:val="24"/>
      <w:szCs w:val="24"/>
    </w:rPr>
  </w:style>
  <w:style w:type="paragraph" w:styleId="9">
    <w:name w:val="toc 5"/>
    <w:basedOn w:val="1"/>
    <w:next w:val="1"/>
    <w:qFormat/>
    <w:uiPriority w:val="99"/>
    <w:pPr>
      <w:widowControl w:val="0"/>
      <w:ind w:left="1680" w:leftChars="800"/>
    </w:pPr>
  </w:style>
  <w:style w:type="paragraph" w:styleId="10">
    <w:name w:val="toc 3"/>
    <w:basedOn w:val="1"/>
    <w:next w:val="1"/>
    <w:qFormat/>
    <w:uiPriority w:val="99"/>
    <w:pPr>
      <w:tabs>
        <w:tab w:val="right" w:leader="dot" w:pos="8296"/>
      </w:tabs>
      <w:spacing w:line="240" w:lineRule="auto"/>
      <w:ind w:left="265" w:leftChars="265" w:firstLine="89" w:firstLineChars="89"/>
    </w:pPr>
    <w:rPr>
      <w:sz w:val="28"/>
    </w:rPr>
  </w:style>
  <w:style w:type="paragraph" w:styleId="11">
    <w:name w:val="toc 8"/>
    <w:basedOn w:val="1"/>
    <w:next w:val="1"/>
    <w:qFormat/>
    <w:uiPriority w:val="99"/>
    <w:pPr>
      <w:widowControl w:val="0"/>
      <w:ind w:left="2940" w:leftChars="1400"/>
    </w:pPr>
  </w:style>
  <w:style w:type="paragraph" w:styleId="12">
    <w:name w:val="Body Text Indent 2"/>
    <w:basedOn w:val="1"/>
    <w:link w:val="36"/>
    <w:qFormat/>
    <w:uiPriority w:val="99"/>
    <w:pPr>
      <w:widowControl w:val="0"/>
      <w:spacing w:after="120" w:line="480" w:lineRule="auto"/>
      <w:ind w:left="420" w:leftChars="200"/>
    </w:pPr>
    <w:rPr>
      <w:rFonts w:ascii="Calibri" w:hAnsi="Calibri" w:eastAsia="宋体"/>
      <w:kern w:val="0"/>
      <w:sz w:val="20"/>
      <w:szCs w:val="20"/>
    </w:rPr>
  </w:style>
  <w:style w:type="paragraph" w:styleId="13">
    <w:name w:val="Balloon Text"/>
    <w:basedOn w:val="1"/>
    <w:link w:val="37"/>
    <w:semiHidden/>
    <w:qFormat/>
    <w:uiPriority w:val="99"/>
    <w:rPr>
      <w:rFonts w:ascii="Calibri" w:hAnsi="Calibri" w:eastAsia="宋体"/>
      <w:kern w:val="0"/>
      <w:sz w:val="18"/>
      <w:szCs w:val="18"/>
    </w:rPr>
  </w:style>
  <w:style w:type="paragraph" w:styleId="14">
    <w:name w:val="footer"/>
    <w:basedOn w:val="1"/>
    <w:link w:val="38"/>
    <w:qFormat/>
    <w:uiPriority w:val="99"/>
    <w:pPr>
      <w:tabs>
        <w:tab w:val="center" w:pos="4153"/>
        <w:tab w:val="right" w:pos="8306"/>
      </w:tabs>
      <w:snapToGrid w:val="0"/>
    </w:pPr>
    <w:rPr>
      <w:rFonts w:ascii="Calibri" w:hAnsi="Calibri" w:eastAsia="宋体"/>
      <w:kern w:val="0"/>
      <w:sz w:val="18"/>
      <w:szCs w:val="18"/>
    </w:rPr>
  </w:style>
  <w:style w:type="paragraph" w:styleId="15">
    <w:name w:val="header"/>
    <w:basedOn w:val="1"/>
    <w:link w:val="39"/>
    <w:qFormat/>
    <w:uiPriority w:val="99"/>
    <w:pPr>
      <w:pBdr>
        <w:bottom w:val="single" w:color="auto" w:sz="6" w:space="1"/>
      </w:pBdr>
      <w:tabs>
        <w:tab w:val="center" w:pos="4153"/>
        <w:tab w:val="right" w:pos="8306"/>
      </w:tabs>
      <w:snapToGrid w:val="0"/>
      <w:jc w:val="center"/>
    </w:pPr>
    <w:rPr>
      <w:rFonts w:ascii="Calibri" w:hAnsi="Calibri" w:eastAsia="宋体"/>
      <w:kern w:val="0"/>
      <w:sz w:val="18"/>
      <w:szCs w:val="18"/>
    </w:rPr>
  </w:style>
  <w:style w:type="paragraph" w:styleId="16">
    <w:name w:val="toc 1"/>
    <w:basedOn w:val="1"/>
    <w:next w:val="1"/>
    <w:qFormat/>
    <w:uiPriority w:val="99"/>
    <w:pPr>
      <w:tabs>
        <w:tab w:val="right" w:leader="dot" w:pos="8296"/>
      </w:tabs>
      <w:spacing w:line="240" w:lineRule="auto"/>
      <w:ind w:firstLine="0" w:firstLineChars="0"/>
    </w:pPr>
    <w:rPr>
      <w:rFonts w:eastAsia="宋体"/>
      <w:bCs/>
    </w:rPr>
  </w:style>
  <w:style w:type="paragraph" w:styleId="17">
    <w:name w:val="toc 4"/>
    <w:basedOn w:val="1"/>
    <w:next w:val="1"/>
    <w:qFormat/>
    <w:uiPriority w:val="99"/>
    <w:pPr>
      <w:widowControl w:val="0"/>
      <w:ind w:left="1260" w:leftChars="600"/>
    </w:pPr>
  </w:style>
  <w:style w:type="paragraph" w:styleId="18">
    <w:name w:val="toc 6"/>
    <w:basedOn w:val="1"/>
    <w:next w:val="1"/>
    <w:qFormat/>
    <w:uiPriority w:val="99"/>
    <w:pPr>
      <w:widowControl w:val="0"/>
      <w:ind w:left="2100" w:leftChars="1000"/>
    </w:pPr>
  </w:style>
  <w:style w:type="paragraph" w:styleId="19">
    <w:name w:val="toc 2"/>
    <w:basedOn w:val="1"/>
    <w:next w:val="1"/>
    <w:qFormat/>
    <w:uiPriority w:val="99"/>
    <w:pPr>
      <w:tabs>
        <w:tab w:val="right" w:leader="dot" w:pos="8296"/>
      </w:tabs>
      <w:spacing w:line="240" w:lineRule="auto"/>
      <w:ind w:left="88" w:leftChars="88" w:firstLine="89" w:firstLineChars="89"/>
    </w:pPr>
    <w:rPr>
      <w:rFonts w:eastAsia="黑体"/>
      <w:sz w:val="30"/>
    </w:rPr>
  </w:style>
  <w:style w:type="paragraph" w:styleId="20">
    <w:name w:val="toc 9"/>
    <w:basedOn w:val="1"/>
    <w:next w:val="1"/>
    <w:qFormat/>
    <w:uiPriority w:val="99"/>
    <w:pPr>
      <w:widowControl w:val="0"/>
      <w:ind w:left="3360" w:leftChars="1600"/>
    </w:pPr>
  </w:style>
  <w:style w:type="paragraph" w:styleId="21">
    <w:name w:val="Normal (Web)"/>
    <w:basedOn w:val="1"/>
    <w:qFormat/>
    <w:uiPriority w:val="99"/>
    <w:pPr>
      <w:spacing w:before="100" w:beforeAutospacing="1" w:after="100" w:afterAutospacing="1"/>
    </w:pPr>
    <w:rPr>
      <w:rFonts w:ascii="宋体" w:hAnsi="宋体" w:eastAsia="宋体" w:cs="宋体"/>
      <w:kern w:val="0"/>
      <w:sz w:val="24"/>
      <w:szCs w:val="24"/>
    </w:rPr>
  </w:style>
  <w:style w:type="paragraph" w:styleId="22">
    <w:name w:val="annotation subject"/>
    <w:basedOn w:val="7"/>
    <w:next w:val="7"/>
    <w:link w:val="40"/>
    <w:semiHidden/>
    <w:qFormat/>
    <w:uiPriority w:val="99"/>
    <w:pPr>
      <w:spacing w:line="600" w:lineRule="exact"/>
      <w:ind w:firstLine="1124"/>
    </w:pPr>
    <w:rPr>
      <w:b/>
      <w:bCs/>
      <w:sz w:val="24"/>
      <w:szCs w:val="24"/>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99"/>
    <w:rPr>
      <w:rFonts w:eastAsia="楷体" w:cs="Times New Roman"/>
      <w:b/>
      <w:sz w:val="32"/>
    </w:rPr>
  </w:style>
  <w:style w:type="character" w:styleId="27">
    <w:name w:val="Emphasis"/>
    <w:qFormat/>
    <w:uiPriority w:val="99"/>
    <w:rPr>
      <w:rFonts w:cs="Times New Roman"/>
      <w:i/>
    </w:rPr>
  </w:style>
  <w:style w:type="character" w:styleId="28">
    <w:name w:val="Hyperlink"/>
    <w:qFormat/>
    <w:uiPriority w:val="99"/>
    <w:rPr>
      <w:rFonts w:cs="Times New Roman"/>
      <w:color w:val="0563C1"/>
      <w:u w:val="single"/>
    </w:rPr>
  </w:style>
  <w:style w:type="character" w:styleId="29">
    <w:name w:val="annotation reference"/>
    <w:semiHidden/>
    <w:qFormat/>
    <w:uiPriority w:val="99"/>
    <w:rPr>
      <w:rFonts w:cs="Times New Roman"/>
      <w:sz w:val="21"/>
    </w:rPr>
  </w:style>
  <w:style w:type="character" w:customStyle="1" w:styleId="30">
    <w:name w:val="标题 1 字符"/>
    <w:link w:val="2"/>
    <w:qFormat/>
    <w:locked/>
    <w:uiPriority w:val="99"/>
    <w:rPr>
      <w:rFonts w:ascii="Calibri Light" w:hAnsi="Calibri Light" w:cs="Times New Roman"/>
      <w:kern w:val="2"/>
      <w:sz w:val="32"/>
      <w:lang w:val="en-US" w:eastAsia="zh-CN"/>
    </w:rPr>
  </w:style>
  <w:style w:type="character" w:customStyle="1" w:styleId="31">
    <w:name w:val="标题 2 字符"/>
    <w:link w:val="3"/>
    <w:qFormat/>
    <w:locked/>
    <w:uiPriority w:val="99"/>
    <w:rPr>
      <w:rFonts w:ascii="Calibri Light" w:hAnsi="Calibri Light" w:eastAsia="楷体" w:cs="Times New Roman"/>
      <w:b/>
      <w:kern w:val="2"/>
      <w:sz w:val="32"/>
      <w:lang w:val="en-US" w:eastAsia="zh-CN"/>
    </w:rPr>
  </w:style>
  <w:style w:type="character" w:customStyle="1" w:styleId="32">
    <w:name w:val="标题 3 字符"/>
    <w:link w:val="4"/>
    <w:qFormat/>
    <w:locked/>
    <w:uiPriority w:val="99"/>
    <w:rPr>
      <w:rFonts w:ascii="Times New Roman" w:hAnsi="Times New Roman" w:eastAsia="黑体" w:cs="Times New Roman"/>
      <w:kern w:val="2"/>
      <w:sz w:val="32"/>
    </w:rPr>
  </w:style>
  <w:style w:type="character" w:customStyle="1" w:styleId="33">
    <w:name w:val="标题 4 字符"/>
    <w:link w:val="5"/>
    <w:qFormat/>
    <w:locked/>
    <w:uiPriority w:val="99"/>
    <w:rPr>
      <w:rFonts w:ascii="Calibri Light" w:hAnsi="Calibri Light" w:eastAsia="宋体" w:cs="Times New Roman"/>
      <w:b/>
      <w:sz w:val="28"/>
    </w:rPr>
  </w:style>
  <w:style w:type="character" w:customStyle="1" w:styleId="34">
    <w:name w:val="批注文字 字符"/>
    <w:link w:val="7"/>
    <w:qFormat/>
    <w:locked/>
    <w:uiPriority w:val="99"/>
    <w:rPr>
      <w:rFonts w:cs="Times New Roman"/>
    </w:rPr>
  </w:style>
  <w:style w:type="character" w:customStyle="1" w:styleId="35">
    <w:name w:val="正文文本 字符"/>
    <w:link w:val="8"/>
    <w:qFormat/>
    <w:locked/>
    <w:uiPriority w:val="99"/>
    <w:rPr>
      <w:rFonts w:ascii="Calibri" w:hAnsi="Calibri" w:eastAsia="仿宋_GB2312" w:cs="Times New Roman"/>
      <w:kern w:val="0"/>
      <w:sz w:val="24"/>
    </w:rPr>
  </w:style>
  <w:style w:type="character" w:customStyle="1" w:styleId="36">
    <w:name w:val="正文文本缩进 2 字符"/>
    <w:link w:val="12"/>
    <w:qFormat/>
    <w:locked/>
    <w:uiPriority w:val="99"/>
    <w:rPr>
      <w:rFonts w:cs="Times New Roman"/>
    </w:rPr>
  </w:style>
  <w:style w:type="character" w:customStyle="1" w:styleId="37">
    <w:name w:val="批注框文本 字符"/>
    <w:link w:val="13"/>
    <w:semiHidden/>
    <w:qFormat/>
    <w:locked/>
    <w:uiPriority w:val="99"/>
    <w:rPr>
      <w:rFonts w:cs="Times New Roman"/>
      <w:sz w:val="18"/>
    </w:rPr>
  </w:style>
  <w:style w:type="character" w:customStyle="1" w:styleId="38">
    <w:name w:val="页脚 字符"/>
    <w:link w:val="14"/>
    <w:qFormat/>
    <w:locked/>
    <w:uiPriority w:val="99"/>
    <w:rPr>
      <w:rFonts w:cs="Times New Roman"/>
      <w:sz w:val="18"/>
    </w:rPr>
  </w:style>
  <w:style w:type="character" w:customStyle="1" w:styleId="39">
    <w:name w:val="页眉 字符"/>
    <w:link w:val="15"/>
    <w:qFormat/>
    <w:locked/>
    <w:uiPriority w:val="99"/>
    <w:rPr>
      <w:rFonts w:cs="Times New Roman"/>
      <w:sz w:val="18"/>
    </w:rPr>
  </w:style>
  <w:style w:type="character" w:customStyle="1" w:styleId="40">
    <w:name w:val="批注主题 字符"/>
    <w:link w:val="22"/>
    <w:semiHidden/>
    <w:qFormat/>
    <w:locked/>
    <w:uiPriority w:val="99"/>
    <w:rPr>
      <w:rFonts w:ascii="Calibri" w:hAnsi="Calibri" w:eastAsia="仿宋_GB2312" w:cs="Times New Roman"/>
      <w:b/>
      <w:sz w:val="24"/>
    </w:rPr>
  </w:style>
  <w:style w:type="paragraph" w:customStyle="1" w:styleId="41">
    <w:name w:val="Char"/>
    <w:basedOn w:val="1"/>
    <w:qFormat/>
    <w:uiPriority w:val="99"/>
    <w:pPr>
      <w:widowControl w:val="0"/>
      <w:ind w:left="3" w:leftChars="-5"/>
    </w:pPr>
    <w:rPr>
      <w:rFonts w:ascii="Tahoma" w:hAnsi="Tahoma" w:eastAsia="宋体"/>
      <w:sz w:val="24"/>
      <w:szCs w:val="20"/>
    </w:rPr>
  </w:style>
  <w:style w:type="paragraph" w:styleId="42">
    <w:name w:val="List Paragraph"/>
    <w:basedOn w:val="1"/>
    <w:qFormat/>
    <w:uiPriority w:val="99"/>
    <w:pPr>
      <w:widowControl w:val="0"/>
      <w:ind w:firstLine="420"/>
    </w:pPr>
  </w:style>
  <w:style w:type="table" w:customStyle="1" w:styleId="43">
    <w:name w:val="网格型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4">
    <w:name w:val="Char Char Char Char"/>
    <w:basedOn w:val="1"/>
    <w:qFormat/>
    <w:uiPriority w:val="99"/>
    <w:pPr>
      <w:widowControl w:val="0"/>
      <w:numPr>
        <w:ilvl w:val="0"/>
        <w:numId w:val="1"/>
      </w:numPr>
      <w:tabs>
        <w:tab w:val="left" w:pos="1360"/>
      </w:tabs>
      <w:ind w:firstLine="0"/>
    </w:pPr>
    <w:rPr>
      <w:rFonts w:ascii="Calibri" w:hAnsi="Calibri" w:eastAsia="宋体"/>
      <w:sz w:val="24"/>
      <w:szCs w:val="24"/>
    </w:rPr>
  </w:style>
  <w:style w:type="table" w:customStyle="1" w:styleId="45">
    <w:name w:val="网格型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6">
    <w:name w:val="fontstyle21"/>
    <w:qFormat/>
    <w:uiPriority w:val="99"/>
    <w:rPr>
      <w:rFonts w:ascii="仿宋_GB2312" w:eastAsia="仿宋_GB2312"/>
      <w:color w:val="000000"/>
      <w:sz w:val="32"/>
    </w:rPr>
  </w:style>
  <w:style w:type="character" w:customStyle="1" w:styleId="47">
    <w:name w:val="未处理的提及1"/>
    <w:semiHidden/>
    <w:qFormat/>
    <w:uiPriority w:val="99"/>
    <w:rPr>
      <w:color w:val="605E5C"/>
      <w:shd w:val="clear" w:color="auto" w:fill="E1DFDD"/>
    </w:rPr>
  </w:style>
  <w:style w:type="character" w:customStyle="1" w:styleId="48">
    <w:name w:val="正文文本 Char"/>
    <w:qFormat/>
    <w:uiPriority w:val="99"/>
    <w:rPr>
      <w:rFonts w:ascii="Calibri" w:hAnsi="Calibri" w:eastAsia="仿宋_GB2312"/>
      <w:kern w:val="0"/>
      <w:sz w:val="24"/>
    </w:rPr>
  </w:style>
  <w:style w:type="character" w:customStyle="1" w:styleId="49">
    <w:name w:val="批注文字 Char"/>
    <w:semiHidden/>
    <w:qFormat/>
    <w:uiPriority w:val="99"/>
    <w:rPr>
      <w:rFonts w:ascii="Times New Roman" w:hAnsi="Times New Roman" w:eastAsia="仿宋_GB2312"/>
      <w:kern w:val="2"/>
      <w:sz w:val="30"/>
    </w:rPr>
  </w:style>
  <w:style w:type="paragraph" w:customStyle="1" w:styleId="50">
    <w:name w:val="规划正文"/>
    <w:basedOn w:val="1"/>
    <w:qFormat/>
    <w:uiPriority w:val="99"/>
    <w:pPr>
      <w:widowControl w:val="0"/>
      <w:snapToGrid w:val="0"/>
      <w:ind w:firstLine="560"/>
    </w:pPr>
    <w:rPr>
      <w:rFonts w:eastAsia="宋体"/>
      <w:szCs w:val="20"/>
    </w:rPr>
  </w:style>
  <w:style w:type="character" w:customStyle="1" w:styleId="51">
    <w:name w:val="bjh-p"/>
    <w:qFormat/>
    <w:uiPriority w:val="99"/>
  </w:style>
  <w:style w:type="paragraph" w:customStyle="1" w:styleId="52">
    <w:name w:val="封面1"/>
    <w:basedOn w:val="1"/>
    <w:qFormat/>
    <w:uiPriority w:val="99"/>
    <w:pPr>
      <w:ind w:firstLine="0" w:firstLineChars="0"/>
      <w:jc w:val="center"/>
    </w:pPr>
    <w:rPr>
      <w:rFonts w:eastAsia="宋体"/>
      <w:b/>
      <w:bCs/>
      <w:color w:val="000000"/>
      <w:sz w:val="48"/>
      <w:szCs w:val="48"/>
    </w:rPr>
  </w:style>
  <w:style w:type="paragraph" w:customStyle="1" w:styleId="53">
    <w:name w:val="封面2"/>
    <w:basedOn w:val="1"/>
    <w:qFormat/>
    <w:uiPriority w:val="99"/>
    <w:pPr>
      <w:spacing w:line="533" w:lineRule="atLeast"/>
      <w:ind w:firstLine="0" w:firstLineChars="0"/>
      <w:jc w:val="center"/>
    </w:pPr>
    <w:rPr>
      <w:rFonts w:eastAsia="楷体_GB2312"/>
      <w:b/>
      <w:color w:val="000000"/>
      <w:kern w:val="0"/>
      <w:szCs w:val="48"/>
    </w:rPr>
  </w:style>
  <w:style w:type="paragraph" w:customStyle="1" w:styleId="54">
    <w:name w:val="表"/>
    <w:basedOn w:val="1"/>
    <w:link w:val="55"/>
    <w:qFormat/>
    <w:uiPriority w:val="99"/>
    <w:pPr>
      <w:widowControl w:val="0"/>
      <w:spacing w:line="240" w:lineRule="exact"/>
      <w:ind w:firstLine="0" w:firstLineChars="0"/>
      <w:jc w:val="center"/>
    </w:pPr>
    <w:rPr>
      <w:rFonts w:ascii="楷体_GB2312" w:hAnsi="宋体" w:eastAsia="楷体_GB2312"/>
      <w:kern w:val="0"/>
      <w:sz w:val="24"/>
      <w:szCs w:val="20"/>
    </w:rPr>
  </w:style>
  <w:style w:type="character" w:customStyle="1" w:styleId="55">
    <w:name w:val="表 字符"/>
    <w:link w:val="54"/>
    <w:qFormat/>
    <w:locked/>
    <w:uiPriority w:val="99"/>
    <w:rPr>
      <w:rFonts w:ascii="楷体_GB2312" w:hAnsi="宋体" w:eastAsia="楷体_GB2312"/>
      <w:kern w:val="0"/>
      <w:sz w:val="24"/>
    </w:rPr>
  </w:style>
  <w:style w:type="paragraph" w:customStyle="1" w:styleId="56">
    <w:name w:val="专栏标题"/>
    <w:basedOn w:val="1"/>
    <w:link w:val="57"/>
    <w:qFormat/>
    <w:uiPriority w:val="99"/>
    <w:pPr>
      <w:numPr>
        <w:ilvl w:val="0"/>
        <w:numId w:val="2"/>
      </w:numPr>
      <w:ind w:firstLine="0" w:firstLineChars="0"/>
      <w:jc w:val="center"/>
    </w:pPr>
    <w:rPr>
      <w:rFonts w:ascii="Calibri" w:hAnsi="Calibri" w:eastAsia="仿宋"/>
      <w:b/>
      <w:kern w:val="0"/>
      <w:szCs w:val="20"/>
    </w:rPr>
  </w:style>
  <w:style w:type="character" w:customStyle="1" w:styleId="57">
    <w:name w:val="专栏标题 字符"/>
    <w:link w:val="56"/>
    <w:qFormat/>
    <w:locked/>
    <w:uiPriority w:val="99"/>
    <w:rPr>
      <w:rFonts w:eastAsia="仿宋"/>
      <w:b/>
      <w:sz w:val="32"/>
    </w:rPr>
  </w:style>
  <w:style w:type="paragraph" w:customStyle="1" w:styleId="58">
    <w:name w:val="专栏标题1"/>
    <w:link w:val="59"/>
    <w:qFormat/>
    <w:uiPriority w:val="99"/>
    <w:pPr>
      <w:numPr>
        <w:ilvl w:val="0"/>
        <w:numId w:val="3"/>
      </w:numPr>
      <w:ind w:left="0" w:firstLine="0"/>
      <w:jc w:val="center"/>
    </w:pPr>
    <w:rPr>
      <w:rFonts w:ascii="Calibri" w:hAnsi="Calibri" w:eastAsia="宋体" w:cs="Times New Roman"/>
      <w:b/>
      <w:color w:val="000000"/>
      <w:sz w:val="22"/>
      <w:szCs w:val="22"/>
      <w:lang w:val="en-US" w:eastAsia="zh-CN" w:bidi="ar-SA"/>
    </w:rPr>
  </w:style>
  <w:style w:type="character" w:customStyle="1" w:styleId="59">
    <w:name w:val="专栏标题1 Char"/>
    <w:link w:val="58"/>
    <w:qFormat/>
    <w:locked/>
    <w:uiPriority w:val="99"/>
    <w:rPr>
      <w:rFonts w:eastAsia="Times New Roman"/>
      <w:b/>
      <w:color w:val="000000"/>
      <w:sz w:val="22"/>
    </w:rPr>
  </w:style>
  <w:style w:type="paragraph" w:customStyle="1" w:styleId="60">
    <w:name w:val="专栏内容"/>
    <w:basedOn w:val="1"/>
    <w:link w:val="61"/>
    <w:qFormat/>
    <w:uiPriority w:val="99"/>
    <w:pPr>
      <w:spacing w:line="240" w:lineRule="auto"/>
    </w:pPr>
    <w:rPr>
      <w:rFonts w:eastAsia="宋体"/>
      <w:kern w:val="0"/>
      <w:sz w:val="24"/>
      <w:szCs w:val="20"/>
    </w:rPr>
  </w:style>
  <w:style w:type="character" w:customStyle="1" w:styleId="61">
    <w:name w:val="专栏内容 字符"/>
    <w:link w:val="60"/>
    <w:qFormat/>
    <w:locked/>
    <w:uiPriority w:val="99"/>
    <w:rPr>
      <w:rFonts w:ascii="Times New Roman" w:hAnsi="Times New Roman" w:eastAsia="宋体"/>
      <w:sz w:val="24"/>
    </w:rPr>
  </w:style>
  <w:style w:type="paragraph" w:customStyle="1" w:styleId="62">
    <w:name w:val="项目工程包标题"/>
    <w:qFormat/>
    <w:uiPriority w:val="99"/>
    <w:pPr>
      <w:numPr>
        <w:ilvl w:val="0"/>
        <w:numId w:val="4"/>
      </w:numPr>
      <w:ind w:left="0" w:firstLine="0"/>
      <w:jc w:val="center"/>
    </w:pPr>
    <w:rPr>
      <w:rFonts w:ascii="Times New Roman" w:hAnsi="Times New Roman" w:eastAsia="宋体" w:cs="Times New Roman"/>
      <w:b/>
      <w:kern w:val="2"/>
      <w:sz w:val="30"/>
      <w:szCs w:val="22"/>
      <w:lang w:val="en-US" w:eastAsia="zh-CN" w:bidi="ar-SA"/>
    </w:rPr>
  </w:style>
  <w:style w:type="paragraph" w:customStyle="1" w:styleId="63">
    <w:name w:val="专栏文本"/>
    <w:basedOn w:val="1"/>
    <w:qFormat/>
    <w:uiPriority w:val="99"/>
    <w:pPr>
      <w:ind w:firstLine="723"/>
      <w:jc w:val="left"/>
    </w:pPr>
    <w:rPr>
      <w:sz w:val="21"/>
    </w:rPr>
  </w:style>
  <w:style w:type="table" w:customStyle="1" w:styleId="64">
    <w:name w:val="网格型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5">
    <w:name w:val="资料来源"/>
    <w:link w:val="66"/>
    <w:qFormat/>
    <w:uiPriority w:val="99"/>
    <w:pPr>
      <w:widowControl w:val="0"/>
      <w:spacing w:before="120"/>
      <w:ind w:right="-11" w:rightChars="-11" w:firstLine="420"/>
      <w:textAlignment w:val="baseline"/>
    </w:pPr>
    <w:rPr>
      <w:rFonts w:ascii="Times New Roman" w:hAnsi="Times New Roman" w:eastAsia="仿宋_GB2312" w:cs="Times New Roman"/>
      <w:kern w:val="2"/>
      <w:sz w:val="22"/>
      <w:szCs w:val="22"/>
      <w:lang w:val="en-US" w:eastAsia="zh-CN" w:bidi="ar-SA"/>
    </w:rPr>
  </w:style>
  <w:style w:type="character" w:customStyle="1" w:styleId="66">
    <w:name w:val="资料来源 字符"/>
    <w:link w:val="65"/>
    <w:qFormat/>
    <w:locked/>
    <w:uiPriority w:val="99"/>
    <w:rPr>
      <w:rFonts w:ascii="Times New Roman" w:hAnsi="Times New Roman" w:eastAsia="仿宋_GB2312"/>
      <w:kern w:val="2"/>
      <w:sz w:val="22"/>
      <w:lang w:val="en-US" w:eastAsia="zh-CN"/>
    </w:rPr>
  </w:style>
  <w:style w:type="character" w:customStyle="1" w:styleId="67">
    <w:name w:val="专栏标题1 字符"/>
    <w:qFormat/>
    <w:uiPriority w:val="99"/>
    <w:rPr>
      <w:rFonts w:ascii="Calibri" w:hAnsi="Calibri" w:eastAsia="宋体"/>
      <w:b/>
      <w:color w:val="000000"/>
      <w:sz w:val="28"/>
    </w:rPr>
  </w:style>
  <w:style w:type="character" w:customStyle="1" w:styleId="68">
    <w:name w:val="未处理的提及2"/>
    <w:semiHidden/>
    <w:qFormat/>
    <w:uiPriority w:val="99"/>
    <w:rPr>
      <w:color w:val="605E5C"/>
      <w:shd w:val="clear" w:color="auto" w:fill="E1DFDD"/>
    </w:rPr>
  </w:style>
  <w:style w:type="character" w:customStyle="1" w:styleId="69">
    <w:name w:val="15"/>
    <w:qFormat/>
    <w:uiPriority w:val="99"/>
    <w:rPr>
      <w:rFonts w:ascii="Times New Roman" w:hAnsi="Times New Roman" w:eastAsia="仿宋_GB2312"/>
      <w:b/>
      <w:sz w:val="32"/>
    </w:rPr>
  </w:style>
  <w:style w:type="paragraph" w:customStyle="1" w:styleId="70">
    <w:name w:val="Default"/>
    <w:basedOn w:val="1"/>
    <w:qFormat/>
    <w:uiPriority w:val="99"/>
    <w:pPr>
      <w:widowControl w:val="0"/>
      <w:autoSpaceDE w:val="0"/>
      <w:autoSpaceDN w:val="0"/>
      <w:adjustRightInd w:val="0"/>
      <w:spacing w:line="240" w:lineRule="auto"/>
      <w:ind w:firstLine="0" w:firstLineChars="0"/>
    </w:pPr>
    <w:rPr>
      <w:rFonts w:eastAsia="宋体"/>
      <w:color w:val="000000"/>
      <w:sz w:val="24"/>
      <w:szCs w:val="24"/>
    </w:rPr>
  </w:style>
  <w:style w:type="character" w:customStyle="1" w:styleId="71">
    <w:name w:val="Body text|1_"/>
    <w:link w:val="72"/>
    <w:qFormat/>
    <w:locked/>
    <w:uiPriority w:val="99"/>
    <w:rPr>
      <w:rFonts w:ascii="宋体" w:hAnsi="宋体" w:eastAsia="宋体" w:cs="Times New Roman"/>
      <w:sz w:val="14"/>
      <w:szCs w:val="14"/>
      <w:lang w:val="zh-TW" w:eastAsia="zh-TW" w:bidi="ar-SA"/>
    </w:rPr>
  </w:style>
  <w:style w:type="paragraph" w:customStyle="1" w:styleId="72">
    <w:name w:val="Body text|1"/>
    <w:basedOn w:val="1"/>
    <w:link w:val="71"/>
    <w:qFormat/>
    <w:uiPriority w:val="99"/>
    <w:pPr>
      <w:widowControl w:val="0"/>
      <w:spacing w:line="376" w:lineRule="auto"/>
      <w:ind w:firstLine="300" w:firstLineChars="0"/>
      <w:jc w:val="left"/>
    </w:pPr>
    <w:rPr>
      <w:rFonts w:ascii="宋体" w:hAnsi="宋体" w:eastAsia="宋体"/>
      <w:kern w:val="0"/>
      <w:sz w:val="14"/>
      <w:szCs w:val="14"/>
      <w:lang w:val="zh-TW" w:eastAsia="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116</Pages>
  <Words>8759</Words>
  <Characters>49931</Characters>
  <Lines>416</Lines>
  <Paragraphs>117</Paragraphs>
  <TotalTime>9</TotalTime>
  <ScaleCrop>false</ScaleCrop>
  <LinksUpToDate>false</LinksUpToDate>
  <CharactersWithSpaces>58573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2021-09-01T15:22:00Z</dcterms:created>
  <dc:creator>周 振</dc:creator>
  <cp:lastModifiedBy>user</cp:lastModifiedBy>
  <cp:lastPrinted>2021-02-08T11:48:00Z</cp:lastPrinted>
  <dcterms:modified xsi:type="dcterms:W3CDTF">2026-05-12T09:13:46Z</dcterms:modified>
  <dc:title>冠县国民经济和社会发展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SaveFontToCloudKey">
    <vt:lpwstr>430265898_btnclosed</vt:lpwstr>
  </property>
  <property fmtid="{D5CDD505-2E9C-101B-9397-08002B2CF9AE}" pid="4" name="ICV">
    <vt:lpwstr>C6F8DB24E4D34693BBE4E05CFD34E360</vt:lpwstr>
  </property>
</Properties>
</file>