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1100" w:lineRule="exact"/>
        <w:textAlignment w:val="auto"/>
        <w:rPr>
          <w:rFonts w:hint="eastAsia" w:ascii="方正小标宋_GBK" w:eastAsia="方正小标宋_GBK"/>
          <w:color w:val="FF0000"/>
          <w:position w:val="-16"/>
          <w:sz w:val="72"/>
          <w:szCs w:val="72"/>
          <w:lang w:eastAsia="zh-CN"/>
        </w:rPr>
      </w:pPr>
    </w:p>
    <w:tbl>
      <w:tblPr>
        <w:tblStyle w:val="5"/>
        <w:tblW w:w="8844" w:type="dxa"/>
        <w:jc w:val="center"/>
        <w:tblLayout w:type="fixed"/>
        <w:tblCellMar>
          <w:top w:w="0" w:type="dxa"/>
          <w:left w:w="0" w:type="dxa"/>
          <w:bottom w:w="0" w:type="dxa"/>
          <w:right w:w="0" w:type="dxa"/>
        </w:tblCellMar>
      </w:tblPr>
      <w:tblGrid>
        <w:gridCol w:w="7457"/>
        <w:gridCol w:w="1387"/>
      </w:tblGrid>
      <w:tr>
        <w:tblPrEx>
          <w:tblCellMar>
            <w:top w:w="0" w:type="dxa"/>
            <w:left w:w="0" w:type="dxa"/>
            <w:bottom w:w="0" w:type="dxa"/>
            <w:right w:w="0" w:type="dxa"/>
          </w:tblCellMar>
        </w:tblPrEx>
        <w:trPr>
          <w:cantSplit/>
          <w:trHeight w:val="1196" w:hRule="atLeast"/>
          <w:jc w:val="center"/>
        </w:trPr>
        <w:tc>
          <w:tcPr>
            <w:tcW w:w="7457" w:type="dxa"/>
            <w:vAlign w:val="bottom"/>
          </w:tcPr>
          <w:p>
            <w:pPr>
              <w:keepNext w:val="0"/>
              <w:keepLines w:val="0"/>
              <w:pageBreakBefore w:val="0"/>
              <w:widowControl w:val="0"/>
              <w:tabs>
                <w:tab w:val="left" w:pos="3210"/>
                <w:tab w:val="right" w:pos="6293"/>
              </w:tabs>
              <w:kinsoku/>
              <w:wordWrap/>
              <w:overflowPunct/>
              <w:topLinePunct w:val="0"/>
              <w:autoSpaceDE/>
              <w:autoSpaceDN/>
              <w:bidi w:val="0"/>
              <w:adjustRightInd w:val="0"/>
              <w:snapToGrid w:val="0"/>
              <w:spacing w:line="1120" w:lineRule="exact"/>
              <w:ind w:left="0" w:leftChars="0" w:right="0" w:rightChars="0" w:firstLine="0" w:firstLineChars="0"/>
              <w:jc w:val="distribute"/>
              <w:textAlignment w:val="auto"/>
              <w:outlineLvl w:val="9"/>
              <w:rPr>
                <w:rFonts w:hint="eastAsia" w:ascii="方正粗宋简体" w:hAnsi="方正粗宋简体" w:eastAsia="方正粗宋简体" w:cs="方正粗宋简体"/>
                <w:b/>
                <w:bCs/>
                <w:color w:val="FF0000"/>
                <w:spacing w:val="0"/>
                <w:w w:val="70"/>
                <w:position w:val="0"/>
                <w:sz w:val="84"/>
                <w:szCs w:val="84"/>
              </w:rPr>
            </w:pPr>
            <w:r>
              <w:rPr>
                <w:rFonts w:hint="eastAsia" w:ascii="方正粗宋简体" w:hAnsi="方正粗宋简体" w:eastAsia="方正粗宋简体" w:cs="方正粗宋简体"/>
                <w:b/>
                <w:bCs/>
                <w:color w:val="FF0000"/>
                <w:spacing w:val="-20"/>
                <w:w w:val="66"/>
                <w:position w:val="0"/>
                <w:sz w:val="96"/>
                <w:szCs w:val="96"/>
                <w:lang w:eastAsia="zh-CN"/>
              </w:rPr>
              <w:t>冠县</w:t>
            </w:r>
            <w:r>
              <w:rPr>
                <w:rFonts w:hint="eastAsia" w:ascii="方正粗宋简体" w:hAnsi="方正粗宋简体" w:eastAsia="方正粗宋简体" w:cs="方正粗宋简体"/>
                <w:b/>
                <w:bCs/>
                <w:color w:val="FF0000"/>
                <w:spacing w:val="-20"/>
                <w:w w:val="66"/>
                <w:position w:val="0"/>
                <w:sz w:val="96"/>
                <w:szCs w:val="96"/>
                <w:lang w:val="en-US" w:eastAsia="zh-CN"/>
              </w:rPr>
              <w:t>市场</w:t>
            </w:r>
            <w:r>
              <w:rPr>
                <w:rFonts w:hint="eastAsia" w:ascii="方正粗宋简体" w:hAnsi="方正粗宋简体" w:eastAsia="方正粗宋简体" w:cs="方正粗宋简体"/>
                <w:b/>
                <w:bCs/>
                <w:color w:val="FF0000"/>
                <w:spacing w:val="-20"/>
                <w:w w:val="66"/>
                <w:position w:val="0"/>
                <w:sz w:val="96"/>
                <w:szCs w:val="96"/>
              </w:rPr>
              <w:t>监督</w:t>
            </w:r>
            <w:r>
              <w:rPr>
                <w:rFonts w:hint="eastAsia" w:ascii="方正粗宋简体" w:hAnsi="方正粗宋简体" w:eastAsia="方正粗宋简体" w:cs="方正粗宋简体"/>
                <w:b/>
                <w:bCs/>
                <w:color w:val="FF0000"/>
                <w:spacing w:val="-20"/>
                <w:w w:val="66"/>
                <w:position w:val="0"/>
                <w:sz w:val="96"/>
                <w:szCs w:val="96"/>
                <w:lang w:val="en-US" w:eastAsia="zh-CN"/>
              </w:rPr>
              <w:t>管理</w:t>
            </w:r>
            <w:r>
              <w:rPr>
                <w:rFonts w:hint="eastAsia" w:ascii="方正粗宋简体" w:hAnsi="方正粗宋简体" w:eastAsia="方正粗宋简体" w:cs="方正粗宋简体"/>
                <w:b/>
                <w:bCs/>
                <w:color w:val="FF0000"/>
                <w:spacing w:val="-20"/>
                <w:w w:val="66"/>
                <w:position w:val="0"/>
                <w:sz w:val="96"/>
                <w:szCs w:val="96"/>
              </w:rPr>
              <w:t>局</w:t>
            </w:r>
          </w:p>
          <w:p>
            <w:pPr>
              <w:keepNext w:val="0"/>
              <w:keepLines w:val="0"/>
              <w:pageBreakBefore w:val="0"/>
              <w:widowControl w:val="0"/>
              <w:tabs>
                <w:tab w:val="left" w:pos="3210"/>
                <w:tab w:val="right" w:pos="6293"/>
              </w:tabs>
              <w:kinsoku/>
              <w:wordWrap/>
              <w:overflowPunct/>
              <w:topLinePunct w:val="0"/>
              <w:autoSpaceDE/>
              <w:autoSpaceDN/>
              <w:bidi w:val="0"/>
              <w:adjustRightInd w:val="0"/>
              <w:snapToGrid w:val="0"/>
              <w:spacing w:line="1120" w:lineRule="exact"/>
              <w:ind w:left="0" w:leftChars="0" w:right="0" w:rightChars="0" w:firstLine="0" w:firstLineChars="0"/>
              <w:jc w:val="distribute"/>
              <w:textAlignment w:val="auto"/>
              <w:outlineLvl w:val="9"/>
              <w:rPr>
                <w:rFonts w:hint="eastAsia" w:ascii="方正粗宋简体" w:hAnsi="方正粗宋简体" w:eastAsia="方正粗宋简体" w:cs="方正粗宋简体"/>
                <w:b/>
                <w:bCs/>
                <w:color w:val="FF0000"/>
                <w:spacing w:val="-20"/>
                <w:w w:val="70"/>
                <w:sz w:val="84"/>
                <w:szCs w:val="84"/>
                <w:lang w:val="en-US" w:eastAsia="zh-CN"/>
              </w:rPr>
            </w:pPr>
            <w:r>
              <w:rPr>
                <w:rFonts w:hint="eastAsia" w:ascii="方正粗宋简体" w:hAnsi="方正粗宋简体" w:eastAsia="方正粗宋简体" w:cs="方正粗宋简体"/>
                <w:b/>
                <w:bCs/>
                <w:color w:val="FF0000"/>
                <w:spacing w:val="-23"/>
                <w:w w:val="66"/>
                <w:sz w:val="96"/>
                <w:szCs w:val="96"/>
                <w:lang w:val="en-US" w:eastAsia="zh-CN"/>
              </w:rPr>
              <w:t>冠县司法局</w:t>
            </w:r>
          </w:p>
        </w:tc>
        <w:tc>
          <w:tcPr>
            <w:tcW w:w="1387" w:type="dxa"/>
            <w:vAlign w:val="center"/>
          </w:tcPr>
          <w:p>
            <w:pPr>
              <w:keepNext w:val="0"/>
              <w:keepLines w:val="0"/>
              <w:pageBreakBefore w:val="0"/>
              <w:widowControl w:val="0"/>
              <w:kinsoku/>
              <w:wordWrap/>
              <w:overflowPunct/>
              <w:topLinePunct w:val="0"/>
              <w:autoSpaceDE/>
              <w:autoSpaceDN/>
              <w:bidi w:val="0"/>
              <w:adjustRightInd w:val="0"/>
              <w:snapToGrid w:val="0"/>
              <w:spacing w:line="1120" w:lineRule="exact"/>
              <w:jc w:val="center"/>
              <w:textAlignment w:val="auto"/>
              <w:outlineLvl w:val="9"/>
              <w:rPr>
                <w:rFonts w:hint="eastAsia" w:ascii="方正粗宋简体" w:hAnsi="方正粗宋简体" w:eastAsia="方正粗宋简体" w:cs="方正粗宋简体"/>
                <w:b/>
                <w:bCs/>
                <w:color w:val="FF0000"/>
                <w:w w:val="70"/>
                <w:sz w:val="96"/>
                <w:szCs w:val="96"/>
              </w:rPr>
            </w:pPr>
            <w:r>
              <w:rPr>
                <w:rFonts w:hint="eastAsia" w:ascii="方正粗宋简体" w:hAnsi="方正粗宋简体" w:eastAsia="方正粗宋简体" w:cs="方正粗宋简体"/>
                <w:b/>
                <w:bCs/>
                <w:color w:val="FF0000"/>
                <w:w w:val="70"/>
                <w:position w:val="0"/>
                <w:sz w:val="96"/>
                <w:szCs w:val="96"/>
              </w:rPr>
              <w:t>文件</w:t>
            </w:r>
          </w:p>
        </w:tc>
      </w:tr>
    </w:tbl>
    <w:p>
      <w:pPr>
        <w:jc w:val="center"/>
        <w:rPr>
          <w:rFonts w:hint="eastAsia" w:ascii="楷体" w:hAnsi="楷体" w:eastAsia="楷体"/>
          <w:sz w:val="32"/>
          <w:szCs w:val="32"/>
        </w:rPr>
      </w:pPr>
    </w:p>
    <w:p>
      <w:pPr>
        <w:jc w:val="center"/>
        <w:rPr>
          <w:rFonts w:hint="eastAsia" w:ascii="仿宋_GB2312" w:hAnsi="仿宋_GB2312" w:eastAsia="仿宋_GB2312" w:cs="Times New Roman"/>
          <w:kern w:val="2"/>
          <w:sz w:val="32"/>
          <w:szCs w:val="32"/>
          <w:lang w:val="en-US" w:eastAsia="zh-CN" w:bidi="ar-SA"/>
        </w:rPr>
      </w:pPr>
      <w:r>
        <w:rPr>
          <w:rFonts w:hint="eastAsia" w:ascii="仿宋_GB2312" w:hAnsi="仿宋_GB2312" w:eastAsia="仿宋_GB2312" w:cs="Times New Roman"/>
          <w:kern w:val="2"/>
          <w:sz w:val="32"/>
          <w:szCs w:val="32"/>
          <w:lang w:val="en-US" w:eastAsia="zh-CN" w:bidi="ar-SA"/>
        </w:rPr>
        <w:t>冠市监字[2021]13号</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rPr>
      </w:pPr>
      <w:r>
        <w:rPr>
          <w:rFonts w:hint="eastAsia" w:ascii="仿宋" w:hAnsi="仿宋" w:eastAsia="仿宋"/>
          <w:color w:val="FF0000"/>
          <w:sz w:val="32"/>
          <w:szCs w:val="32"/>
          <w:u w:val="thick"/>
        </w:rPr>
        <w:t xml:space="preserve">                                                       </w:t>
      </w:r>
    </w:p>
    <w:p>
      <w:pPr>
        <w:pStyle w:val="2"/>
        <w:rPr>
          <w:rFonts w:hint="eastAsia"/>
        </w:rPr>
      </w:pPr>
    </w:p>
    <w:p>
      <w:pPr>
        <w:spacing w:line="660" w:lineRule="exact"/>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冠县市场监督管理局 冠县司法局</w:t>
      </w:r>
    </w:p>
    <w:p>
      <w:pPr>
        <w:keepNext w:val="0"/>
        <w:keepLines w:val="0"/>
        <w:pageBreakBefore w:val="0"/>
        <w:widowControl w:val="0"/>
        <w:kinsoku/>
        <w:wordWrap/>
        <w:overflowPunct/>
        <w:topLinePunct w:val="0"/>
        <w:autoSpaceDE/>
        <w:autoSpaceDN/>
        <w:bidi w:val="0"/>
        <w:adjustRightInd/>
        <w:snapToGrid/>
        <w:spacing w:after="181" w:afterLines="50" w:line="6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color w:val="000000"/>
          <w:sz w:val="44"/>
          <w:szCs w:val="44"/>
        </w:rPr>
      </w:pPr>
      <w:r>
        <w:rPr>
          <w:rFonts w:hint="eastAsia" w:ascii="方正小标宋简体" w:hAnsi="方正小标宋简体" w:eastAsia="方正小标宋简体" w:cs="方正小标宋简体"/>
          <w:b w:val="0"/>
          <w:bCs/>
          <w:color w:val="000000"/>
          <w:w w:val="90"/>
          <w:sz w:val="44"/>
          <w:szCs w:val="44"/>
        </w:rPr>
        <w:t>关于清理歧视性和不公平市场待遇政策措施的通知</w:t>
      </w:r>
      <w:r>
        <w:rPr>
          <w:rFonts w:hint="eastAsia" w:ascii="方正小标宋简体" w:hAnsi="方正小标宋简体" w:eastAsia="方正小标宋简体" w:cs="方正小标宋简体"/>
          <w:b w:val="0"/>
          <w:bCs/>
          <w:color w:val="000000"/>
          <w:sz w:val="44"/>
          <w:szCs w:val="44"/>
        </w:rPr>
        <w:t xml:space="preserve"> </w:t>
      </w:r>
    </w:p>
    <w:p>
      <w:pPr>
        <w:keepNext w:val="0"/>
        <w:keepLines w:val="0"/>
        <w:pageBreakBefore w:val="0"/>
        <w:kinsoku/>
        <w:wordWrap/>
        <w:overflowPunct/>
        <w:topLinePunct w:val="0"/>
        <w:autoSpaceDE/>
        <w:autoSpaceDN/>
        <w:bidi w:val="0"/>
        <w:adjustRightInd/>
        <w:snapToGrid/>
        <w:spacing w:line="540" w:lineRule="exact"/>
        <w:textAlignment w:val="auto"/>
        <w:rPr>
          <w:rFonts w:hint="eastAsia" w:ascii="仿宋" w:hAnsi="仿宋" w:eastAsia="仿宋"/>
          <w:color w:val="000000"/>
          <w:sz w:val="32"/>
          <w:szCs w:val="32"/>
        </w:rPr>
      </w:pPr>
    </w:p>
    <w:p>
      <w:pPr>
        <w:keepNext w:val="0"/>
        <w:keepLines w:val="0"/>
        <w:pageBreakBefore w:val="0"/>
        <w:kinsoku/>
        <w:wordWrap/>
        <w:overflowPunct/>
        <w:topLinePunct w:val="0"/>
        <w:autoSpaceDE/>
        <w:autoSpaceDN/>
        <w:bidi w:val="0"/>
        <w:adjustRightInd/>
        <w:snapToGrid/>
        <w:spacing w:beforeAutospacing="0" w:afterAutospacing="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县直有关单位：</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根据山东省市场监督管理局、山东省司法厅《关于清理歧视性和不公平市场待遇政策措施的通知》（鲁市监反垄断字</w:t>
      </w:r>
      <w:r>
        <w:rPr>
          <w:rFonts w:hint="eastAsia" w:ascii="仿宋_GB2312" w:hAnsi="仿宋_GB2312" w:eastAsia="仿宋_GB2312" w:cs="仿宋_GB2312"/>
          <w:color w:val="000000"/>
          <w:kern w:val="0"/>
          <w:sz w:val="32"/>
          <w:szCs w:val="32"/>
        </w:rPr>
        <w:t>〔2021〕73 号</w:t>
      </w:r>
      <w:r>
        <w:rPr>
          <w:rFonts w:hint="eastAsia" w:ascii="仿宋_GB2312" w:hAnsi="仿宋_GB2312" w:eastAsia="仿宋_GB2312" w:cs="仿宋_GB2312"/>
          <w:color w:val="000000"/>
          <w:sz w:val="32"/>
          <w:szCs w:val="32"/>
        </w:rPr>
        <w:t>）以及聊城市市场监督管理局、聊城市司法局《转发&lt;关于清理歧视性和不公平市场待遇政策措施的通知&gt;的通知》（聊市监反垄断字</w:t>
      </w:r>
      <w:r>
        <w:rPr>
          <w:rFonts w:hint="eastAsia" w:ascii="仿宋_GB2312" w:hAnsi="仿宋_GB2312" w:eastAsia="仿宋_GB2312" w:cs="仿宋_GB2312"/>
          <w:color w:val="000000"/>
          <w:kern w:val="0"/>
          <w:sz w:val="32"/>
          <w:szCs w:val="32"/>
        </w:rPr>
        <w:t>〔2021〕41号</w:t>
      </w:r>
      <w:r>
        <w:rPr>
          <w:rFonts w:hint="eastAsia" w:ascii="仿宋_GB2312" w:hAnsi="仿宋_GB2312" w:eastAsia="仿宋_GB2312" w:cs="仿宋_GB2312"/>
          <w:color w:val="000000"/>
          <w:sz w:val="32"/>
          <w:szCs w:val="32"/>
        </w:rPr>
        <w:t>），现就我县</w:t>
      </w:r>
      <w:r>
        <w:rPr>
          <w:rFonts w:hint="eastAsia" w:ascii="仿宋_GB2312" w:hAnsi="仿宋_GB2312" w:eastAsia="仿宋_GB2312" w:cs="仿宋_GB2312"/>
          <w:color w:val="000000"/>
          <w:sz w:val="32"/>
          <w:szCs w:val="32"/>
          <w:lang w:eastAsia="zh-CN"/>
        </w:rPr>
        <w:t>开展</w:t>
      </w:r>
      <w:r>
        <w:rPr>
          <w:rFonts w:hint="eastAsia" w:ascii="仿宋_GB2312" w:hAnsi="仿宋_GB2312" w:eastAsia="仿宋_GB2312" w:cs="仿宋_GB2312"/>
          <w:color w:val="000000"/>
          <w:sz w:val="32"/>
          <w:szCs w:val="32"/>
        </w:rPr>
        <w:t>歧视性和不公平市场待遇政策措施</w:t>
      </w:r>
      <w:r>
        <w:rPr>
          <w:rFonts w:hint="eastAsia" w:ascii="仿宋_GB2312" w:hAnsi="仿宋_GB2312" w:eastAsia="仿宋_GB2312" w:cs="仿宋_GB2312"/>
          <w:color w:val="000000"/>
          <w:sz w:val="32"/>
          <w:szCs w:val="32"/>
          <w:lang w:eastAsia="zh-CN"/>
        </w:rPr>
        <w:t>清理</w:t>
      </w:r>
      <w:r>
        <w:rPr>
          <w:rFonts w:hint="eastAsia" w:ascii="仿宋_GB2312" w:hAnsi="仿宋_GB2312" w:eastAsia="仿宋_GB2312" w:cs="仿宋_GB2312"/>
          <w:color w:val="000000"/>
          <w:sz w:val="32"/>
          <w:szCs w:val="32"/>
        </w:rPr>
        <w:t>工作</w:t>
      </w:r>
      <w:r>
        <w:rPr>
          <w:rFonts w:hint="eastAsia" w:ascii="仿宋_GB2312" w:hAnsi="仿宋_GB2312" w:eastAsia="仿宋_GB2312" w:cs="仿宋_GB2312"/>
          <w:color w:val="000000"/>
          <w:sz w:val="32"/>
          <w:szCs w:val="32"/>
          <w:lang w:eastAsia="zh-CN"/>
        </w:rPr>
        <w:t>的</w:t>
      </w:r>
      <w:r>
        <w:rPr>
          <w:rFonts w:hint="eastAsia" w:ascii="仿宋_GB2312" w:hAnsi="仿宋_GB2312" w:eastAsia="仿宋_GB2312" w:cs="仿宋_GB2312"/>
          <w:color w:val="000000"/>
          <w:sz w:val="32"/>
          <w:szCs w:val="32"/>
        </w:rPr>
        <w:t>有关事项通知如下，请遵照执行。</w:t>
      </w:r>
    </w:p>
    <w:p>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一、总体要求</w:t>
      </w:r>
    </w:p>
    <w:p>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为维护市场公平竞争秩序，平等保护各类市场主体参与竞争，支持公有制经济和非公有制经济共同发展，充分发挥市场在资源配置中的决定性作用，推动有效市场和有为政府更好结合,全面清理歧视性和不公平市场待遇各项政策措施，进一步加强高标准市场体系建设，激发各类市场主体活力，不断打造法治化、国际化、便利化的营商环境，持续推进全</w:t>
      </w:r>
      <w:r>
        <w:rPr>
          <w:rFonts w:hint="eastAsia" w:ascii="仿宋_GB2312" w:hAnsi="仿宋_GB2312" w:eastAsia="仿宋_GB2312" w:cs="仿宋_GB2312"/>
          <w:color w:val="000000" w:themeColor="text1"/>
          <w:sz w:val="32"/>
          <w:szCs w:val="32"/>
          <w:lang w:eastAsia="zh-CN"/>
          <w14:textFill>
            <w14:solidFill>
              <w14:schemeClr w14:val="tx1"/>
            </w14:solidFill>
          </w14:textFill>
        </w:rPr>
        <w:t>县</w:t>
      </w:r>
      <w:r>
        <w:rPr>
          <w:rFonts w:hint="eastAsia" w:ascii="仿宋_GB2312" w:hAnsi="仿宋_GB2312" w:eastAsia="仿宋_GB2312" w:cs="仿宋_GB2312"/>
          <w:color w:val="000000" w:themeColor="text1"/>
          <w:sz w:val="32"/>
          <w:szCs w:val="32"/>
          <w14:textFill>
            <w14:solidFill>
              <w14:schemeClr w14:val="tx1"/>
            </w14:solidFill>
          </w14:textFill>
        </w:rPr>
        <w:t>经济高质量发展。</w:t>
      </w:r>
    </w:p>
    <w:p>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二、重点任务</w:t>
      </w:r>
    </w:p>
    <w:p>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楷体_GB2312" w:hAnsi="楷体_GB2312" w:eastAsia="楷体_GB2312" w:cs="楷体_GB2312"/>
          <w:b w:val="0"/>
          <w:bCs/>
          <w:color w:val="000000" w:themeColor="text1"/>
          <w:sz w:val="32"/>
          <w:szCs w:val="32"/>
          <w14:textFill>
            <w14:solidFill>
              <w14:schemeClr w14:val="tx1"/>
            </w14:solidFill>
          </w14:textFill>
        </w:rPr>
      </w:pPr>
      <w:r>
        <w:rPr>
          <w:rFonts w:hint="eastAsia" w:ascii="楷体_GB2312" w:hAnsi="楷体_GB2312" w:eastAsia="楷体_GB2312" w:cs="楷体_GB2312"/>
          <w:b w:val="0"/>
          <w:bCs/>
          <w:color w:val="000000" w:themeColor="text1"/>
          <w:sz w:val="32"/>
          <w:szCs w:val="32"/>
          <w14:textFill>
            <w14:solidFill>
              <w14:schemeClr w14:val="tx1"/>
            </w14:solidFill>
          </w14:textFill>
        </w:rPr>
        <w:t>（一）清理范围</w:t>
      </w:r>
    </w:p>
    <w:p>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此次清理的范围是2021年3月1日前制定的现行有效的涉及市场主体经济活动的政策措施，包括县级人民政府及其所属部门制定的行政规范性文件和其他政策文件（以下简称“政策措施”）。</w:t>
      </w:r>
    </w:p>
    <w:p>
      <w:pPr>
        <w:pStyle w:val="7"/>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楷体_GB2312" w:hAnsi="楷体_GB2312" w:eastAsia="楷体_GB2312" w:cs="楷体_GB2312"/>
          <w:b w:val="0"/>
          <w:bCs/>
          <w:color w:val="000000" w:themeColor="text1"/>
          <w:sz w:val="32"/>
          <w:szCs w:val="32"/>
          <w14:textFill>
            <w14:solidFill>
              <w14:schemeClr w14:val="tx1"/>
            </w14:solidFill>
          </w14:textFill>
        </w:rPr>
      </w:pPr>
      <w:r>
        <w:rPr>
          <w:rFonts w:hint="eastAsia" w:ascii="楷体_GB2312" w:hAnsi="楷体_GB2312" w:eastAsia="楷体_GB2312" w:cs="楷体_GB2312"/>
          <w:b w:val="0"/>
          <w:bCs/>
          <w:color w:val="000000" w:themeColor="text1"/>
          <w:sz w:val="32"/>
          <w:szCs w:val="32"/>
          <w14:textFill>
            <w14:solidFill>
              <w14:schemeClr w14:val="tx1"/>
            </w14:solidFill>
          </w14:textFill>
        </w:rPr>
        <w:t>清理主体</w:t>
      </w:r>
    </w:p>
    <w:p>
      <w:pPr>
        <w:pStyle w:val="7"/>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此次</w:t>
      </w:r>
      <w:r>
        <w:rPr>
          <w:rFonts w:hint="eastAsia" w:ascii="仿宋_GB2312" w:hAnsi="仿宋_GB2312" w:eastAsia="仿宋_GB2312" w:cs="仿宋_GB2312"/>
          <w:color w:val="000000" w:themeColor="text1"/>
          <w:sz w:val="32"/>
          <w:szCs w:val="32"/>
          <w14:textFill>
            <w14:solidFill>
              <w14:schemeClr w14:val="tx1"/>
            </w14:solidFill>
          </w14:textFill>
        </w:rPr>
        <w:t>清理工作坚持“谁起草、谁清理”“谁实施、谁清理”和分级清理的原则。</w:t>
      </w:r>
    </w:p>
    <w:p>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县级人民政府制定的行政规范性文件和其他政策文件，由起草（实施）部门或者牵头起草（实施）部门负责清理，提出清理意见并按程序报</w:t>
      </w:r>
      <w:r>
        <w:rPr>
          <w:rFonts w:hint="eastAsia" w:ascii="仿宋_GB2312" w:hAnsi="仿宋_GB2312" w:eastAsia="仿宋_GB2312" w:cs="仿宋_GB2312"/>
          <w:color w:val="000000" w:themeColor="text1"/>
          <w:sz w:val="32"/>
          <w:szCs w:val="32"/>
          <w:lang w:eastAsia="zh-CN"/>
          <w14:textFill>
            <w14:solidFill>
              <w14:schemeClr w14:val="tx1"/>
            </w14:solidFill>
          </w14:textFill>
        </w:rPr>
        <w:t>县</w:t>
      </w:r>
      <w:r>
        <w:rPr>
          <w:rFonts w:hint="eastAsia" w:ascii="仿宋_GB2312" w:hAnsi="仿宋_GB2312" w:eastAsia="仿宋_GB2312" w:cs="仿宋_GB2312"/>
          <w:color w:val="000000" w:themeColor="text1"/>
          <w:sz w:val="32"/>
          <w:szCs w:val="32"/>
          <w14:textFill>
            <w14:solidFill>
              <w14:schemeClr w14:val="tx1"/>
            </w14:solidFill>
          </w14:textFill>
        </w:rPr>
        <w:t>政府审定。</w:t>
      </w:r>
    </w:p>
    <w:p>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县政府所属部门制定的</w:t>
      </w:r>
      <w:r>
        <w:rPr>
          <w:rFonts w:hint="eastAsia" w:ascii="仿宋_GB2312" w:hAnsi="仿宋_GB2312" w:eastAsia="仿宋_GB2312" w:cs="仿宋_GB2312"/>
          <w:color w:val="000000" w:themeColor="text1"/>
          <w:sz w:val="32"/>
          <w:szCs w:val="32"/>
          <w:lang w:eastAsia="zh-CN"/>
          <w14:textFill>
            <w14:solidFill>
              <w14:schemeClr w14:val="tx1"/>
            </w14:solidFill>
          </w14:textFill>
        </w:rPr>
        <w:t>行政</w:t>
      </w:r>
      <w:r>
        <w:rPr>
          <w:rFonts w:hint="eastAsia" w:ascii="仿宋_GB2312" w:hAnsi="仿宋_GB2312" w:eastAsia="仿宋_GB2312" w:cs="仿宋_GB2312"/>
          <w:color w:val="000000" w:themeColor="text1"/>
          <w:sz w:val="32"/>
          <w:szCs w:val="32"/>
          <w14:textFill>
            <w14:solidFill>
              <w14:schemeClr w14:val="tx1"/>
            </w14:solidFill>
          </w14:textFill>
        </w:rPr>
        <w:t>规范性文件和其他政策文件，由制定部门负责清理;部门联合制定或涉及多个部门职责的，由牵头部门负责组织清理；制定部门被撤销或者职权已调整的，由继续行使其职权的部门负责清理。</w:t>
      </w:r>
    </w:p>
    <w:p>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楷体_GB2312" w:hAnsi="楷体_GB2312" w:eastAsia="楷体_GB2312" w:cs="楷体_GB2312"/>
          <w:b w:val="0"/>
          <w:bCs/>
          <w:color w:val="000000" w:themeColor="text1"/>
          <w:sz w:val="32"/>
          <w:szCs w:val="32"/>
          <w14:textFill>
            <w14:solidFill>
              <w14:schemeClr w14:val="tx1"/>
            </w14:solidFill>
          </w14:textFill>
        </w:rPr>
      </w:pPr>
      <w:r>
        <w:rPr>
          <w:rFonts w:hint="eastAsia" w:ascii="楷体_GB2312" w:hAnsi="楷体_GB2312" w:eastAsia="楷体_GB2312" w:cs="楷体_GB2312"/>
          <w:b w:val="0"/>
          <w:bCs/>
          <w:color w:val="000000" w:themeColor="text1"/>
          <w:sz w:val="32"/>
          <w:szCs w:val="32"/>
          <w14:textFill>
            <w14:solidFill>
              <w14:schemeClr w14:val="tx1"/>
            </w14:solidFill>
          </w14:textFill>
        </w:rPr>
        <w:t>（三）清理重点</w:t>
      </w:r>
    </w:p>
    <w:p>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1、违反《政府釆购法》《招标投标法》相关规定的。</w:t>
      </w:r>
      <w:r>
        <w:rPr>
          <w:rFonts w:hint="eastAsia" w:ascii="仿宋_GB2312" w:hAnsi="仿宋_GB2312" w:eastAsia="仿宋_GB2312" w:cs="仿宋_GB2312"/>
          <w:color w:val="000000" w:themeColor="text1"/>
          <w:sz w:val="32"/>
          <w:szCs w:val="32"/>
          <w14:textFill>
            <w14:solidFill>
              <w14:schemeClr w14:val="tx1"/>
            </w14:solidFill>
          </w14:textFill>
        </w:rPr>
        <w:t>就同一项目向参加企业提供有差别的项目信息；设定的资格、技术、商务条件与项目的具体特点和实际需要不相适应或者与合同履行无关；以特定行政区域或者特定行业的业绩、奖项作为加分条件、中标或者采购条件；采取不同的资格审查或者评标标准；限定或者指定特定的专利、商标、品牌、原产地或者供应商；非法限定参加企业的所有制形式、组织形式或者所在地；设置其他不合理限制、排斥条件等。</w:t>
      </w:r>
    </w:p>
    <w:p>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2、违反《中小企业促进法》相关规定的。</w:t>
      </w:r>
      <w:r>
        <w:rPr>
          <w:rFonts w:hint="eastAsia" w:ascii="仿宋_GB2312" w:hAnsi="仿宋_GB2312" w:eastAsia="仿宋_GB2312" w:cs="仿宋_GB2312"/>
          <w:color w:val="000000" w:themeColor="text1"/>
          <w:sz w:val="32"/>
          <w:szCs w:val="32"/>
          <w14:textFill>
            <w14:solidFill>
              <w14:schemeClr w14:val="tx1"/>
            </w14:solidFill>
          </w14:textFill>
        </w:rPr>
        <w:t>政府采购过程中在 企业股权结构、经营年限、经营规模和财务指标等方面对中小企 业实行差别待遇或者歧视待遇；有关单位对中小企业执行目录清 单之外的行政事业性收费，对中小企业擅自提高收费标准、扩大 收费范围。</w:t>
      </w:r>
    </w:p>
    <w:p>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3、违反国务院《优化营商环境条例》《山东省优化营商环境条例》相关规定的。</w:t>
      </w:r>
      <w:r>
        <w:rPr>
          <w:rFonts w:hint="eastAsia" w:ascii="仿宋_GB2312" w:hAnsi="仿宋_GB2312" w:eastAsia="仿宋_GB2312" w:cs="仿宋_GB2312"/>
          <w:color w:val="000000" w:themeColor="text1"/>
          <w:sz w:val="32"/>
          <w:szCs w:val="32"/>
          <w14:textFill>
            <w14:solidFill>
              <w14:schemeClr w14:val="tx1"/>
            </w14:solidFill>
          </w14:textFill>
        </w:rPr>
        <w:t>政府及其有关部门在政府资金安排、土地供应、税费减免、资质许可、标准制定、项目申报、职称评定、人力资源政策等方面，未依法平等对待各类市场主体，制定或者实施歧视性政策措施；</w:t>
      </w:r>
      <w:r>
        <w:rPr>
          <w:rFonts w:hint="eastAsia" w:ascii="仿宋_GB2312" w:hAnsi="仿宋_GB2312" w:eastAsia="仿宋_GB2312" w:cs="仿宋_GB2312"/>
          <w:color w:val="0D0D0D" w:themeColor="text1" w:themeTint="F2"/>
          <w:sz w:val="32"/>
          <w:szCs w:val="32"/>
          <w14:textFill>
            <w14:solidFill>
              <w14:schemeClr w14:val="tx1">
                <w14:lumMod w14:val="95000"/>
                <w14:lumOff w14:val="5000"/>
              </w14:schemeClr>
            </w14:solidFill>
          </w14:textFill>
        </w:rPr>
        <w:t>商业银行等金融机构在授信中设置不合理条件，对民营企业、中小企业设置歧视性要求等。</w:t>
      </w:r>
      <w:r>
        <w:rPr>
          <w:rFonts w:hint="eastAsia" w:ascii="仿宋_GB2312" w:hAnsi="仿宋_GB2312" w:eastAsia="仿宋_GB2312" w:cs="仿宋_GB2312"/>
          <w:color w:val="000000" w:themeColor="text1"/>
          <w:sz w:val="32"/>
          <w:szCs w:val="32"/>
          <w14:textFill>
            <w14:solidFill>
              <w14:schemeClr w14:val="tx1"/>
            </w14:solidFill>
          </w14:textFill>
        </w:rPr>
        <w:t>针对国家规定的市场准入负面清单以外的领域，不公平对待各类市场主体；颁布施行歧视非公有制市场主体的政策措施；在市场准入、融资借贷、招标投标等领域设置不合理条件限制或者排斥非公有制市场主体的。</w:t>
      </w:r>
    </w:p>
    <w:p>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4、违反公平竞争审查制度相关标准的。</w:t>
      </w:r>
      <w:r>
        <w:rPr>
          <w:rFonts w:hint="eastAsia" w:ascii="仿宋_GB2312" w:hAnsi="仿宋_GB2312" w:eastAsia="仿宋_GB2312" w:cs="仿宋_GB2312"/>
          <w:color w:val="000000" w:themeColor="text1"/>
          <w:sz w:val="32"/>
          <w:szCs w:val="32"/>
          <w14:textFill>
            <w14:solidFill>
              <w14:schemeClr w14:val="tx1"/>
            </w14:solidFill>
          </w14:textFill>
        </w:rPr>
        <w:t>设置明显不必要或者超出实际需要的准入和退出条件；没有法律法规依据或者国务院 规定，对不同所有制、地区、组织形式的经营者实施差别化待遇; 设置歧视性条件，使经营者无法公平参与特许经营权竞争。制定政府定价或者政府指导价时，对外地和进口同类商品、服务制定歧视性价格；对相关商品、服务进行补贴时，对外地同类商品、服务和进口同类商品不予补贴或者给予较低补贴。对外地经营者在本地的投资不给予与本地经营者同等的政策待遇；对外地经营者在本地设立的分支机构在经营规模、经营方式、税费缴纳等方面规定与本地经营者不同的要求；在节能环保、安全生产、健康卫生、工程质量、市场监管等方面，对外地经营者在本地设立的分支机构规定歧视性监管标准和要求。</w:t>
      </w:r>
    </w:p>
    <w:p>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 w:hAnsi="仿宋" w:eastAsia="仿宋"/>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5、其他涉及歧视性待遇和不公平市场待遇内容的政策措施。</w:t>
      </w:r>
      <w:r>
        <w:rPr>
          <w:rFonts w:hint="eastAsia" w:ascii="仿宋_GB2312" w:hAnsi="仿宋_GB2312" w:eastAsia="仿宋_GB2312" w:cs="仿宋_GB2312"/>
          <w:color w:val="000000" w:themeColor="text1"/>
          <w:sz w:val="32"/>
          <w:szCs w:val="32"/>
          <w14:textFill>
            <w14:solidFill>
              <w14:schemeClr w14:val="tx1"/>
            </w14:solidFill>
          </w14:textFill>
        </w:rPr>
        <w:t>包括但不限于：限定或者变相限定经营、购买、使用特定经营者</w:t>
      </w:r>
      <w:r>
        <w:rPr>
          <w:rFonts w:hint="eastAsia" w:ascii="仿宋" w:hAnsi="仿宋" w:eastAsia="仿宋"/>
          <w:color w:val="000000" w:themeColor="text1"/>
          <w:sz w:val="32"/>
          <w:szCs w:val="32"/>
          <w14:textFill>
            <w14:solidFill>
              <w14:schemeClr w14:val="tx1"/>
            </w14:solidFill>
          </w14:textFill>
        </w:rPr>
        <w:t>提供的商品和服务；没有法律法规依据，通过设置项目库、名录库等方式，排斥或者限制潜在经营者提供商品和服务等。</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黑体" w:hAnsi="黑体" w:eastAsia="黑体"/>
          <w:color w:val="000000" w:themeColor="text1"/>
          <w14:textFill>
            <w14:solidFill>
              <w14:schemeClr w14:val="tx1"/>
            </w14:solidFill>
          </w14:textFill>
        </w:rPr>
      </w:pPr>
      <w:r>
        <w:rPr>
          <w:rFonts w:hint="eastAsia" w:ascii="黑体" w:hAnsi="黑体" w:eastAsia="黑体"/>
          <w:color w:val="000000" w:themeColor="text1"/>
          <w14:textFill>
            <w14:solidFill>
              <w14:schemeClr w14:val="tx1"/>
            </w14:solidFill>
          </w14:textFill>
        </w:rPr>
        <w:t>三、工作安排</w:t>
      </w:r>
    </w:p>
    <w:p>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 w:hAnsi="仿宋" w:eastAsia="仿宋"/>
          <w:color w:val="000000" w:themeColor="text1"/>
          <w:sz w:val="32"/>
          <w:szCs w:val="32"/>
          <w14:textFill>
            <w14:solidFill>
              <w14:schemeClr w14:val="tx1"/>
            </w14:solidFill>
          </w14:textFill>
        </w:rPr>
      </w:pPr>
      <w:r>
        <w:rPr>
          <w:rFonts w:hint="eastAsia" w:ascii="楷体_GB2312" w:hAnsi="楷体_GB2312" w:eastAsia="楷体_GB2312" w:cs="楷体_GB2312"/>
          <w:b w:val="0"/>
          <w:bCs/>
          <w:color w:val="000000" w:themeColor="text1"/>
          <w:sz w:val="32"/>
          <w:szCs w:val="32"/>
          <w14:textFill>
            <w14:solidFill>
              <w14:schemeClr w14:val="tx1"/>
            </w14:solidFill>
          </w14:textFill>
        </w:rPr>
        <w:t>（一）动员部署。</w:t>
      </w:r>
      <w:r>
        <w:rPr>
          <w:rFonts w:hint="eastAsia" w:ascii="仿宋" w:hAnsi="仿宋" w:eastAsia="仿宋"/>
          <w:color w:val="000000" w:themeColor="text1"/>
          <w:sz w:val="32"/>
          <w:szCs w:val="32"/>
          <w:lang w:eastAsia="zh-CN"/>
          <w14:textFill>
            <w14:solidFill>
              <w14:schemeClr w14:val="tx1"/>
            </w14:solidFill>
          </w14:textFill>
        </w:rPr>
        <w:t>县</w:t>
      </w:r>
      <w:r>
        <w:rPr>
          <w:rFonts w:hint="eastAsia" w:ascii="仿宋" w:hAnsi="仿宋" w:eastAsia="仿宋"/>
          <w:color w:val="000000" w:themeColor="text1"/>
          <w:sz w:val="32"/>
          <w:szCs w:val="32"/>
          <w14:textFill>
            <w14:solidFill>
              <w14:schemeClr w14:val="tx1"/>
            </w14:solidFill>
          </w14:textFill>
        </w:rPr>
        <w:t>市场监管局、</w:t>
      </w:r>
      <w:r>
        <w:rPr>
          <w:rFonts w:hint="eastAsia" w:ascii="仿宋" w:hAnsi="仿宋" w:eastAsia="仿宋"/>
          <w:color w:val="000000" w:themeColor="text1"/>
          <w:sz w:val="32"/>
          <w:szCs w:val="32"/>
          <w:lang w:eastAsia="zh-CN"/>
          <w14:textFill>
            <w14:solidFill>
              <w14:schemeClr w14:val="tx1"/>
            </w14:solidFill>
          </w14:textFill>
        </w:rPr>
        <w:t>县</w:t>
      </w:r>
      <w:r>
        <w:rPr>
          <w:rFonts w:hint="eastAsia" w:ascii="仿宋" w:hAnsi="仿宋" w:eastAsia="仿宋"/>
          <w:color w:val="000000" w:themeColor="text1"/>
          <w:sz w:val="32"/>
          <w:szCs w:val="32"/>
          <w14:textFill>
            <w14:solidFill>
              <w14:schemeClr w14:val="tx1"/>
            </w14:solidFill>
          </w14:textFill>
        </w:rPr>
        <w:t>司法局</w:t>
      </w:r>
      <w:r>
        <w:rPr>
          <w:rFonts w:hint="eastAsia" w:ascii="仿宋" w:hAnsi="仿宋" w:eastAsia="仿宋"/>
          <w:color w:val="000000" w:themeColor="text1"/>
          <w:sz w:val="32"/>
          <w:szCs w:val="32"/>
          <w:lang w:eastAsia="zh-CN"/>
          <w14:textFill>
            <w14:solidFill>
              <w14:schemeClr w14:val="tx1"/>
            </w14:solidFill>
          </w14:textFill>
        </w:rPr>
        <w:t>统筹安排</w:t>
      </w:r>
      <w:r>
        <w:rPr>
          <w:rFonts w:hint="eastAsia" w:ascii="仿宋" w:hAnsi="仿宋" w:eastAsia="仿宋"/>
          <w:color w:val="000000" w:themeColor="text1"/>
          <w:sz w:val="32"/>
          <w:szCs w:val="32"/>
          <w14:textFill>
            <w14:solidFill>
              <w14:schemeClr w14:val="tx1"/>
            </w14:solidFill>
          </w14:textFill>
        </w:rPr>
        <w:t>组织</w:t>
      </w:r>
      <w:r>
        <w:rPr>
          <w:rFonts w:hint="eastAsia" w:ascii="仿宋" w:hAnsi="仿宋" w:eastAsia="仿宋"/>
          <w:color w:val="000000" w:themeColor="text1"/>
          <w:sz w:val="32"/>
          <w:szCs w:val="32"/>
          <w:lang w:eastAsia="zh-CN"/>
          <w14:textFill>
            <w14:solidFill>
              <w14:schemeClr w14:val="tx1"/>
            </w14:solidFill>
          </w14:textFill>
        </w:rPr>
        <w:t>好这次清查</w:t>
      </w:r>
      <w:r>
        <w:rPr>
          <w:rFonts w:hint="eastAsia" w:ascii="仿宋" w:hAnsi="仿宋" w:eastAsia="仿宋"/>
          <w:color w:val="000000" w:themeColor="text1"/>
          <w:sz w:val="32"/>
          <w:szCs w:val="32"/>
          <w14:textFill>
            <w14:solidFill>
              <w14:schemeClr w14:val="tx1"/>
            </w14:solidFill>
          </w14:textFill>
        </w:rPr>
        <w:t>工作，督促</w:t>
      </w:r>
      <w:r>
        <w:rPr>
          <w:rFonts w:hint="eastAsia" w:ascii="仿宋" w:hAnsi="仿宋" w:eastAsia="仿宋"/>
          <w:color w:val="000000" w:themeColor="text1"/>
          <w:sz w:val="32"/>
          <w:szCs w:val="32"/>
          <w:lang w:eastAsia="zh-CN"/>
          <w14:textFill>
            <w14:solidFill>
              <w14:schemeClr w14:val="tx1"/>
            </w14:solidFill>
          </w14:textFill>
        </w:rPr>
        <w:t>县直</w:t>
      </w:r>
      <w:r>
        <w:rPr>
          <w:rFonts w:hint="eastAsia" w:ascii="仿宋" w:hAnsi="仿宋" w:eastAsia="仿宋"/>
          <w:color w:val="000000" w:themeColor="text1"/>
          <w:sz w:val="32"/>
          <w:szCs w:val="32"/>
          <w14:textFill>
            <w14:solidFill>
              <w14:schemeClr w14:val="tx1"/>
            </w14:solidFill>
          </w14:textFill>
        </w:rPr>
        <w:t>有关</w:t>
      </w:r>
      <w:r>
        <w:rPr>
          <w:rFonts w:hint="eastAsia" w:ascii="仿宋" w:hAnsi="仿宋" w:eastAsia="仿宋"/>
          <w:color w:val="000000" w:themeColor="text1"/>
          <w:sz w:val="32"/>
          <w:szCs w:val="32"/>
          <w:lang w:eastAsia="zh-CN"/>
          <w14:textFill>
            <w14:solidFill>
              <w14:schemeClr w14:val="tx1"/>
            </w14:solidFill>
          </w14:textFill>
        </w:rPr>
        <w:t>单位</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附件</w:t>
      </w:r>
      <w:r>
        <w:rPr>
          <w:rFonts w:hint="eastAsia" w:ascii="仿宋" w:hAnsi="仿宋" w:eastAsia="仿宋"/>
          <w:color w:val="000000" w:themeColor="text1"/>
          <w:sz w:val="32"/>
          <w:szCs w:val="32"/>
          <w:lang w:val="en-US" w:eastAsia="zh-CN"/>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）积极贯彻落实通知要求</w:t>
      </w:r>
      <w:r>
        <w:rPr>
          <w:rFonts w:hint="eastAsia" w:ascii="仿宋" w:hAnsi="仿宋" w:eastAsia="仿宋"/>
          <w:color w:val="000000" w:themeColor="text1"/>
          <w:sz w:val="32"/>
          <w:szCs w:val="32"/>
          <w:lang w:eastAsia="zh-CN"/>
          <w14:textFill>
            <w14:solidFill>
              <w14:schemeClr w14:val="tx1"/>
            </w14:solidFill>
          </w14:textFill>
        </w:rPr>
        <w:t>，确保清查工作落到实处</w:t>
      </w:r>
      <w:r>
        <w:rPr>
          <w:rFonts w:hint="eastAsia" w:ascii="仿宋" w:hAnsi="仿宋" w:eastAsia="仿宋"/>
          <w:color w:val="000000" w:themeColor="text1"/>
          <w:sz w:val="32"/>
          <w:szCs w:val="32"/>
          <w14:textFill>
            <w14:solidFill>
              <w14:schemeClr w14:val="tx1"/>
            </w14:solidFill>
          </w14:textFill>
        </w:rPr>
        <w:t>。</w:t>
      </w:r>
    </w:p>
    <w:p>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 w:hAnsi="仿宋" w:eastAsia="仿宋"/>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color w:val="000000" w:themeColor="text1"/>
          <w:sz w:val="32"/>
          <w:szCs w:val="32"/>
          <w14:textFill>
            <w14:solidFill>
              <w14:schemeClr w14:val="tx1"/>
            </w14:solidFill>
          </w14:textFill>
        </w:rPr>
        <w:t>（二）自查清理。</w:t>
      </w:r>
      <w:r>
        <w:rPr>
          <w:rFonts w:hint="eastAsia" w:ascii="仿宋" w:hAnsi="仿宋" w:eastAsia="仿宋"/>
          <w:color w:val="000000" w:themeColor="text1"/>
          <w:sz w:val="32"/>
          <w:szCs w:val="32"/>
          <w14:textFill>
            <w14:solidFill>
              <w14:schemeClr w14:val="tx1"/>
            </w14:solidFill>
          </w14:textFill>
        </w:rPr>
        <w:t>自</w:t>
      </w:r>
      <w:r>
        <w:rPr>
          <w:rFonts w:hint="eastAsia" w:ascii="仿宋" w:hAnsi="仿宋" w:eastAsia="仿宋"/>
          <w:color w:val="000000" w:themeColor="text1"/>
          <w:sz w:val="32"/>
          <w:szCs w:val="32"/>
          <w:lang w:val="en-US" w:eastAsia="zh-CN"/>
          <w14:textFill>
            <w14:solidFill>
              <w14:schemeClr w14:val="tx1"/>
            </w14:solidFill>
          </w14:textFill>
        </w:rPr>
        <w:t>5</w:t>
      </w:r>
      <w:r>
        <w:rPr>
          <w:rFonts w:hint="eastAsia" w:ascii="仿宋" w:hAnsi="仿宋" w:eastAsia="仿宋"/>
          <w:color w:val="000000" w:themeColor="text1"/>
          <w:sz w:val="32"/>
          <w:szCs w:val="32"/>
          <w14:textFill>
            <w14:solidFill>
              <w14:schemeClr w14:val="tx1"/>
            </w14:solidFill>
          </w14:textFill>
        </w:rPr>
        <w:t>月</w:t>
      </w:r>
      <w:r>
        <w:rPr>
          <w:rFonts w:hint="eastAsia" w:ascii="仿宋" w:hAnsi="仿宋" w:eastAsia="仿宋"/>
          <w:color w:val="000000" w:themeColor="text1"/>
          <w:sz w:val="32"/>
          <w:szCs w:val="32"/>
          <w:lang w:val="en-US" w:eastAsia="zh-CN"/>
          <w14:textFill>
            <w14:solidFill>
              <w14:schemeClr w14:val="tx1"/>
            </w14:solidFill>
          </w14:textFill>
        </w:rPr>
        <w:t>6</w:t>
      </w:r>
      <w:r>
        <w:rPr>
          <w:rFonts w:hint="eastAsia" w:ascii="仿宋" w:hAnsi="仿宋" w:eastAsia="仿宋"/>
          <w:color w:val="000000" w:themeColor="text1"/>
          <w:sz w:val="32"/>
          <w:szCs w:val="32"/>
          <w14:textFill>
            <w14:solidFill>
              <w14:schemeClr w14:val="tx1"/>
            </w14:solidFill>
          </w14:textFill>
        </w:rPr>
        <w:t>日至5月</w:t>
      </w:r>
      <w:r>
        <w:rPr>
          <w:rFonts w:hint="eastAsia" w:ascii="仿宋" w:hAnsi="仿宋" w:eastAsia="仿宋"/>
          <w:color w:val="000000" w:themeColor="text1"/>
          <w:sz w:val="32"/>
          <w:szCs w:val="32"/>
          <w:lang w:val="en-US" w:eastAsia="zh-CN"/>
          <w14:textFill>
            <w14:solidFill>
              <w14:schemeClr w14:val="tx1"/>
            </w14:solidFill>
          </w14:textFill>
        </w:rPr>
        <w:t>28</w:t>
      </w:r>
      <w:r>
        <w:rPr>
          <w:rFonts w:hint="eastAsia" w:ascii="仿宋" w:hAnsi="仿宋" w:eastAsia="仿宋"/>
          <w:color w:val="000000" w:themeColor="text1"/>
          <w:sz w:val="32"/>
          <w:szCs w:val="32"/>
          <w14:textFill>
            <w14:solidFill>
              <w14:schemeClr w14:val="tx1"/>
            </w14:solidFill>
          </w14:textFill>
        </w:rPr>
        <w:t>日，</w:t>
      </w:r>
      <w:r>
        <w:rPr>
          <w:rFonts w:hint="eastAsia" w:ascii="仿宋" w:hAnsi="仿宋" w:eastAsia="仿宋"/>
          <w:color w:val="000000" w:themeColor="text1"/>
          <w:sz w:val="32"/>
          <w:szCs w:val="32"/>
          <w:lang w:eastAsia="zh-CN"/>
          <w14:textFill>
            <w14:solidFill>
              <w14:schemeClr w14:val="tx1"/>
            </w14:solidFill>
          </w14:textFill>
        </w:rPr>
        <w:t>县直</w:t>
      </w:r>
      <w:r>
        <w:rPr>
          <w:rFonts w:hint="eastAsia" w:ascii="仿宋" w:hAnsi="仿宋" w:eastAsia="仿宋"/>
          <w:color w:val="000000" w:themeColor="text1"/>
          <w:sz w:val="32"/>
          <w:szCs w:val="32"/>
          <w14:textFill>
            <w14:solidFill>
              <w14:schemeClr w14:val="tx1"/>
            </w14:solidFill>
          </w14:textFill>
        </w:rPr>
        <w:t>有关</w:t>
      </w:r>
      <w:r>
        <w:rPr>
          <w:rFonts w:hint="eastAsia" w:ascii="仿宋" w:hAnsi="仿宋" w:eastAsia="仿宋"/>
          <w:color w:val="000000" w:themeColor="text1"/>
          <w:sz w:val="32"/>
          <w:szCs w:val="32"/>
          <w:lang w:eastAsia="zh-CN"/>
          <w14:textFill>
            <w14:solidFill>
              <w14:schemeClr w14:val="tx1"/>
            </w14:solidFill>
          </w14:textFill>
        </w:rPr>
        <w:t>单位</w:t>
      </w:r>
      <w:r>
        <w:rPr>
          <w:rFonts w:hint="eastAsia" w:ascii="仿宋" w:hAnsi="仿宋" w:eastAsia="仿宋"/>
          <w:color w:val="000000" w:themeColor="text1"/>
          <w:sz w:val="32"/>
          <w:szCs w:val="32"/>
          <w14:textFill>
            <w14:solidFill>
              <w14:schemeClr w14:val="tx1"/>
            </w14:solidFill>
          </w14:textFill>
        </w:rPr>
        <w:t>进行全面自查和清理，发现含有歧视性和不公平市场待遇内容的政策措施，应及时按程序进行修改或废止</w:t>
      </w:r>
      <w:r>
        <w:rPr>
          <w:rFonts w:hint="eastAsia" w:ascii="仿宋" w:hAnsi="仿宋" w:eastAsia="仿宋"/>
          <w:color w:val="000000" w:themeColor="text1"/>
          <w:sz w:val="32"/>
          <w:szCs w:val="32"/>
          <w:lang w:eastAsia="zh-CN"/>
          <w14:textFill>
            <w14:solidFill>
              <w14:schemeClr w14:val="tx1"/>
            </w14:solidFill>
          </w14:textFill>
        </w:rPr>
        <w:t>，并形成自查清理情况书面报告（</w:t>
      </w:r>
      <w:r>
        <w:rPr>
          <w:rFonts w:hint="eastAsia" w:ascii="仿宋" w:hAnsi="仿宋" w:eastAsia="仿宋"/>
          <w:color w:val="000000" w:themeColor="text1"/>
          <w:sz w:val="32"/>
          <w:szCs w:val="32"/>
          <w:lang w:val="en-US" w:eastAsia="zh-CN"/>
          <w14:textFill>
            <w14:solidFill>
              <w14:schemeClr w14:val="tx1"/>
            </w14:solidFill>
          </w14:textFill>
        </w:rPr>
        <w:t>PDF格式</w:t>
      </w:r>
      <w:r>
        <w:rPr>
          <w:rFonts w:hint="eastAsia" w:ascii="仿宋" w:hAnsi="仿宋" w:eastAsia="仿宋"/>
          <w:color w:val="000000" w:themeColor="text1"/>
          <w:sz w:val="32"/>
          <w:szCs w:val="32"/>
          <w:lang w:eastAsia="zh-CN"/>
          <w14:textFill>
            <w14:solidFill>
              <w14:schemeClr w14:val="tx1"/>
            </w14:solidFill>
          </w14:textFill>
        </w:rPr>
        <w:t>），加盖单位公章，由主要负责人签字后，连同《</w:t>
      </w:r>
      <w:r>
        <w:rPr>
          <w:rFonts w:hint="eastAsia" w:ascii="仿宋" w:hAnsi="仿宋" w:eastAsia="仿宋"/>
          <w:color w:val="000000" w:themeColor="text1"/>
          <w:sz w:val="32"/>
          <w:szCs w:val="32"/>
          <w14:textFill>
            <w14:solidFill>
              <w14:schemeClr w14:val="tx1"/>
            </w14:solidFill>
          </w14:textFill>
        </w:rPr>
        <w:t>歧视性和不公平市场待遇政策措施清理情况表</w:t>
      </w:r>
      <w:r>
        <w:rPr>
          <w:rFonts w:hint="eastAsia" w:ascii="仿宋" w:hAnsi="仿宋" w:eastAsia="仿宋"/>
          <w:color w:val="000000" w:themeColor="text1"/>
          <w:sz w:val="32"/>
          <w:szCs w:val="32"/>
          <w:lang w:eastAsia="zh-CN"/>
          <w14:textFill>
            <w14:solidFill>
              <w14:schemeClr w14:val="tx1"/>
            </w14:solidFill>
          </w14:textFill>
        </w:rPr>
        <w:t>》（附件</w:t>
      </w:r>
      <w:r>
        <w:rPr>
          <w:rFonts w:hint="eastAsia" w:ascii="仿宋" w:hAnsi="仿宋" w:eastAsia="仿宋"/>
          <w:color w:val="000000" w:themeColor="text1"/>
          <w:sz w:val="32"/>
          <w:szCs w:val="32"/>
          <w:lang w:val="en-US" w:eastAsia="zh-CN"/>
          <w14:textFill>
            <w14:solidFill>
              <w14:schemeClr w14:val="tx1"/>
            </w14:solidFill>
          </w14:textFill>
        </w:rPr>
        <w:t>2</w:t>
      </w:r>
      <w:r>
        <w:rPr>
          <w:rFonts w:hint="eastAsia" w:ascii="仿宋" w:hAnsi="仿宋" w:eastAsia="仿宋"/>
          <w:color w:val="000000" w:themeColor="text1"/>
          <w:sz w:val="32"/>
          <w:szCs w:val="32"/>
          <w:lang w:eastAsia="zh-CN"/>
          <w14:textFill>
            <w14:solidFill>
              <w14:schemeClr w14:val="tx1"/>
            </w14:solidFill>
          </w14:textFill>
        </w:rPr>
        <w:t>），于</w:t>
      </w:r>
      <w:r>
        <w:rPr>
          <w:rFonts w:hint="eastAsia" w:ascii="仿宋" w:hAnsi="仿宋" w:eastAsia="仿宋"/>
          <w:color w:val="000000" w:themeColor="text1"/>
          <w:sz w:val="32"/>
          <w:szCs w:val="32"/>
          <w:lang w:val="en-US" w:eastAsia="zh-CN"/>
          <w14:textFill>
            <w14:solidFill>
              <w14:schemeClr w14:val="tx1"/>
            </w14:solidFill>
          </w14:textFill>
        </w:rPr>
        <w:t>5月28日前一并报送至县市场监管局电子邮箱（附后）。</w:t>
      </w:r>
    </w:p>
    <w:p>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 w:hAnsi="仿宋" w:eastAsia="仿宋"/>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（三）整改总结。</w:t>
      </w:r>
      <w:r>
        <w:rPr>
          <w:rFonts w:hint="eastAsia" w:ascii="仿宋" w:hAnsi="仿宋" w:eastAsia="仿宋"/>
          <w:color w:val="000000" w:themeColor="text1"/>
          <w:sz w:val="32"/>
          <w:szCs w:val="32"/>
          <w:lang w:val="en-US" w:eastAsia="zh-CN"/>
          <w14:textFill>
            <w14:solidFill>
              <w14:schemeClr w14:val="tx1"/>
            </w14:solidFill>
          </w14:textFill>
        </w:rPr>
        <w:t>县市场监管局、县司法局将对我县清理情况进行汇总，并按要求进行上报</w:t>
      </w:r>
      <w:r>
        <w:rPr>
          <w:rFonts w:hint="eastAsia" w:ascii="仿宋" w:hAnsi="仿宋" w:eastAsia="仿宋"/>
          <w:color w:val="000000" w:themeColor="text1"/>
          <w:sz w:val="32"/>
          <w:szCs w:val="32"/>
          <w:lang w:eastAsia="zh-CN"/>
          <w14:textFill>
            <w14:solidFill>
              <w14:schemeClr w14:val="tx1"/>
            </w14:solidFill>
          </w14:textFill>
        </w:rPr>
        <w:t>，同时，做好迎接上级督导检查活动的各项准备工作</w:t>
      </w:r>
      <w:r>
        <w:rPr>
          <w:rFonts w:ascii="仿宋" w:hAnsi="仿宋" w:eastAsia="仿宋"/>
          <w:color w:val="000000" w:themeColor="text1"/>
          <w:sz w:val="32"/>
          <w:szCs w:val="32"/>
          <w14:textFill>
            <w14:solidFill>
              <w14:schemeClr w14:val="tx1"/>
            </w14:solidFill>
          </w14:textFill>
        </w:rPr>
        <w:t>，推动清理工作深入落实。</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黑体" w:hAnsi="黑体" w:eastAsia="黑体"/>
          <w:color w:val="000000" w:themeColor="text1"/>
          <w14:textFill>
            <w14:solidFill>
              <w14:schemeClr w14:val="tx1"/>
            </w14:solidFill>
          </w14:textFill>
        </w:rPr>
      </w:pPr>
      <w:r>
        <w:rPr>
          <w:rFonts w:hint="eastAsia" w:ascii="黑体" w:hAnsi="黑体" w:eastAsia="黑体"/>
          <w:color w:val="000000" w:themeColor="text1"/>
          <w14:textFill>
            <w14:solidFill>
              <w14:schemeClr w14:val="tx1"/>
            </w14:solidFill>
          </w14:textFill>
        </w:rPr>
        <w:t>四、工作要求</w:t>
      </w:r>
    </w:p>
    <w:p>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 w:hAnsi="仿宋" w:eastAsia="仿宋"/>
          <w:color w:val="000000" w:themeColor="text1"/>
          <w:sz w:val="32"/>
          <w:szCs w:val="32"/>
          <w14:textFill>
            <w14:solidFill>
              <w14:schemeClr w14:val="tx1"/>
            </w14:solidFill>
          </w14:textFill>
        </w:rPr>
      </w:pPr>
      <w:r>
        <w:rPr>
          <w:rFonts w:hint="eastAsia" w:ascii="楷体_GB2312" w:hAnsi="楷体_GB2312" w:eastAsia="楷体_GB2312" w:cs="楷体_GB2312"/>
          <w:b w:val="0"/>
          <w:bCs/>
          <w:color w:val="000000" w:themeColor="text1"/>
          <w:sz w:val="32"/>
          <w:szCs w:val="32"/>
          <w14:textFill>
            <w14:solidFill>
              <w14:schemeClr w14:val="tx1"/>
            </w14:solidFill>
          </w14:textFill>
        </w:rPr>
        <w:t>（一）</w:t>
      </w:r>
      <w:r>
        <w:rPr>
          <w:rFonts w:hint="eastAsia" w:ascii="楷体_GB2312" w:hAnsi="楷体_GB2312" w:eastAsia="楷体_GB2312" w:cs="楷体_GB2312"/>
          <w:b w:val="0"/>
          <w:bCs/>
          <w:color w:val="000000" w:themeColor="text1"/>
          <w:sz w:val="32"/>
          <w:szCs w:val="32"/>
          <w14:textFill>
            <w14:solidFill>
              <w14:schemeClr w14:val="tx1"/>
            </w14:solidFill>
          </w14:textFill>
        </w:rPr>
        <w:tab/>
      </w:r>
      <w:r>
        <w:rPr>
          <w:rFonts w:hint="eastAsia" w:ascii="楷体_GB2312" w:hAnsi="楷体_GB2312" w:eastAsia="楷体_GB2312" w:cs="楷体_GB2312"/>
          <w:b w:val="0"/>
          <w:bCs/>
          <w:color w:val="000000" w:themeColor="text1"/>
          <w:sz w:val="32"/>
          <w:szCs w:val="32"/>
          <w14:textFill>
            <w14:solidFill>
              <w14:schemeClr w14:val="tx1"/>
            </w14:solidFill>
          </w14:textFill>
        </w:rPr>
        <w:t>周密组织实施</w:t>
      </w:r>
      <w:r>
        <w:rPr>
          <w:rFonts w:hint="eastAsia" w:ascii="楷体_GB2312" w:hAnsi="楷体_GB2312" w:eastAsia="楷体_GB2312" w:cs="楷体_GB2312"/>
          <w:b w:val="0"/>
          <w:bCs/>
          <w:color w:val="000000" w:themeColor="text1"/>
          <w:sz w:val="32"/>
          <w:szCs w:val="32"/>
          <w:lang w:eastAsia="zh-CN"/>
          <w14:textFill>
            <w14:solidFill>
              <w14:schemeClr w14:val="tx1"/>
            </w14:solidFill>
          </w14:textFill>
        </w:rPr>
        <w:t>，提升工作质量</w:t>
      </w:r>
      <w:r>
        <w:rPr>
          <w:rFonts w:hint="eastAsia" w:ascii="楷体_GB2312" w:hAnsi="楷体_GB2312" w:eastAsia="楷体_GB2312" w:cs="楷体_GB2312"/>
          <w:b w:val="0"/>
          <w:bCs/>
          <w:color w:val="000000" w:themeColor="text1"/>
          <w:sz w:val="32"/>
          <w:szCs w:val="32"/>
          <w14:textFill>
            <w14:solidFill>
              <w14:schemeClr w14:val="tx1"/>
            </w14:solidFill>
          </w14:textFill>
        </w:rPr>
        <w:t>。</w:t>
      </w:r>
      <w:r>
        <w:rPr>
          <w:rFonts w:hint="eastAsia" w:ascii="仿宋" w:hAnsi="仿宋" w:eastAsia="仿宋"/>
          <w:b w:val="0"/>
          <w:bCs/>
          <w:color w:val="000000" w:themeColor="text1"/>
          <w:sz w:val="32"/>
          <w:szCs w:val="32"/>
          <w:lang w:eastAsia="zh-CN"/>
          <w14:textFill>
            <w14:solidFill>
              <w14:schemeClr w14:val="tx1"/>
            </w14:solidFill>
          </w14:textFill>
        </w:rPr>
        <w:t>县</w:t>
      </w:r>
      <w:r>
        <w:rPr>
          <w:rFonts w:hint="eastAsia" w:ascii="仿宋" w:hAnsi="仿宋" w:eastAsia="仿宋"/>
          <w:color w:val="000000" w:themeColor="text1"/>
          <w:sz w:val="32"/>
          <w:szCs w:val="32"/>
          <w14:textFill>
            <w14:solidFill>
              <w14:schemeClr w14:val="tx1"/>
            </w14:solidFill>
          </w14:textFill>
        </w:rPr>
        <w:t>市场监管局、</w:t>
      </w:r>
      <w:r>
        <w:rPr>
          <w:rFonts w:hint="eastAsia" w:ascii="仿宋" w:hAnsi="仿宋" w:eastAsia="仿宋"/>
          <w:color w:val="000000" w:themeColor="text1"/>
          <w:sz w:val="32"/>
          <w:szCs w:val="32"/>
          <w:lang w:eastAsia="zh-CN"/>
          <w14:textFill>
            <w14:solidFill>
              <w14:schemeClr w14:val="tx1"/>
            </w14:solidFill>
          </w14:textFill>
        </w:rPr>
        <w:t>县</w:t>
      </w:r>
      <w:r>
        <w:rPr>
          <w:rFonts w:hint="eastAsia" w:ascii="仿宋" w:hAnsi="仿宋" w:eastAsia="仿宋"/>
          <w:color w:val="000000" w:themeColor="text1"/>
          <w:sz w:val="32"/>
          <w:szCs w:val="32"/>
          <w14:textFill>
            <w14:solidFill>
              <w14:schemeClr w14:val="tx1"/>
            </w14:solidFill>
          </w14:textFill>
        </w:rPr>
        <w:t>司法局和其他政府有关部门要切实加强组织保障，明确责任和时限要求，抓紧开展歧视性和不公平市场待遇政策措施清理。要结合</w:t>
      </w:r>
      <w:r>
        <w:rPr>
          <w:rFonts w:hint="eastAsia" w:ascii="仿宋_GB2312" w:hAnsi="仿宋_GB2312" w:eastAsia="仿宋_GB2312" w:cs="仿宋_GB2312"/>
          <w:color w:val="000000" w:themeColor="text1"/>
          <w:sz w:val="32"/>
          <w:szCs w:val="32"/>
          <w14:textFill>
            <w14:solidFill>
              <w14:schemeClr w14:val="tx1"/>
            </w14:solidFill>
          </w14:textFill>
        </w:rPr>
        <w:t>近年来已开展的妨碍统一市场和公平竞争政策措施清理、行政规范</w:t>
      </w:r>
      <w:r>
        <w:rPr>
          <w:rFonts w:hint="eastAsia" w:ascii="仿宋_GB2312" w:hAnsi="仿宋_GB2312" w:eastAsia="仿宋_GB2312" w:cs="仿宋_GB2312"/>
          <w:color w:val="000000" w:themeColor="text1"/>
          <w:sz w:val="32"/>
          <w:szCs w:val="32"/>
          <w:lang w:eastAsia="zh-CN"/>
          <w14:textFill>
            <w14:solidFill>
              <w14:schemeClr w14:val="tx1"/>
            </w14:solidFill>
          </w14:textFill>
        </w:rPr>
        <w:t>性</w:t>
      </w:r>
      <w:r>
        <w:rPr>
          <w:rFonts w:hint="eastAsia" w:ascii="仿宋_GB2312" w:hAnsi="仿宋_GB2312" w:eastAsia="仿宋_GB2312" w:cs="仿宋_GB2312"/>
          <w:color w:val="000000" w:themeColor="text1"/>
          <w:sz w:val="32"/>
          <w:szCs w:val="32"/>
          <w14:textFill>
            <w14:solidFill>
              <w14:schemeClr w14:val="tx1"/>
            </w14:solidFill>
          </w14:textFill>
        </w:rPr>
        <w:t>文件专项清理等工作成果，进一步提高工作质量，做到应清尽清、应废尽废。</w:t>
      </w:r>
    </w:p>
    <w:p>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 w:hAnsi="仿宋" w:eastAsia="仿宋"/>
          <w:color w:val="000000" w:themeColor="text1"/>
          <w:sz w:val="32"/>
          <w:szCs w:val="32"/>
          <w14:textFill>
            <w14:solidFill>
              <w14:schemeClr w14:val="tx1"/>
            </w14:solidFill>
          </w14:textFill>
        </w:rPr>
      </w:pPr>
      <w:r>
        <w:rPr>
          <w:rFonts w:hint="eastAsia" w:ascii="楷体_GB2312" w:hAnsi="楷体_GB2312" w:eastAsia="楷体_GB2312" w:cs="楷体_GB2312"/>
          <w:b w:val="0"/>
          <w:bCs/>
          <w:color w:val="000000" w:themeColor="text1"/>
          <w:sz w:val="32"/>
          <w:szCs w:val="32"/>
          <w14:textFill>
            <w14:solidFill>
              <w14:schemeClr w14:val="tx1"/>
            </w14:solidFill>
          </w14:textFill>
        </w:rPr>
        <w:t>（</w:t>
      </w:r>
      <w:r>
        <w:rPr>
          <w:rFonts w:hint="eastAsia" w:ascii="楷体_GB2312" w:hAnsi="楷体_GB2312" w:eastAsia="楷体_GB2312" w:cs="楷体_GB2312"/>
          <w:b w:val="0"/>
          <w:bCs/>
          <w:color w:val="000000" w:themeColor="text1"/>
          <w:sz w:val="32"/>
          <w:szCs w:val="32"/>
          <w:lang w:eastAsia="zh-CN"/>
          <w14:textFill>
            <w14:solidFill>
              <w14:schemeClr w14:val="tx1"/>
            </w14:solidFill>
          </w14:textFill>
        </w:rPr>
        <w:t>二</w:t>
      </w:r>
      <w:r>
        <w:rPr>
          <w:rFonts w:hint="eastAsia" w:ascii="楷体_GB2312" w:hAnsi="楷体_GB2312" w:eastAsia="楷体_GB2312" w:cs="楷体_GB2312"/>
          <w:b w:val="0"/>
          <w:bCs/>
          <w:color w:val="000000" w:themeColor="text1"/>
          <w:sz w:val="32"/>
          <w:szCs w:val="32"/>
          <w14:textFill>
            <w14:solidFill>
              <w14:schemeClr w14:val="tx1"/>
            </w14:solidFill>
          </w14:textFill>
        </w:rPr>
        <w:t>）</w:t>
      </w:r>
      <w:r>
        <w:rPr>
          <w:rFonts w:hint="eastAsia" w:ascii="楷体_GB2312" w:hAnsi="楷体_GB2312" w:eastAsia="楷体_GB2312" w:cs="楷体_GB2312"/>
          <w:b w:val="0"/>
          <w:bCs/>
          <w:color w:val="000000" w:themeColor="text1"/>
          <w:sz w:val="32"/>
          <w:szCs w:val="32"/>
          <w:lang w:eastAsia="zh-CN"/>
          <w14:textFill>
            <w14:solidFill>
              <w14:schemeClr w14:val="tx1"/>
            </w14:solidFill>
          </w14:textFill>
        </w:rPr>
        <w:t>加强</w:t>
      </w:r>
      <w:r>
        <w:rPr>
          <w:rFonts w:hint="eastAsia" w:ascii="楷体_GB2312" w:hAnsi="楷体_GB2312" w:eastAsia="楷体_GB2312" w:cs="楷体_GB2312"/>
          <w:b w:val="0"/>
          <w:bCs/>
          <w:color w:val="000000" w:themeColor="text1"/>
          <w:sz w:val="32"/>
          <w:szCs w:val="32"/>
          <w14:textFill>
            <w14:solidFill>
              <w14:schemeClr w14:val="tx1"/>
            </w14:solidFill>
          </w14:textFill>
        </w:rPr>
        <w:t>宣传</w:t>
      </w:r>
      <w:r>
        <w:rPr>
          <w:rFonts w:hint="eastAsia" w:ascii="楷体_GB2312" w:hAnsi="楷体_GB2312" w:eastAsia="楷体_GB2312" w:cs="楷体_GB2312"/>
          <w:b w:val="0"/>
          <w:bCs/>
          <w:color w:val="000000" w:themeColor="text1"/>
          <w:sz w:val="32"/>
          <w:szCs w:val="32"/>
          <w:lang w:eastAsia="zh-CN"/>
          <w14:textFill>
            <w14:solidFill>
              <w14:schemeClr w14:val="tx1"/>
            </w14:solidFill>
          </w14:textFill>
        </w:rPr>
        <w:t>工作，拓宽</w:t>
      </w:r>
      <w:r>
        <w:rPr>
          <w:rFonts w:hint="eastAsia" w:ascii="楷体_GB2312" w:hAnsi="楷体_GB2312" w:eastAsia="楷体_GB2312" w:cs="楷体_GB2312"/>
          <w:b w:val="0"/>
          <w:bCs/>
          <w:color w:val="000000" w:themeColor="text1"/>
          <w:sz w:val="32"/>
          <w:szCs w:val="32"/>
          <w14:textFill>
            <w14:solidFill>
              <w14:schemeClr w14:val="tx1"/>
            </w14:solidFill>
          </w14:textFill>
        </w:rPr>
        <w:t>监督</w:t>
      </w:r>
      <w:r>
        <w:rPr>
          <w:rFonts w:hint="eastAsia" w:ascii="楷体_GB2312" w:hAnsi="楷体_GB2312" w:eastAsia="楷体_GB2312" w:cs="楷体_GB2312"/>
          <w:b w:val="0"/>
          <w:bCs/>
          <w:color w:val="000000" w:themeColor="text1"/>
          <w:sz w:val="32"/>
          <w:szCs w:val="32"/>
          <w:lang w:eastAsia="zh-CN"/>
          <w14:textFill>
            <w14:solidFill>
              <w14:schemeClr w14:val="tx1"/>
            </w14:solidFill>
          </w14:textFill>
        </w:rPr>
        <w:t>渠道</w:t>
      </w:r>
      <w:r>
        <w:rPr>
          <w:rFonts w:hint="eastAsia" w:ascii="楷体_GB2312" w:hAnsi="楷体_GB2312" w:eastAsia="楷体_GB2312" w:cs="楷体_GB2312"/>
          <w:b w:val="0"/>
          <w:bCs/>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县直</w:t>
      </w:r>
      <w:r>
        <w:rPr>
          <w:rFonts w:hint="eastAsia" w:ascii="仿宋" w:hAnsi="仿宋" w:eastAsia="仿宋"/>
          <w:color w:val="000000" w:themeColor="text1"/>
          <w:sz w:val="32"/>
          <w:szCs w:val="32"/>
          <w14:textFill>
            <w14:solidFill>
              <w14:schemeClr w14:val="tx1"/>
            </w14:solidFill>
          </w14:textFill>
        </w:rPr>
        <w:t>有关单位要通过政府或部门网站、新闻媒体加强宣传，畅通举报渠道，广泛听取社会公众意见，及时向社会公开清理结果，接受社会监督。对任何单位和个人反映含有歧视性和不公平市场待遇内容的政策措施，要展开调查核实，纳入重点清理范围。</w:t>
      </w:r>
    </w:p>
    <w:p>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 w:hAnsi="仿宋" w:eastAsia="仿宋"/>
          <w:color w:val="000000" w:themeColor="text1"/>
          <w:sz w:val="32"/>
          <w:szCs w:val="32"/>
          <w14:textFill>
            <w14:solidFill>
              <w14:schemeClr w14:val="tx1"/>
            </w14:solidFill>
          </w14:textFill>
        </w:rPr>
      </w:pPr>
      <w:r>
        <w:rPr>
          <w:rFonts w:hint="eastAsia" w:ascii="楷体_GB2312" w:hAnsi="楷体_GB2312" w:eastAsia="楷体_GB2312" w:cs="楷体_GB2312"/>
          <w:b w:val="0"/>
          <w:bCs/>
          <w:color w:val="000000" w:themeColor="text1"/>
          <w:sz w:val="32"/>
          <w:szCs w:val="32"/>
          <w14:textFill>
            <w14:solidFill>
              <w14:schemeClr w14:val="tx1"/>
            </w14:solidFill>
          </w14:textFill>
        </w:rPr>
        <w:t>（</w:t>
      </w:r>
      <w:r>
        <w:rPr>
          <w:rFonts w:hint="eastAsia" w:ascii="楷体_GB2312" w:hAnsi="楷体_GB2312" w:eastAsia="楷体_GB2312" w:cs="楷体_GB2312"/>
          <w:b w:val="0"/>
          <w:bCs/>
          <w:color w:val="000000" w:themeColor="text1"/>
          <w:sz w:val="32"/>
          <w:szCs w:val="32"/>
          <w:lang w:eastAsia="zh-CN"/>
          <w14:textFill>
            <w14:solidFill>
              <w14:schemeClr w14:val="tx1"/>
            </w14:solidFill>
          </w14:textFill>
        </w:rPr>
        <w:t>三</w:t>
      </w:r>
      <w:r>
        <w:rPr>
          <w:rFonts w:hint="eastAsia" w:ascii="楷体_GB2312" w:hAnsi="楷体_GB2312" w:eastAsia="楷体_GB2312" w:cs="楷体_GB2312"/>
          <w:b w:val="0"/>
          <w:bCs/>
          <w:color w:val="000000" w:themeColor="text1"/>
          <w:sz w:val="32"/>
          <w:szCs w:val="32"/>
          <w14:textFill>
            <w14:solidFill>
              <w14:schemeClr w14:val="tx1"/>
            </w14:solidFill>
          </w14:textFill>
        </w:rPr>
        <w:t>）</w:t>
      </w:r>
      <w:r>
        <w:rPr>
          <w:rFonts w:hint="eastAsia" w:ascii="楷体_GB2312" w:hAnsi="楷体_GB2312" w:eastAsia="楷体_GB2312" w:cs="楷体_GB2312"/>
          <w:b w:val="0"/>
          <w:bCs/>
          <w:color w:val="000000" w:themeColor="text1"/>
          <w:sz w:val="32"/>
          <w:szCs w:val="32"/>
          <w14:textFill>
            <w14:solidFill>
              <w14:schemeClr w14:val="tx1"/>
            </w14:solidFill>
          </w14:textFill>
        </w:rPr>
        <w:tab/>
      </w:r>
      <w:r>
        <w:rPr>
          <w:rFonts w:hint="eastAsia" w:ascii="楷体_GB2312" w:hAnsi="楷体_GB2312" w:eastAsia="楷体_GB2312" w:cs="楷体_GB2312"/>
          <w:b w:val="0"/>
          <w:bCs/>
          <w:color w:val="000000" w:themeColor="text1"/>
          <w:sz w:val="32"/>
          <w:szCs w:val="32"/>
          <w:lang w:eastAsia="zh-CN"/>
          <w14:textFill>
            <w14:solidFill>
              <w14:schemeClr w14:val="tx1"/>
            </w14:solidFill>
          </w14:textFill>
        </w:rPr>
        <w:t>加强汇总分析，</w:t>
      </w:r>
      <w:r>
        <w:rPr>
          <w:rFonts w:hint="eastAsia" w:ascii="楷体_GB2312" w:hAnsi="楷体_GB2312" w:eastAsia="楷体_GB2312" w:cs="楷体_GB2312"/>
          <w:b w:val="0"/>
          <w:bCs/>
          <w:color w:val="000000" w:themeColor="text1"/>
          <w:sz w:val="32"/>
          <w:szCs w:val="32"/>
          <w14:textFill>
            <w14:solidFill>
              <w14:schemeClr w14:val="tx1"/>
            </w14:solidFill>
          </w14:textFill>
        </w:rPr>
        <w:t>及时报送</w:t>
      </w:r>
      <w:r>
        <w:rPr>
          <w:rFonts w:hint="eastAsia" w:ascii="楷体_GB2312" w:hAnsi="楷体_GB2312" w:eastAsia="楷体_GB2312" w:cs="楷体_GB2312"/>
          <w:b w:val="0"/>
          <w:bCs/>
          <w:color w:val="000000" w:themeColor="text1"/>
          <w:sz w:val="32"/>
          <w:szCs w:val="32"/>
          <w:lang w:eastAsia="zh-CN"/>
          <w14:textFill>
            <w14:solidFill>
              <w14:schemeClr w14:val="tx1"/>
            </w14:solidFill>
          </w14:textFill>
        </w:rPr>
        <w:t>信息</w:t>
      </w:r>
      <w:r>
        <w:rPr>
          <w:rFonts w:hint="eastAsia" w:ascii="楷体_GB2312" w:hAnsi="楷体_GB2312" w:eastAsia="楷体_GB2312" w:cs="楷体_GB2312"/>
          <w:b w:val="0"/>
          <w:bCs/>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县直</w:t>
      </w:r>
      <w:r>
        <w:rPr>
          <w:rFonts w:hint="eastAsia" w:ascii="仿宋" w:hAnsi="仿宋" w:eastAsia="仿宋"/>
          <w:color w:val="000000" w:themeColor="text1"/>
          <w:sz w:val="32"/>
          <w:szCs w:val="32"/>
          <w14:textFill>
            <w14:solidFill>
              <w14:schemeClr w14:val="tx1"/>
            </w14:solidFill>
          </w14:textFill>
        </w:rPr>
        <w:t>有关单位</w:t>
      </w:r>
      <w:r>
        <w:rPr>
          <w:rFonts w:hint="eastAsia" w:ascii="仿宋" w:hAnsi="仿宋" w:eastAsia="仿宋"/>
          <w:color w:val="000000" w:themeColor="text1"/>
          <w:sz w:val="32"/>
          <w:szCs w:val="32"/>
          <w:lang w:eastAsia="zh-CN"/>
          <w14:textFill>
            <w14:solidFill>
              <w14:schemeClr w14:val="tx1"/>
            </w14:solidFill>
          </w14:textFill>
        </w:rPr>
        <w:t>要</w:t>
      </w:r>
      <w:r>
        <w:rPr>
          <w:rFonts w:hint="eastAsia" w:ascii="仿宋" w:hAnsi="仿宋" w:eastAsia="仿宋"/>
          <w:color w:val="000000" w:themeColor="text1"/>
          <w:sz w:val="32"/>
          <w:szCs w:val="32"/>
          <w14:textFill>
            <w14:solidFill>
              <w14:schemeClr w14:val="tx1"/>
            </w14:solidFill>
          </w14:textFill>
        </w:rPr>
        <w:t>全面梳理和总结清理工作中存在的典型问题和经验做法，努力整改政策措施制定过程中存在的问题，推动清理工作全面落实</w:t>
      </w:r>
      <w:r>
        <w:rPr>
          <w:rFonts w:hint="eastAsia" w:ascii="仿宋" w:hAnsi="仿宋" w:eastAsia="仿宋"/>
          <w:color w:val="000000" w:themeColor="text1"/>
          <w:sz w:val="32"/>
          <w:szCs w:val="32"/>
          <w:lang w:eastAsia="zh-CN"/>
          <w14:textFill>
            <w14:solidFill>
              <w14:schemeClr w14:val="tx1"/>
            </w14:solidFill>
          </w14:textFill>
        </w:rPr>
        <w:t>；对清理工作中遇到的困难、问题以及意见和建议，请及时</w:t>
      </w:r>
      <w:r>
        <w:rPr>
          <w:rFonts w:hint="eastAsia" w:ascii="仿宋" w:hAnsi="仿宋" w:eastAsia="仿宋"/>
          <w:color w:val="000000" w:themeColor="text1"/>
          <w:sz w:val="32"/>
          <w:szCs w:val="32"/>
          <w14:textFill>
            <w14:solidFill>
              <w14:schemeClr w14:val="tx1"/>
            </w14:solidFill>
          </w14:textFill>
        </w:rPr>
        <w:t>分别报送至</w:t>
      </w:r>
      <w:r>
        <w:rPr>
          <w:rFonts w:hint="eastAsia" w:ascii="仿宋" w:hAnsi="仿宋" w:eastAsia="仿宋"/>
          <w:color w:val="000000" w:themeColor="text1"/>
          <w:sz w:val="32"/>
          <w:szCs w:val="32"/>
          <w:lang w:eastAsia="zh-CN"/>
          <w14:textFill>
            <w14:solidFill>
              <w14:schemeClr w14:val="tx1"/>
            </w14:solidFill>
          </w14:textFill>
        </w:rPr>
        <w:t>县</w:t>
      </w:r>
      <w:r>
        <w:rPr>
          <w:rFonts w:hint="eastAsia" w:ascii="仿宋" w:hAnsi="仿宋" w:eastAsia="仿宋"/>
          <w:color w:val="000000" w:themeColor="text1"/>
          <w:sz w:val="32"/>
          <w:szCs w:val="32"/>
          <w14:textFill>
            <w14:solidFill>
              <w14:schemeClr w14:val="tx1"/>
            </w14:solidFill>
          </w14:textFill>
        </w:rPr>
        <w:t>市场监管局和</w:t>
      </w:r>
      <w:r>
        <w:rPr>
          <w:rFonts w:hint="eastAsia" w:ascii="仿宋" w:hAnsi="仿宋" w:eastAsia="仿宋"/>
          <w:color w:val="000000" w:themeColor="text1"/>
          <w:sz w:val="32"/>
          <w:szCs w:val="32"/>
          <w:lang w:eastAsia="zh-CN"/>
          <w14:textFill>
            <w14:solidFill>
              <w14:schemeClr w14:val="tx1"/>
            </w14:solidFill>
          </w14:textFill>
        </w:rPr>
        <w:t>县</w:t>
      </w:r>
      <w:r>
        <w:rPr>
          <w:rFonts w:hint="eastAsia" w:ascii="仿宋" w:hAnsi="仿宋" w:eastAsia="仿宋"/>
          <w:color w:val="000000" w:themeColor="text1"/>
          <w:sz w:val="32"/>
          <w:szCs w:val="32"/>
          <w14:textFill>
            <w14:solidFill>
              <w14:schemeClr w14:val="tx1"/>
            </w14:solidFill>
          </w14:textFill>
        </w:rPr>
        <w:t>司法</w:t>
      </w:r>
      <w:r>
        <w:rPr>
          <w:rFonts w:hint="eastAsia" w:ascii="仿宋" w:hAnsi="仿宋" w:eastAsia="仿宋"/>
          <w:color w:val="000000" w:themeColor="text1"/>
          <w:sz w:val="32"/>
          <w:szCs w:val="32"/>
          <w:lang w:eastAsia="zh-CN"/>
          <w14:textFill>
            <w14:solidFill>
              <w14:schemeClr w14:val="tx1"/>
            </w14:solidFill>
          </w14:textFill>
        </w:rPr>
        <w:t>局</w:t>
      </w:r>
      <w:r>
        <w:rPr>
          <w:rFonts w:hint="eastAsia" w:ascii="仿宋" w:hAnsi="仿宋" w:eastAsia="仿宋"/>
          <w:color w:val="000000" w:themeColor="text1"/>
          <w:sz w:val="32"/>
          <w:szCs w:val="32"/>
          <w14:textFill>
            <w14:solidFill>
              <w14:schemeClr w14:val="tx1"/>
            </w14:solidFill>
          </w14:textFill>
        </w:rPr>
        <w:t>。</w:t>
      </w:r>
    </w:p>
    <w:p>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县市场监管局联系人：</w:t>
      </w:r>
      <w:r>
        <w:rPr>
          <w:rFonts w:hint="eastAsia" w:ascii="仿宋" w:hAnsi="仿宋" w:eastAsia="仿宋"/>
          <w:color w:val="000000" w:themeColor="text1"/>
          <w:sz w:val="32"/>
          <w:szCs w:val="32"/>
          <w:lang w:eastAsia="zh-CN"/>
          <w14:textFill>
            <w14:solidFill>
              <w14:schemeClr w14:val="tx1"/>
            </w14:solidFill>
          </w14:textFill>
        </w:rPr>
        <w:t>陈玉清</w:t>
      </w:r>
      <w:r>
        <w:rPr>
          <w:rFonts w:hint="eastAsia" w:ascii="仿宋" w:hAnsi="仿宋" w:eastAsia="仿宋"/>
          <w:color w:val="000000" w:themeColor="text1"/>
          <w:sz w:val="32"/>
          <w:szCs w:val="32"/>
          <w:lang w:val="en-US" w:eastAsia="zh-CN"/>
          <w14:textFill>
            <w14:solidFill>
              <w14:schemeClr w14:val="tx1"/>
            </w14:solidFill>
          </w14:textFill>
        </w:rPr>
        <w:t xml:space="preserve">  18663598680 </w:t>
      </w:r>
    </w:p>
    <w:p>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联系邮箱：</w:t>
      </w:r>
      <w:r>
        <w:rPr>
          <w:rFonts w:hint="eastAsia" w:ascii="仿宋" w:hAnsi="仿宋" w:eastAsia="仿宋"/>
          <w:color w:val="000000" w:themeColor="text1"/>
          <w:sz w:val="32"/>
          <w:szCs w:val="32"/>
          <w:lang w:val="en-US" w:eastAsia="zh-CN"/>
          <w14:textFill>
            <w14:solidFill>
              <w14:schemeClr w14:val="tx1"/>
            </w14:solidFill>
          </w14:textFill>
        </w:rPr>
        <w:t>gxscjgjfbzdk123@lc.shandong.cn</w:t>
      </w:r>
    </w:p>
    <w:p>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县司法局联系人：</w:t>
      </w:r>
      <w:r>
        <w:rPr>
          <w:rFonts w:hint="eastAsia" w:ascii="仿宋" w:hAnsi="仿宋" w:eastAsia="仿宋"/>
          <w:color w:val="000000" w:themeColor="text1"/>
          <w:sz w:val="32"/>
          <w:szCs w:val="32"/>
          <w:lang w:eastAsia="zh-CN"/>
          <w14:textFill>
            <w14:solidFill>
              <w14:schemeClr w14:val="tx1"/>
            </w14:solidFill>
          </w14:textFill>
        </w:rPr>
        <w:t>刘丽</w:t>
      </w:r>
      <w:r>
        <w:rPr>
          <w:rFonts w:hint="eastAsia" w:ascii="仿宋" w:hAnsi="仿宋" w:eastAsia="仿宋"/>
          <w:color w:val="000000" w:themeColor="text1"/>
          <w:sz w:val="32"/>
          <w:szCs w:val="32"/>
          <w:lang w:val="en-US" w:eastAsia="zh-CN"/>
          <w14:textFill>
            <w14:solidFill>
              <w14:schemeClr w14:val="tx1"/>
            </w14:solidFill>
          </w14:textFill>
        </w:rPr>
        <w:t xml:space="preserve">  18563559505</w:t>
      </w:r>
    </w:p>
    <w:p>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联系邮箱：</w:t>
      </w:r>
      <w:r>
        <w:rPr>
          <w:rFonts w:hint="eastAsia" w:ascii="仿宋" w:hAnsi="仿宋" w:eastAsia="仿宋"/>
          <w:color w:val="000000" w:themeColor="text1"/>
          <w:sz w:val="32"/>
          <w:szCs w:val="32"/>
          <w:lang w:val="en-US" w:eastAsia="zh-CN"/>
          <w14:textFill>
            <w14:solidFill>
              <w14:schemeClr w14:val="tx1"/>
            </w14:solidFill>
          </w14:textFill>
        </w:rPr>
        <w:t>gxsfjliuli@lc.shandong.cn</w:t>
      </w:r>
    </w:p>
    <w:p>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olor w:val="000000" w:themeColor="text1"/>
          <w:sz w:val="32"/>
          <w:szCs w:val="32"/>
          <w14:textFill>
            <w14:solidFill>
              <w14:schemeClr w14:val="tx1"/>
            </w14:solidFill>
          </w14:textFill>
        </w:rPr>
      </w:pPr>
    </w:p>
    <w:p>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18"/>
        <w:textAlignment w:val="auto"/>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 xml:space="preserve">附件：1.县直有关单位名单 </w:t>
      </w:r>
    </w:p>
    <w:p>
      <w:pPr>
        <w:pStyle w:val="7"/>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1600" w:firstLineChars="500"/>
        <w:textAlignment w:val="auto"/>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2. 歧视性和不公平市场待遇政策措施清理情况表</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sz w:val="24"/>
          <w:szCs w:val="24"/>
        </w:rPr>
      </w:pPr>
    </w:p>
    <w:p>
      <w:pPr>
        <w:pStyle w:val="2"/>
        <w:keepNext w:val="0"/>
        <w:keepLines w:val="0"/>
        <w:pageBreakBefore w:val="0"/>
        <w:kinsoku/>
        <w:wordWrap/>
        <w:overflowPunct/>
        <w:topLinePunct w:val="0"/>
        <w:autoSpaceDE/>
        <w:autoSpaceDN/>
        <w:bidi w:val="0"/>
        <w:adjustRightInd/>
        <w:snapToGrid/>
        <w:spacing w:before="0" w:beforeAutospacing="0" w:after="0" w:afterAutospacing="0" w:line="560" w:lineRule="exact"/>
        <w:textAlignment w:val="auto"/>
        <w:rPr>
          <w:rFonts w:hint="eastAsia"/>
        </w:rPr>
      </w:pPr>
    </w:p>
    <w:p>
      <w:pPr>
        <w:keepNext w:val="0"/>
        <w:keepLines w:val="0"/>
        <w:pageBreakBefore w:val="0"/>
        <w:kinsoku/>
        <w:wordWrap/>
        <w:overflowPunct/>
        <w:topLinePunct w:val="0"/>
        <w:autoSpaceDE/>
        <w:autoSpaceDN/>
        <w:bidi w:val="0"/>
        <w:adjustRightInd/>
        <w:snapToGrid/>
        <w:spacing w:beforeAutospacing="0" w:afterAutospacing="0" w:line="560" w:lineRule="exact"/>
        <w:ind w:firstLine="3040" w:firstLineChars="950"/>
        <w:textAlignment w:val="auto"/>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冠县市场监督管理局     冠县司法局</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5760" w:firstLineChars="1800"/>
        <w:textAlignment w:val="auto"/>
        <w:rPr>
          <w:rFonts w:hint="eastAsia" w:ascii="仿宋" w:hAnsi="仿宋" w:eastAsia="仿宋"/>
          <w:color w:val="000000" w:themeColor="text1"/>
          <w:sz w:val="32"/>
          <w:szCs w:val="32"/>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beforeAutospacing="0" w:afterAutospacing="0" w:line="560" w:lineRule="exact"/>
        <w:ind w:firstLine="5760" w:firstLineChars="1800"/>
        <w:textAlignment w:val="auto"/>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2021年4月</w:t>
      </w:r>
      <w:r>
        <w:rPr>
          <w:rFonts w:hint="eastAsia" w:ascii="仿宋" w:hAnsi="仿宋" w:eastAsia="仿宋"/>
          <w:color w:val="000000" w:themeColor="text1"/>
          <w:sz w:val="32"/>
          <w:szCs w:val="32"/>
          <w:lang w:val="en-US" w:eastAsia="zh-CN"/>
          <w14:textFill>
            <w14:solidFill>
              <w14:schemeClr w14:val="tx1"/>
            </w14:solidFill>
          </w14:textFill>
        </w:rPr>
        <w:t>27</w:t>
      </w:r>
      <w:r>
        <w:rPr>
          <w:rFonts w:hint="eastAsia" w:ascii="仿宋" w:hAnsi="仿宋" w:eastAsia="仿宋"/>
          <w:color w:val="000000" w:themeColor="text1"/>
          <w:sz w:val="32"/>
          <w:szCs w:val="32"/>
          <w14:textFill>
            <w14:solidFill>
              <w14:schemeClr w14:val="tx1"/>
            </w14:solidFill>
          </w14:textFill>
        </w:rPr>
        <w:t>日</w:t>
      </w:r>
    </w:p>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sz w:val="24"/>
          <w:szCs w:val="24"/>
        </w:rPr>
      </w:pP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olor w:val="000000" w:themeColor="text1"/>
          <w:sz w:val="32"/>
          <w:szCs w:val="32"/>
          <w14:textFill>
            <w14:solidFill>
              <w14:schemeClr w14:val="tx1"/>
            </w14:solidFill>
          </w14:textFill>
        </w:rPr>
      </w:pPr>
    </w:p>
    <w:p>
      <w:pPr>
        <w:pStyle w:val="2"/>
        <w:rPr>
          <w:rFonts w:hint="eastAsia"/>
        </w:rPr>
      </w:pP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b/>
          <w:color w:val="000000" w:themeColor="text1"/>
          <w:sz w:val="28"/>
          <w:szCs w:val="28"/>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（此件主动公开）</w:t>
      </w:r>
    </w:p>
    <w:p>
      <w:pPr>
        <w:pStyle w:val="2"/>
        <w:keepNext w:val="0"/>
        <w:keepLines w:val="0"/>
        <w:pageBreakBefore w:val="0"/>
        <w:kinsoku/>
        <w:wordWrap/>
        <w:overflowPunct/>
        <w:topLinePunct w:val="0"/>
        <w:autoSpaceDE/>
        <w:autoSpaceDN/>
        <w:bidi w:val="0"/>
        <w:adjustRightInd/>
        <w:snapToGrid/>
        <w:spacing w:before="0" w:beforeAutospacing="0" w:after="0" w:afterAutospacing="0" w:line="560" w:lineRule="exact"/>
        <w:textAlignment w:val="auto"/>
        <w:rPr>
          <w:rFonts w:hint="eastAsia" w:ascii="仿宋" w:hAnsi="仿宋" w:eastAsia="仿宋"/>
          <w:b/>
          <w:color w:val="000000" w:themeColor="text1"/>
          <w:sz w:val="28"/>
          <w:szCs w:val="28"/>
          <w14:textFill>
            <w14:solidFill>
              <w14:schemeClr w14:val="tx1"/>
            </w14:solidFill>
          </w14:textFill>
        </w:rPr>
      </w:pPr>
    </w:p>
    <w:p>
      <w:pPr>
        <w:rPr>
          <w:rFonts w:hint="eastAsia"/>
        </w:rPr>
      </w:pPr>
    </w:p>
    <w:p>
      <w:pPr>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14:textFill>
            <w14:solidFill>
              <w14:schemeClr w14:val="tx1"/>
            </w14:solidFill>
          </w14:textFill>
        </w:rPr>
        <w:t>附件1</w:t>
      </w:r>
    </w:p>
    <w:p>
      <w:pPr>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县直有关单位名单</w:t>
      </w:r>
    </w:p>
    <w:p>
      <w:pPr>
        <w:spacing w:line="300" w:lineRule="exact"/>
        <w:jc w:val="center"/>
        <w:rPr>
          <w:rFonts w:hint="eastAsia" w:ascii="华文中宋" w:hAnsi="华文中宋" w:eastAsia="华文中宋"/>
          <w:color w:val="000000"/>
          <w:sz w:val="44"/>
          <w:szCs w:val="44"/>
        </w:rPr>
      </w:pPr>
      <w:r>
        <w:rPr>
          <w:rFonts w:hint="eastAsia" w:ascii="华文中宋" w:hAnsi="华文中宋" w:eastAsia="华文中宋"/>
          <w:color w:val="000000"/>
          <w:sz w:val="44"/>
          <w:szCs w:val="44"/>
        </w:rPr>
        <w:t xml:space="preserve"> </w:t>
      </w:r>
    </w:p>
    <w:p>
      <w:pPr>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县发展和改革局</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县地方金融监管局</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、县教</w:t>
      </w:r>
      <w:r>
        <w:rPr>
          <w:rFonts w:hint="eastAsia" w:ascii="仿宋_GB2312" w:hAnsi="仿宋_GB2312" w:eastAsia="仿宋_GB2312" w:cs="仿宋_GB2312"/>
          <w:color w:val="000000" w:themeColor="text1"/>
          <w:sz w:val="32"/>
          <w:szCs w:val="32"/>
          <w:lang w:eastAsia="zh-CN"/>
          <w14:textFill>
            <w14:solidFill>
              <w14:schemeClr w14:val="tx1"/>
            </w14:solidFill>
          </w14:textFill>
        </w:rPr>
        <w:t>育和</w:t>
      </w:r>
      <w:r>
        <w:rPr>
          <w:rFonts w:hint="eastAsia" w:ascii="仿宋_GB2312" w:hAnsi="仿宋_GB2312" w:eastAsia="仿宋_GB2312" w:cs="仿宋_GB2312"/>
          <w:color w:val="000000" w:themeColor="text1"/>
          <w:sz w:val="32"/>
          <w:szCs w:val="32"/>
          <w14:textFill>
            <w14:solidFill>
              <w14:schemeClr w14:val="tx1"/>
            </w14:solidFill>
          </w14:textFill>
        </w:rPr>
        <w:t>体育局</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县工业和信息化局、县公安局、县民政局、县司法局、县财政局、县人力资源</w:t>
      </w:r>
      <w:r>
        <w:rPr>
          <w:rFonts w:hint="eastAsia" w:ascii="仿宋_GB2312" w:hAnsi="仿宋_GB2312" w:eastAsia="仿宋_GB2312" w:cs="仿宋_GB2312"/>
          <w:color w:val="000000" w:themeColor="text1"/>
          <w:sz w:val="32"/>
          <w:szCs w:val="32"/>
          <w:lang w:eastAsia="zh-CN"/>
          <w14:textFill>
            <w14:solidFill>
              <w14:schemeClr w14:val="tx1"/>
            </w14:solidFill>
          </w14:textFill>
        </w:rPr>
        <w:t>和</w:t>
      </w:r>
      <w:r>
        <w:rPr>
          <w:rFonts w:hint="eastAsia" w:ascii="仿宋_GB2312" w:hAnsi="仿宋_GB2312" w:eastAsia="仿宋_GB2312" w:cs="仿宋_GB2312"/>
          <w:color w:val="000000" w:themeColor="text1"/>
          <w:sz w:val="32"/>
          <w:szCs w:val="32"/>
          <w14:textFill>
            <w14:solidFill>
              <w14:schemeClr w14:val="tx1"/>
            </w14:solidFill>
          </w14:textFill>
        </w:rPr>
        <w:t>社会保障局、县自然资源和规划局、县生态环境</w:t>
      </w:r>
      <w:r>
        <w:rPr>
          <w:rFonts w:hint="eastAsia" w:ascii="仿宋_GB2312" w:hAnsi="仿宋_GB2312" w:eastAsia="仿宋_GB2312" w:cs="仿宋_GB2312"/>
          <w:color w:val="000000" w:themeColor="text1"/>
          <w:sz w:val="32"/>
          <w:szCs w:val="32"/>
          <w:lang w:eastAsia="zh-CN"/>
          <w14:textFill>
            <w14:solidFill>
              <w14:schemeClr w14:val="tx1"/>
            </w14:solidFill>
          </w14:textFill>
        </w:rPr>
        <w:t>分</w:t>
      </w:r>
      <w:r>
        <w:rPr>
          <w:rFonts w:hint="eastAsia" w:ascii="仿宋_GB2312" w:hAnsi="仿宋_GB2312" w:eastAsia="仿宋_GB2312" w:cs="仿宋_GB2312"/>
          <w:color w:val="000000" w:themeColor="text1"/>
          <w:sz w:val="32"/>
          <w:szCs w:val="32"/>
          <w14:textFill>
            <w14:solidFill>
              <w14:schemeClr w14:val="tx1"/>
            </w14:solidFill>
          </w14:textFill>
        </w:rPr>
        <w:t>局、县住房</w:t>
      </w:r>
      <w:r>
        <w:rPr>
          <w:rFonts w:hint="eastAsia" w:ascii="仿宋_GB2312" w:hAnsi="仿宋_GB2312" w:eastAsia="仿宋_GB2312" w:cs="仿宋_GB2312"/>
          <w:color w:val="000000" w:themeColor="text1"/>
          <w:sz w:val="32"/>
          <w:szCs w:val="32"/>
          <w:lang w:eastAsia="zh-CN"/>
          <w14:textFill>
            <w14:solidFill>
              <w14:schemeClr w14:val="tx1"/>
            </w14:solidFill>
          </w14:textFill>
        </w:rPr>
        <w:t>和</w:t>
      </w:r>
      <w:r>
        <w:rPr>
          <w:rFonts w:hint="eastAsia" w:ascii="仿宋_GB2312" w:hAnsi="仿宋_GB2312" w:eastAsia="仿宋_GB2312" w:cs="仿宋_GB2312"/>
          <w:color w:val="000000" w:themeColor="text1"/>
          <w:sz w:val="32"/>
          <w:szCs w:val="32"/>
          <w14:textFill>
            <w14:solidFill>
              <w14:schemeClr w14:val="tx1"/>
            </w14:solidFill>
          </w14:textFill>
        </w:rPr>
        <w:t>城乡建设局、县交通运输局、县水利局、县农业农村局、县商务</w:t>
      </w:r>
      <w:r>
        <w:rPr>
          <w:rFonts w:hint="eastAsia" w:ascii="仿宋_GB2312" w:hAnsi="仿宋_GB2312" w:eastAsia="仿宋_GB2312" w:cs="仿宋_GB2312"/>
          <w:color w:val="000000" w:themeColor="text1"/>
          <w:sz w:val="32"/>
          <w:szCs w:val="32"/>
          <w:lang w:eastAsia="zh-CN"/>
          <w14:textFill>
            <w14:solidFill>
              <w14:schemeClr w14:val="tx1"/>
            </w14:solidFill>
          </w14:textFill>
        </w:rPr>
        <w:t>和</w:t>
      </w:r>
      <w:r>
        <w:rPr>
          <w:rFonts w:hint="eastAsia" w:ascii="仿宋_GB2312" w:hAnsi="仿宋_GB2312" w:eastAsia="仿宋_GB2312" w:cs="仿宋_GB2312"/>
          <w:color w:val="000000" w:themeColor="text1"/>
          <w:sz w:val="32"/>
          <w:szCs w:val="32"/>
          <w14:textFill>
            <w14:solidFill>
              <w14:schemeClr w14:val="tx1"/>
            </w14:solidFill>
          </w14:textFill>
        </w:rPr>
        <w:t>投资促进局、县文化和旅游局、县卫生健康</w:t>
      </w:r>
      <w:r>
        <w:rPr>
          <w:rFonts w:hint="eastAsia" w:ascii="仿宋_GB2312" w:hAnsi="仿宋_GB2312" w:eastAsia="仿宋_GB2312" w:cs="仿宋_GB2312"/>
          <w:color w:val="000000" w:themeColor="text1"/>
          <w:sz w:val="32"/>
          <w:szCs w:val="32"/>
          <w:lang w:eastAsia="zh-CN"/>
          <w14:textFill>
            <w14:solidFill>
              <w14:schemeClr w14:val="tx1"/>
            </w14:solidFill>
          </w14:textFill>
        </w:rPr>
        <w:t>局</w:t>
      </w:r>
      <w:r>
        <w:rPr>
          <w:rFonts w:hint="eastAsia" w:ascii="仿宋_GB2312" w:hAnsi="仿宋_GB2312" w:eastAsia="仿宋_GB2312" w:cs="仿宋_GB2312"/>
          <w:color w:val="000000" w:themeColor="text1"/>
          <w:sz w:val="32"/>
          <w:szCs w:val="32"/>
          <w14:textFill>
            <w14:solidFill>
              <w14:schemeClr w14:val="tx1"/>
            </w14:solidFill>
          </w14:textFill>
        </w:rPr>
        <w:t>、县退役军人</w:t>
      </w:r>
      <w:r>
        <w:rPr>
          <w:rFonts w:hint="eastAsia" w:ascii="仿宋_GB2312" w:hAnsi="仿宋_GB2312" w:eastAsia="仿宋_GB2312" w:cs="仿宋_GB2312"/>
          <w:color w:val="000000" w:themeColor="text1"/>
          <w:sz w:val="32"/>
          <w:szCs w:val="32"/>
          <w:lang w:eastAsia="zh-CN"/>
          <w14:textFill>
            <w14:solidFill>
              <w14:schemeClr w14:val="tx1"/>
            </w14:solidFill>
          </w14:textFill>
        </w:rPr>
        <w:t>事务</w:t>
      </w:r>
      <w:r>
        <w:rPr>
          <w:rFonts w:hint="eastAsia" w:ascii="仿宋_GB2312" w:hAnsi="仿宋_GB2312" w:eastAsia="仿宋_GB2312" w:cs="仿宋_GB2312"/>
          <w:color w:val="000000" w:themeColor="text1"/>
          <w:sz w:val="32"/>
          <w:szCs w:val="32"/>
          <w14:textFill>
            <w14:solidFill>
              <w14:schemeClr w14:val="tx1"/>
            </w14:solidFill>
          </w14:textFill>
        </w:rPr>
        <w:t>局、县应急</w:t>
      </w:r>
      <w:r>
        <w:rPr>
          <w:rFonts w:hint="eastAsia" w:ascii="仿宋_GB2312" w:hAnsi="仿宋_GB2312" w:eastAsia="仿宋_GB2312" w:cs="仿宋_GB2312"/>
          <w:color w:val="000000" w:themeColor="text1"/>
          <w:sz w:val="32"/>
          <w:szCs w:val="32"/>
          <w:lang w:eastAsia="zh-CN"/>
          <w14:textFill>
            <w14:solidFill>
              <w14:schemeClr w14:val="tx1"/>
            </w14:solidFill>
          </w14:textFill>
        </w:rPr>
        <w:t>管理</w:t>
      </w:r>
      <w:r>
        <w:rPr>
          <w:rFonts w:hint="eastAsia" w:ascii="仿宋_GB2312" w:hAnsi="仿宋_GB2312" w:eastAsia="仿宋_GB2312" w:cs="仿宋_GB2312"/>
          <w:color w:val="000000" w:themeColor="text1"/>
          <w:sz w:val="32"/>
          <w:szCs w:val="32"/>
          <w14:textFill>
            <w14:solidFill>
              <w14:schemeClr w14:val="tx1"/>
            </w14:solidFill>
          </w14:textFill>
        </w:rPr>
        <w:t>局、</w:t>
      </w:r>
      <w:r>
        <w:rPr>
          <w:rFonts w:hint="eastAsia" w:ascii="仿宋_GB2312" w:hAnsi="仿宋_GB2312" w:eastAsia="仿宋_GB2312" w:cs="仿宋_GB2312"/>
          <w:color w:val="0D0D0D" w:themeColor="text1" w:themeTint="F2"/>
          <w:sz w:val="32"/>
          <w:szCs w:val="32"/>
          <w14:textFill>
            <w14:solidFill>
              <w14:schemeClr w14:val="tx1">
                <w14:lumMod w14:val="95000"/>
                <w14:lumOff w14:val="5000"/>
              </w14:schemeClr>
            </w14:solidFill>
          </w14:textFill>
        </w:rPr>
        <w:t>县国资</w:t>
      </w:r>
      <w:r>
        <w:rPr>
          <w:rFonts w:hint="eastAsia" w:ascii="仿宋_GB2312" w:hAnsi="仿宋_GB2312" w:eastAsia="仿宋_GB2312" w:cs="仿宋_GB2312"/>
          <w:color w:val="0D0D0D" w:themeColor="text1" w:themeTint="F2"/>
          <w:sz w:val="32"/>
          <w:szCs w:val="32"/>
          <w:lang w:eastAsia="zh-CN"/>
          <w14:textFill>
            <w14:solidFill>
              <w14:schemeClr w14:val="tx1">
                <w14:lumMod w14:val="95000"/>
                <w14:lumOff w14:val="5000"/>
              </w14:schemeClr>
            </w14:solidFill>
          </w14:textFill>
        </w:rPr>
        <w:t>局</w:t>
      </w:r>
      <w:bookmarkStart w:id="0" w:name="_GoBack"/>
      <w:bookmarkEnd w:id="0"/>
      <w:r>
        <w:rPr>
          <w:rFonts w:hint="eastAsia" w:ascii="仿宋_GB2312" w:hAnsi="仿宋_GB2312" w:eastAsia="仿宋_GB2312" w:cs="仿宋_GB2312"/>
          <w:color w:val="000000" w:themeColor="text1"/>
          <w:sz w:val="32"/>
          <w:szCs w:val="32"/>
          <w14:textFill>
            <w14:solidFill>
              <w14:schemeClr w14:val="tx1"/>
            </w14:solidFill>
          </w14:textFill>
        </w:rPr>
        <w:t>、县市场监管局、县医保局、</w:t>
      </w:r>
      <w:r>
        <w:rPr>
          <w:rFonts w:hint="eastAsia" w:ascii="仿宋_GB2312" w:hAnsi="仿宋_GB2312" w:eastAsia="仿宋_GB2312" w:cs="仿宋_GB2312"/>
          <w:color w:val="0D0D0D" w:themeColor="text1" w:themeTint="F2"/>
          <w:sz w:val="32"/>
          <w:szCs w:val="32"/>
          <w14:textFill>
            <w14:solidFill>
              <w14:schemeClr w14:val="tx1">
                <w14:lumMod w14:val="95000"/>
                <w14:lumOff w14:val="5000"/>
              </w14:schemeClr>
            </w14:solidFill>
          </w14:textFill>
        </w:rPr>
        <w:t>县机关事务局、县大数据局、</w:t>
      </w:r>
      <w:r>
        <w:rPr>
          <w:rFonts w:hint="eastAsia" w:ascii="仿宋_GB2312" w:hAnsi="仿宋_GB2312" w:eastAsia="仿宋_GB2312" w:cs="仿宋_GB2312"/>
          <w:color w:val="000000" w:themeColor="text1"/>
          <w:sz w:val="32"/>
          <w:szCs w:val="32"/>
          <w14:textFill>
            <w14:solidFill>
              <w14:schemeClr w14:val="tx1"/>
            </w14:solidFill>
          </w14:textFill>
        </w:rPr>
        <w:t>县税务局</w:t>
      </w:r>
    </w:p>
    <w:p>
      <w:pPr>
        <w:widowControl/>
        <w:jc w:val="left"/>
        <w:rPr>
          <w:rFonts w:hint="eastAsia" w:ascii="仿宋_GB2312" w:hAnsi="仿宋_GB2312" w:eastAsia="仿宋_GB2312" w:cs="仿宋_GB2312"/>
          <w:color w:val="000000"/>
          <w:sz w:val="32"/>
          <w:szCs w:val="32"/>
        </w:rPr>
      </w:pPr>
    </w:p>
    <w:p>
      <w:pPr>
        <w:pStyle w:val="2"/>
        <w:rPr>
          <w:rFonts w:hint="eastAsia" w:ascii="仿宋_GB2312" w:hAnsi="仿宋_GB2312" w:eastAsia="仿宋_GB2312" w:cs="仿宋_GB2312"/>
          <w:color w:val="000000"/>
          <w:sz w:val="32"/>
          <w:szCs w:val="32"/>
        </w:rPr>
        <w:sectPr>
          <w:footerReference r:id="rId3" w:type="default"/>
          <w:pgSz w:w="11900" w:h="16840"/>
          <w:pgMar w:top="2316" w:right="1378" w:bottom="1957" w:left="1474" w:header="1888" w:footer="1529" w:gutter="0"/>
          <w:cols w:space="720" w:num="1"/>
          <w:docGrid w:type="lines" w:linePitch="360" w:charSpace="0"/>
        </w:sectPr>
      </w:pPr>
    </w:p>
    <w:p>
      <w:pPr>
        <w:spacing w:line="540" w:lineRule="exact"/>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rPr>
        <w:t>附件</w:t>
      </w:r>
      <w:r>
        <w:rPr>
          <w:rFonts w:hint="eastAsia" w:ascii="黑体" w:hAnsi="黑体" w:eastAsia="黑体" w:cs="黑体"/>
          <w:b w:val="0"/>
          <w:bCs w:val="0"/>
          <w:sz w:val="32"/>
          <w:szCs w:val="32"/>
          <w:lang w:val="en-US" w:eastAsia="zh-CN"/>
        </w:rPr>
        <w:t>2</w:t>
      </w:r>
    </w:p>
    <w:p>
      <w:pPr>
        <w:spacing w:line="48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歧视性和不公平市场待遇政策措施清理情况表</w:t>
      </w:r>
    </w:p>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填表单位（盖章）：                   联系人：        电话：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填表日期：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年  月   日</w:t>
      </w:r>
    </w:p>
    <w:tbl>
      <w:tblPr>
        <w:tblStyle w:val="5"/>
        <w:tblW w:w="139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1"/>
        <w:gridCol w:w="1914"/>
        <w:gridCol w:w="1764"/>
        <w:gridCol w:w="1764"/>
        <w:gridCol w:w="1764"/>
        <w:gridCol w:w="1764"/>
        <w:gridCol w:w="1609"/>
        <w:gridCol w:w="19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trPr>
        <w:tc>
          <w:tcPr>
            <w:tcW w:w="1421" w:type="dxa"/>
            <w:vAlign w:val="center"/>
          </w:tcPr>
          <w:p>
            <w:pPr>
              <w:spacing w:line="48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基本情况</w:t>
            </w:r>
          </w:p>
        </w:tc>
        <w:tc>
          <w:tcPr>
            <w:tcW w:w="12495" w:type="dxa"/>
            <w:gridSpan w:val="7"/>
            <w:vAlign w:val="top"/>
          </w:tcPr>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4"/>
              </w:rPr>
              <w:t>经清查，我单位共梳理涉及市场主体经济活动的现行有效政策措施</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件，其中发现含有清理歧视性和不公平市场待遇内容的行政规范性文件</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件、其他政策措施</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件。经清理，已修改</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件、已废止</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件、拟修改</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件、拟废止</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件。修改废止的具体情况如下: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421" w:type="dxa"/>
            <w:vAlign w:val="center"/>
          </w:tcPr>
          <w:p>
            <w:pPr>
              <w:spacing w:line="48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序号</w:t>
            </w:r>
          </w:p>
        </w:tc>
        <w:tc>
          <w:tcPr>
            <w:tcW w:w="1914" w:type="dxa"/>
            <w:vAlign w:val="center"/>
          </w:tcPr>
          <w:p>
            <w:pPr>
              <w:spacing w:line="48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文件名及文号</w:t>
            </w:r>
          </w:p>
        </w:tc>
        <w:tc>
          <w:tcPr>
            <w:tcW w:w="1764" w:type="dxa"/>
            <w:vAlign w:val="center"/>
          </w:tcPr>
          <w:p>
            <w:pPr>
              <w:spacing w:line="48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发文时间</w:t>
            </w:r>
          </w:p>
        </w:tc>
        <w:tc>
          <w:tcPr>
            <w:tcW w:w="1764" w:type="dxa"/>
            <w:vAlign w:val="center"/>
          </w:tcPr>
          <w:p>
            <w:pPr>
              <w:spacing w:line="48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类别</w:t>
            </w:r>
          </w:p>
        </w:tc>
        <w:tc>
          <w:tcPr>
            <w:tcW w:w="1764" w:type="dxa"/>
            <w:vAlign w:val="center"/>
          </w:tcPr>
          <w:p>
            <w:pPr>
              <w:spacing w:line="48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牵头部门</w:t>
            </w:r>
          </w:p>
        </w:tc>
        <w:tc>
          <w:tcPr>
            <w:tcW w:w="1764" w:type="dxa"/>
            <w:vAlign w:val="center"/>
          </w:tcPr>
          <w:p>
            <w:pPr>
              <w:spacing w:line="48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清理内容</w:t>
            </w:r>
          </w:p>
        </w:tc>
        <w:tc>
          <w:tcPr>
            <w:tcW w:w="1609" w:type="dxa"/>
            <w:vAlign w:val="center"/>
          </w:tcPr>
          <w:p>
            <w:pPr>
              <w:spacing w:line="48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清理理由</w:t>
            </w:r>
          </w:p>
        </w:tc>
        <w:tc>
          <w:tcPr>
            <w:tcW w:w="1916" w:type="dxa"/>
            <w:vAlign w:val="center"/>
          </w:tcPr>
          <w:p>
            <w:pPr>
              <w:spacing w:line="48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清理意见及进展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421" w:type="dxa"/>
            <w:vAlign w:val="top"/>
          </w:tcPr>
          <w:p>
            <w:pPr>
              <w:spacing w:line="480" w:lineRule="exact"/>
              <w:rPr>
                <w:rFonts w:hint="eastAsia" w:ascii="仿宋_GB2312" w:hAnsi="仿宋_GB2312" w:eastAsia="仿宋_GB2312" w:cs="仿宋_GB2312"/>
                <w:sz w:val="28"/>
                <w:szCs w:val="28"/>
              </w:rPr>
            </w:pPr>
          </w:p>
        </w:tc>
        <w:tc>
          <w:tcPr>
            <w:tcW w:w="1914" w:type="dxa"/>
            <w:vAlign w:val="top"/>
          </w:tcPr>
          <w:p>
            <w:pPr>
              <w:spacing w:line="480" w:lineRule="exact"/>
              <w:rPr>
                <w:rFonts w:hint="eastAsia" w:ascii="仿宋_GB2312" w:hAnsi="仿宋_GB2312" w:eastAsia="仿宋_GB2312" w:cs="仿宋_GB2312"/>
                <w:sz w:val="28"/>
                <w:szCs w:val="28"/>
              </w:rPr>
            </w:pPr>
          </w:p>
        </w:tc>
        <w:tc>
          <w:tcPr>
            <w:tcW w:w="1764" w:type="dxa"/>
            <w:vAlign w:val="top"/>
          </w:tcPr>
          <w:p>
            <w:pPr>
              <w:spacing w:line="480" w:lineRule="exact"/>
              <w:rPr>
                <w:rFonts w:hint="eastAsia" w:ascii="仿宋_GB2312" w:hAnsi="仿宋_GB2312" w:eastAsia="仿宋_GB2312" w:cs="仿宋_GB2312"/>
                <w:sz w:val="28"/>
                <w:szCs w:val="28"/>
              </w:rPr>
            </w:pPr>
          </w:p>
        </w:tc>
        <w:tc>
          <w:tcPr>
            <w:tcW w:w="1764" w:type="dxa"/>
            <w:vAlign w:val="top"/>
          </w:tcPr>
          <w:p>
            <w:pPr>
              <w:spacing w:line="480" w:lineRule="exact"/>
              <w:rPr>
                <w:rFonts w:hint="eastAsia" w:ascii="仿宋_GB2312" w:hAnsi="仿宋_GB2312" w:eastAsia="仿宋_GB2312" w:cs="仿宋_GB2312"/>
                <w:sz w:val="28"/>
                <w:szCs w:val="28"/>
              </w:rPr>
            </w:pPr>
          </w:p>
        </w:tc>
        <w:tc>
          <w:tcPr>
            <w:tcW w:w="1764" w:type="dxa"/>
            <w:vAlign w:val="top"/>
          </w:tcPr>
          <w:p>
            <w:pPr>
              <w:spacing w:line="480" w:lineRule="exact"/>
              <w:rPr>
                <w:rFonts w:hint="eastAsia" w:ascii="仿宋_GB2312" w:hAnsi="仿宋_GB2312" w:eastAsia="仿宋_GB2312" w:cs="仿宋_GB2312"/>
                <w:sz w:val="28"/>
                <w:szCs w:val="28"/>
              </w:rPr>
            </w:pPr>
          </w:p>
        </w:tc>
        <w:tc>
          <w:tcPr>
            <w:tcW w:w="1764" w:type="dxa"/>
            <w:vAlign w:val="top"/>
          </w:tcPr>
          <w:p>
            <w:pPr>
              <w:spacing w:line="480" w:lineRule="exact"/>
              <w:rPr>
                <w:rFonts w:hint="eastAsia" w:ascii="仿宋_GB2312" w:hAnsi="仿宋_GB2312" w:eastAsia="仿宋_GB2312" w:cs="仿宋_GB2312"/>
                <w:sz w:val="28"/>
                <w:szCs w:val="28"/>
              </w:rPr>
            </w:pPr>
          </w:p>
        </w:tc>
        <w:tc>
          <w:tcPr>
            <w:tcW w:w="1609" w:type="dxa"/>
            <w:vAlign w:val="top"/>
          </w:tcPr>
          <w:p>
            <w:pPr>
              <w:spacing w:line="480" w:lineRule="exact"/>
              <w:rPr>
                <w:rFonts w:hint="eastAsia" w:ascii="仿宋_GB2312" w:hAnsi="仿宋_GB2312" w:eastAsia="仿宋_GB2312" w:cs="仿宋_GB2312"/>
                <w:sz w:val="28"/>
                <w:szCs w:val="28"/>
              </w:rPr>
            </w:pPr>
          </w:p>
        </w:tc>
        <w:tc>
          <w:tcPr>
            <w:tcW w:w="1916" w:type="dxa"/>
            <w:vAlign w:val="top"/>
          </w:tcPr>
          <w:p>
            <w:pPr>
              <w:spacing w:line="480" w:lineRule="exact"/>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421" w:type="dxa"/>
            <w:vAlign w:val="top"/>
          </w:tcPr>
          <w:p>
            <w:pPr>
              <w:spacing w:line="480" w:lineRule="exact"/>
              <w:rPr>
                <w:rFonts w:hint="eastAsia" w:ascii="仿宋_GB2312" w:hAnsi="仿宋_GB2312" w:eastAsia="仿宋_GB2312" w:cs="仿宋_GB2312"/>
                <w:sz w:val="28"/>
                <w:szCs w:val="28"/>
              </w:rPr>
            </w:pPr>
          </w:p>
        </w:tc>
        <w:tc>
          <w:tcPr>
            <w:tcW w:w="1914" w:type="dxa"/>
            <w:vAlign w:val="top"/>
          </w:tcPr>
          <w:p>
            <w:pPr>
              <w:spacing w:line="480" w:lineRule="exact"/>
              <w:rPr>
                <w:rFonts w:hint="eastAsia" w:ascii="仿宋_GB2312" w:hAnsi="仿宋_GB2312" w:eastAsia="仿宋_GB2312" w:cs="仿宋_GB2312"/>
                <w:sz w:val="28"/>
                <w:szCs w:val="28"/>
              </w:rPr>
            </w:pPr>
          </w:p>
        </w:tc>
        <w:tc>
          <w:tcPr>
            <w:tcW w:w="1764" w:type="dxa"/>
            <w:vAlign w:val="top"/>
          </w:tcPr>
          <w:p>
            <w:pPr>
              <w:spacing w:line="480" w:lineRule="exact"/>
              <w:rPr>
                <w:rFonts w:hint="eastAsia" w:ascii="仿宋_GB2312" w:hAnsi="仿宋_GB2312" w:eastAsia="仿宋_GB2312" w:cs="仿宋_GB2312"/>
                <w:sz w:val="28"/>
                <w:szCs w:val="28"/>
              </w:rPr>
            </w:pPr>
          </w:p>
        </w:tc>
        <w:tc>
          <w:tcPr>
            <w:tcW w:w="1764" w:type="dxa"/>
            <w:vAlign w:val="top"/>
          </w:tcPr>
          <w:p>
            <w:pPr>
              <w:spacing w:line="480" w:lineRule="exact"/>
              <w:rPr>
                <w:rFonts w:hint="eastAsia" w:ascii="仿宋_GB2312" w:hAnsi="仿宋_GB2312" w:eastAsia="仿宋_GB2312" w:cs="仿宋_GB2312"/>
                <w:sz w:val="28"/>
                <w:szCs w:val="28"/>
              </w:rPr>
            </w:pPr>
          </w:p>
        </w:tc>
        <w:tc>
          <w:tcPr>
            <w:tcW w:w="1764" w:type="dxa"/>
            <w:vAlign w:val="top"/>
          </w:tcPr>
          <w:p>
            <w:pPr>
              <w:spacing w:line="480" w:lineRule="exact"/>
              <w:rPr>
                <w:rFonts w:hint="eastAsia" w:ascii="仿宋_GB2312" w:hAnsi="仿宋_GB2312" w:eastAsia="仿宋_GB2312" w:cs="仿宋_GB2312"/>
                <w:sz w:val="28"/>
                <w:szCs w:val="28"/>
              </w:rPr>
            </w:pPr>
          </w:p>
        </w:tc>
        <w:tc>
          <w:tcPr>
            <w:tcW w:w="1764" w:type="dxa"/>
            <w:vAlign w:val="top"/>
          </w:tcPr>
          <w:p>
            <w:pPr>
              <w:spacing w:line="480" w:lineRule="exact"/>
              <w:rPr>
                <w:rFonts w:hint="eastAsia" w:ascii="仿宋_GB2312" w:hAnsi="仿宋_GB2312" w:eastAsia="仿宋_GB2312" w:cs="仿宋_GB2312"/>
                <w:sz w:val="28"/>
                <w:szCs w:val="28"/>
              </w:rPr>
            </w:pPr>
          </w:p>
        </w:tc>
        <w:tc>
          <w:tcPr>
            <w:tcW w:w="1609" w:type="dxa"/>
            <w:vAlign w:val="top"/>
          </w:tcPr>
          <w:p>
            <w:pPr>
              <w:spacing w:line="480" w:lineRule="exact"/>
              <w:rPr>
                <w:rFonts w:hint="eastAsia" w:ascii="仿宋_GB2312" w:hAnsi="仿宋_GB2312" w:eastAsia="仿宋_GB2312" w:cs="仿宋_GB2312"/>
                <w:sz w:val="28"/>
                <w:szCs w:val="28"/>
              </w:rPr>
            </w:pPr>
          </w:p>
        </w:tc>
        <w:tc>
          <w:tcPr>
            <w:tcW w:w="1916" w:type="dxa"/>
            <w:vAlign w:val="top"/>
          </w:tcPr>
          <w:p>
            <w:pPr>
              <w:spacing w:line="480" w:lineRule="exact"/>
              <w:rPr>
                <w:rFonts w:hint="eastAsia" w:ascii="仿宋_GB2312" w:hAnsi="仿宋_GB2312" w:eastAsia="仿宋_GB2312" w:cs="仿宋_GB2312"/>
                <w:sz w:val="28"/>
                <w:szCs w:val="28"/>
              </w:rPr>
            </w:pPr>
          </w:p>
        </w:tc>
      </w:tr>
    </w:tbl>
    <w:p>
      <w:pPr>
        <w:spacing w:line="4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填表说明：</w:t>
      </w:r>
    </w:p>
    <w:p>
      <w:pPr>
        <w:spacing w:line="4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1.“类别”栏应选填</w:t>
      </w:r>
      <w:r>
        <w:rPr>
          <w:rFonts w:hint="eastAsia" w:ascii="仿宋_GB2312" w:hAnsi="仿宋_GB2312" w:eastAsia="仿宋_GB2312" w:cs="仿宋_GB2312"/>
          <w:sz w:val="28"/>
          <w:szCs w:val="28"/>
          <w:lang w:eastAsia="zh-CN"/>
        </w:rPr>
        <w:t>县</w:t>
      </w:r>
      <w:r>
        <w:rPr>
          <w:rFonts w:hint="eastAsia" w:ascii="仿宋_GB2312" w:hAnsi="仿宋_GB2312" w:eastAsia="仿宋_GB2312" w:cs="仿宋_GB2312"/>
          <w:sz w:val="28"/>
          <w:szCs w:val="28"/>
        </w:rPr>
        <w:t>政府规范性文件</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部门规范性文件</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其他政策</w:t>
      </w:r>
      <w:r>
        <w:rPr>
          <w:rFonts w:hint="eastAsia" w:ascii="仿宋_GB2312" w:hAnsi="仿宋_GB2312" w:eastAsia="仿宋_GB2312" w:cs="仿宋_GB2312"/>
          <w:sz w:val="28"/>
          <w:szCs w:val="28"/>
          <w:lang w:eastAsia="zh-CN"/>
        </w:rPr>
        <w:t>性</w:t>
      </w:r>
      <w:r>
        <w:rPr>
          <w:rFonts w:hint="eastAsia" w:ascii="仿宋_GB2312" w:hAnsi="仿宋_GB2312" w:eastAsia="仿宋_GB2312" w:cs="仿宋_GB2312"/>
          <w:sz w:val="28"/>
          <w:szCs w:val="28"/>
        </w:rPr>
        <w:t>文件。</w:t>
      </w:r>
    </w:p>
    <w:p>
      <w:pPr>
        <w:spacing w:line="4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2.“清理内容”栏应填报歧视性和不公平市场待遇政策措施的具体内容。</w:t>
      </w:r>
    </w:p>
    <w:p>
      <w:pPr>
        <w:spacing w:line="48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3.“清理理由”栏应填报具体属于五个方面清理重点的何种情形。</w:t>
      </w:r>
    </w:p>
    <w:p>
      <w:pPr>
        <w:rPr>
          <w:rFonts w:hint="eastAsia"/>
        </w:rPr>
        <w:sectPr>
          <w:pgSz w:w="16840" w:h="11900" w:orient="landscape"/>
          <w:pgMar w:top="1474" w:right="2316" w:bottom="1378" w:left="1957" w:header="1888" w:footer="1529" w:gutter="0"/>
          <w:cols w:space="720" w:num="1"/>
          <w:docGrid w:type="lines" w:linePitch="360" w:charSpace="0"/>
        </w:sectPr>
      </w:pPr>
    </w:p>
    <w:p>
      <w:pPr>
        <w:widowControl w:val="0"/>
        <w:spacing w:after="373" w:line="1" w:lineRule="exact"/>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pStyle w:val="2"/>
        <w:rPr>
          <w:rFonts w:hint="eastAsia"/>
        </w:rPr>
      </w:pPr>
    </w:p>
    <w:p>
      <w:pPr>
        <w:rPr>
          <w:rFonts w:hint="eastAsia"/>
        </w:rPr>
      </w:pPr>
    </w:p>
    <w:p>
      <w:pPr>
        <w:keepNext w:val="0"/>
        <w:keepLines w:val="0"/>
        <w:pageBreakBefore w:val="0"/>
        <w:widowControl/>
        <w:suppressLineNumbers w:val="0"/>
        <w:kinsoku/>
        <w:wordWrap/>
        <w:overflowPunct/>
        <w:topLinePunct w:val="0"/>
        <w:autoSpaceDE/>
        <w:autoSpaceDN/>
        <w:bidi w:val="0"/>
        <w:adjustRightInd/>
        <w:snapToGrid/>
        <w:spacing w:line="420" w:lineRule="exact"/>
        <w:jc w:val="both"/>
        <w:textAlignment w:val="auto"/>
        <w:rPr>
          <w:rFonts w:hint="eastAsia" w:ascii="仿宋_GB2312" w:hAnsi="仿宋_GB2312" w:eastAsia="仿宋_GB2312" w:cs="仿宋_GB2312"/>
          <w:color w:val="000000"/>
          <w:kern w:val="0"/>
          <w:sz w:val="28"/>
          <w:szCs w:val="28"/>
          <w:u w:val="single"/>
          <w:lang w:val="en-US" w:eastAsia="zh-CN" w:bidi="ar"/>
        </w:rPr>
      </w:pPr>
      <w:r>
        <w:rPr>
          <w:rFonts w:hint="eastAsia" w:ascii="仿宋_GB2312" w:hAnsi="仿宋_GB2312" w:eastAsia="仿宋_GB2312" w:cs="仿宋_GB2312"/>
          <w:color w:val="000000"/>
          <w:kern w:val="0"/>
          <w:sz w:val="28"/>
          <w:szCs w:val="28"/>
          <w:u w:val="single"/>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420" w:lineRule="exact"/>
        <w:ind w:firstLine="280" w:firstLineChars="100"/>
        <w:jc w:val="both"/>
        <w:textAlignment w:val="auto"/>
        <w:rPr>
          <w:rFonts w:hint="eastAsia" w:ascii="仿宋_GB2312" w:hAnsi="仿宋_GB2312" w:eastAsia="仿宋_GB2312" w:cs="仿宋_GB2312"/>
          <w:color w:val="000000"/>
          <w:kern w:val="0"/>
          <w:sz w:val="28"/>
          <w:szCs w:val="28"/>
          <w:u w:val="none"/>
          <w:lang w:val="en-US" w:eastAsia="zh-CN" w:bidi="ar"/>
        </w:rPr>
      </w:pPr>
      <w:r>
        <w:rPr>
          <w:rFonts w:hint="eastAsia" w:ascii="仿宋_GB2312" w:hAnsi="仿宋_GB2312" w:eastAsia="仿宋_GB2312" w:cs="仿宋_GB2312"/>
          <w:color w:val="0D0D0D" w:themeColor="text1" w:themeTint="F2"/>
          <w:kern w:val="0"/>
          <w:sz w:val="28"/>
          <w:szCs w:val="28"/>
          <w:u w:val="none"/>
          <w:lang w:val="en-US" w:eastAsia="zh-CN" w:bidi="ar"/>
          <w14:textFill>
            <w14:solidFill>
              <w14:schemeClr w14:val="tx1">
                <w14:lumMod w14:val="95000"/>
                <w14:lumOff w14:val="5000"/>
              </w14:schemeClr>
            </w14:solidFill>
          </w14:textFill>
        </w:rPr>
        <w:t>冠县</w:t>
      </w:r>
      <w:r>
        <w:rPr>
          <w:rFonts w:ascii="仿宋_GB2312" w:hAnsi="仿宋_GB2312" w:eastAsia="仿宋_GB2312" w:cs="仿宋_GB2312"/>
          <w:color w:val="0D0D0D" w:themeColor="text1" w:themeTint="F2"/>
          <w:kern w:val="0"/>
          <w:sz w:val="28"/>
          <w:szCs w:val="28"/>
          <w:u w:val="none"/>
          <w:lang w:val="en-US" w:eastAsia="zh-CN" w:bidi="ar"/>
          <w14:textFill>
            <w14:solidFill>
              <w14:schemeClr w14:val="tx1">
                <w14:lumMod w14:val="95000"/>
                <w14:lumOff w14:val="5000"/>
              </w14:schemeClr>
            </w14:solidFill>
          </w14:textFill>
        </w:rPr>
        <w:t>市场监督管理局办公室</w:t>
      </w:r>
      <w:r>
        <w:rPr>
          <w:rFonts w:ascii="仿宋_GB2312" w:hAnsi="仿宋_GB2312" w:eastAsia="仿宋_GB2312" w:cs="仿宋_GB2312"/>
          <w:color w:val="C00000"/>
          <w:kern w:val="0"/>
          <w:sz w:val="28"/>
          <w:szCs w:val="28"/>
          <w:u w:val="none"/>
          <w:lang w:val="en-US" w:eastAsia="zh-CN" w:bidi="ar"/>
        </w:rPr>
        <w:t xml:space="preserve"> </w:t>
      </w:r>
      <w:r>
        <w:rPr>
          <w:rFonts w:hint="eastAsia" w:ascii="仿宋_GB2312" w:hAnsi="仿宋_GB2312" w:eastAsia="仿宋_GB2312" w:cs="仿宋_GB2312"/>
          <w:color w:val="000000"/>
          <w:kern w:val="0"/>
          <w:sz w:val="28"/>
          <w:szCs w:val="28"/>
          <w:u w:val="none"/>
          <w:lang w:val="en-US" w:eastAsia="zh-CN" w:bidi="ar"/>
        </w:rPr>
        <w:t xml:space="preserve">             </w:t>
      </w:r>
      <w:r>
        <w:rPr>
          <w:rFonts w:ascii="仿宋_GB2312" w:hAnsi="仿宋_GB2312" w:eastAsia="仿宋_GB2312" w:cs="仿宋_GB2312"/>
          <w:color w:val="000000"/>
          <w:kern w:val="0"/>
          <w:sz w:val="28"/>
          <w:szCs w:val="28"/>
          <w:u w:val="none"/>
          <w:lang w:val="en-US" w:eastAsia="zh-CN" w:bidi="ar"/>
        </w:rPr>
        <w:t>2021年 4 月</w:t>
      </w:r>
      <w:r>
        <w:rPr>
          <w:rFonts w:hint="eastAsia" w:ascii="仿宋_GB2312" w:hAnsi="仿宋_GB2312" w:eastAsia="仿宋_GB2312" w:cs="仿宋_GB2312"/>
          <w:color w:val="000000"/>
          <w:kern w:val="0"/>
          <w:sz w:val="28"/>
          <w:szCs w:val="28"/>
          <w:u w:val="none"/>
          <w:lang w:val="en-US" w:eastAsia="zh-CN" w:bidi="ar"/>
        </w:rPr>
        <w:t>27</w:t>
      </w:r>
      <w:r>
        <w:rPr>
          <w:rFonts w:ascii="仿宋_GB2312" w:hAnsi="仿宋_GB2312" w:eastAsia="仿宋_GB2312" w:cs="仿宋_GB2312"/>
          <w:color w:val="000000"/>
          <w:kern w:val="0"/>
          <w:sz w:val="28"/>
          <w:szCs w:val="28"/>
          <w:u w:val="none"/>
          <w:lang w:val="en-US" w:eastAsia="zh-CN" w:bidi="ar"/>
        </w:rPr>
        <w:t>日印发</w:t>
      </w:r>
      <w:r>
        <w:rPr>
          <w:rFonts w:hint="eastAsia" w:ascii="仿宋_GB2312" w:hAnsi="仿宋_GB2312" w:eastAsia="仿宋_GB2312" w:cs="仿宋_GB2312"/>
          <w:color w:val="000000"/>
          <w:kern w:val="0"/>
          <w:sz w:val="28"/>
          <w:szCs w:val="28"/>
          <w:u w:val="none"/>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100" w:lineRule="exact"/>
        <w:jc w:val="both"/>
        <w:textAlignment w:val="auto"/>
        <w:rPr>
          <w:rFonts w:hint="default"/>
          <w:u w:val="single"/>
          <w:lang w:val="en-US"/>
        </w:rPr>
      </w:pPr>
      <w:r>
        <w:rPr>
          <w:rFonts w:hint="eastAsia" w:ascii="仿宋_GB2312" w:hAnsi="仿宋_GB2312" w:eastAsia="仿宋_GB2312" w:cs="仿宋_GB2312"/>
          <w:color w:val="000000"/>
          <w:kern w:val="0"/>
          <w:sz w:val="28"/>
          <w:szCs w:val="28"/>
          <w:u w:val="single"/>
          <w:lang w:val="en-US" w:eastAsia="zh-CN" w:bidi="ar"/>
        </w:rPr>
        <w:t xml:space="preserve">                                                                    </w:t>
      </w:r>
    </w:p>
    <w:sectPr>
      <w:pgSz w:w="11900" w:h="16840"/>
      <w:pgMar w:top="2316" w:right="1378" w:bottom="1957" w:left="1474" w:header="1888" w:footer="1529" w:gutter="0"/>
      <w:cols w:space="720"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script"/>
    <w:pitch w:val="default"/>
    <w:sig w:usb0="00000000" w:usb1="00000000" w:usb2="00000010" w:usb3="00000000" w:csb0="00040000" w:csb1="00000000"/>
  </w:font>
  <w:font w:name="方正粗宋简体">
    <w:altName w:val="宋体"/>
    <w:panose1 w:val="03000509000000000000"/>
    <w:charset w:val="86"/>
    <w:family w:val="auto"/>
    <w:pitch w:val="default"/>
    <w:sig w:usb0="00000000" w:usb1="00000000" w:usb2="00000000" w:usb3="00000000" w:csb0="00040000" w:csb1="00000000"/>
  </w:font>
  <w:font w:name="楷体">
    <w:panose1 w:val="02010609060101010101"/>
    <w:charset w:val="86"/>
    <w:family w:val="roma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roma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470775"/>
    </w:sdtPr>
    <w:sdtContent>
      <w:p>
        <w:pPr>
          <w:pStyle w:val="3"/>
          <w:jc w:val="center"/>
        </w:pPr>
        <w:r>
          <w:fldChar w:fldCharType="begin"/>
        </w:r>
        <w:r>
          <w:instrText xml:space="preserve"> PAGE   \* MERGEFORMAT </w:instrText>
        </w:r>
        <w:r>
          <w:fldChar w:fldCharType="separate"/>
        </w:r>
        <w:r>
          <w:rPr>
            <w:lang w:val="zh-CN"/>
          </w:rPr>
          <w:t>7</w:t>
        </w:r>
        <w:r>
          <w:rPr>
            <w:lang w:val="zh-CN"/>
          </w:rP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88FB3C"/>
    <w:multiLevelType w:val="singleLevel"/>
    <w:tmpl w:val="6088FB3C"/>
    <w:lvl w:ilvl="0" w:tentative="0">
      <w:start w:val="2"/>
      <w:numFmt w:val="chineseCount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850"/>
    <w:rsid w:val="000A6055"/>
    <w:rsid w:val="000C4B10"/>
    <w:rsid w:val="002451DB"/>
    <w:rsid w:val="003317F3"/>
    <w:rsid w:val="004B21EE"/>
    <w:rsid w:val="004B7D58"/>
    <w:rsid w:val="0055285D"/>
    <w:rsid w:val="005C5F2E"/>
    <w:rsid w:val="006F263E"/>
    <w:rsid w:val="006F3EA2"/>
    <w:rsid w:val="008051B2"/>
    <w:rsid w:val="00826BC1"/>
    <w:rsid w:val="00845DB3"/>
    <w:rsid w:val="00871C53"/>
    <w:rsid w:val="008D0C22"/>
    <w:rsid w:val="008D566D"/>
    <w:rsid w:val="00924CD2"/>
    <w:rsid w:val="00974EE1"/>
    <w:rsid w:val="009D3850"/>
    <w:rsid w:val="00AB413E"/>
    <w:rsid w:val="00AD6489"/>
    <w:rsid w:val="00B102BB"/>
    <w:rsid w:val="00B44EC9"/>
    <w:rsid w:val="00B72B54"/>
    <w:rsid w:val="00BA0765"/>
    <w:rsid w:val="00BC3249"/>
    <w:rsid w:val="00BD4803"/>
    <w:rsid w:val="00BF2770"/>
    <w:rsid w:val="00C231AE"/>
    <w:rsid w:val="00FC1734"/>
    <w:rsid w:val="024B68E8"/>
    <w:rsid w:val="02CD4074"/>
    <w:rsid w:val="03CE2B25"/>
    <w:rsid w:val="03FE12EE"/>
    <w:rsid w:val="06AF6659"/>
    <w:rsid w:val="079C148E"/>
    <w:rsid w:val="08317B63"/>
    <w:rsid w:val="08967EC4"/>
    <w:rsid w:val="09631973"/>
    <w:rsid w:val="09DD383B"/>
    <w:rsid w:val="0A1F33AB"/>
    <w:rsid w:val="0ADB21F6"/>
    <w:rsid w:val="0CFE51B2"/>
    <w:rsid w:val="0DB2074E"/>
    <w:rsid w:val="0FD0395E"/>
    <w:rsid w:val="10B2256F"/>
    <w:rsid w:val="115340F8"/>
    <w:rsid w:val="14364CB4"/>
    <w:rsid w:val="1492384F"/>
    <w:rsid w:val="155B7674"/>
    <w:rsid w:val="158A0C0B"/>
    <w:rsid w:val="17E2444D"/>
    <w:rsid w:val="1A324881"/>
    <w:rsid w:val="1A8F23A5"/>
    <w:rsid w:val="1B5A19FE"/>
    <w:rsid w:val="1D617DC0"/>
    <w:rsid w:val="1E8C6726"/>
    <w:rsid w:val="1FF81BE6"/>
    <w:rsid w:val="28BF2695"/>
    <w:rsid w:val="29DE193E"/>
    <w:rsid w:val="2D95754F"/>
    <w:rsid w:val="2DDD3486"/>
    <w:rsid w:val="2E0653CB"/>
    <w:rsid w:val="2E107362"/>
    <w:rsid w:val="2E9F6689"/>
    <w:rsid w:val="2EAD0442"/>
    <w:rsid w:val="30C3638E"/>
    <w:rsid w:val="31B01831"/>
    <w:rsid w:val="338A312F"/>
    <w:rsid w:val="3855143E"/>
    <w:rsid w:val="3B3C073C"/>
    <w:rsid w:val="3C2D4610"/>
    <w:rsid w:val="3E01703D"/>
    <w:rsid w:val="48082682"/>
    <w:rsid w:val="4A0E62C9"/>
    <w:rsid w:val="4C9C6D9A"/>
    <w:rsid w:val="4E714F41"/>
    <w:rsid w:val="503E4459"/>
    <w:rsid w:val="509D0AD9"/>
    <w:rsid w:val="568A0A89"/>
    <w:rsid w:val="5928391B"/>
    <w:rsid w:val="5AAA72D0"/>
    <w:rsid w:val="5BF51141"/>
    <w:rsid w:val="5D8C4E0A"/>
    <w:rsid w:val="6012111B"/>
    <w:rsid w:val="60A5089F"/>
    <w:rsid w:val="61464BF2"/>
    <w:rsid w:val="62396CF4"/>
    <w:rsid w:val="637109B2"/>
    <w:rsid w:val="6709601B"/>
    <w:rsid w:val="6A5F556D"/>
    <w:rsid w:val="6ADF1DBF"/>
    <w:rsid w:val="710B729A"/>
    <w:rsid w:val="713E0BD9"/>
    <w:rsid w:val="742C0EC5"/>
    <w:rsid w:val="74640101"/>
    <w:rsid w:val="75347E48"/>
    <w:rsid w:val="75547F1D"/>
    <w:rsid w:val="7557217E"/>
    <w:rsid w:val="75975678"/>
    <w:rsid w:val="77B86F49"/>
    <w:rsid w:val="7882232A"/>
    <w:rsid w:val="79A20802"/>
    <w:rsid w:val="79A473C6"/>
    <w:rsid w:val="7A4430A5"/>
    <w:rsid w:val="7D0C0009"/>
    <w:rsid w:val="7D815A7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1"/>
      <w:lang w:val="en-US" w:eastAsia="zh-CN" w:bidi="ar-SA"/>
    </w:rPr>
  </w:style>
  <w:style w:type="paragraph" w:styleId="2">
    <w:name w:val="heading 2"/>
    <w:basedOn w:val="1"/>
    <w:next w:val="1"/>
    <w:qFormat/>
    <w:uiPriority w:val="0"/>
    <w:pPr>
      <w:spacing w:before="100" w:beforeAutospacing="1" w:after="100" w:afterAutospacing="1"/>
      <w:jc w:val="left"/>
      <w:outlineLvl w:val="1"/>
    </w:pPr>
    <w:rPr>
      <w:rFonts w:hint="eastAsia" w:ascii="宋体" w:hAnsi="宋体"/>
      <w:b/>
      <w:kern w:val="0"/>
      <w:sz w:val="36"/>
      <w:szCs w:val="36"/>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Body text|1"/>
    <w:basedOn w:val="1"/>
    <w:qFormat/>
    <w:uiPriority w:val="0"/>
    <w:pPr>
      <w:spacing w:line="448" w:lineRule="auto"/>
      <w:ind w:firstLine="400"/>
    </w:pPr>
    <w:rPr>
      <w:rFonts w:ascii="宋体" w:hAnsi="宋体"/>
      <w:sz w:val="28"/>
      <w:szCs w:val="28"/>
    </w:rPr>
  </w:style>
  <w:style w:type="paragraph" w:customStyle="1" w:styleId="8">
    <w:name w:val="Body text|2"/>
    <w:basedOn w:val="1"/>
    <w:qFormat/>
    <w:uiPriority w:val="0"/>
    <w:pPr>
      <w:spacing w:line="603" w:lineRule="exact"/>
      <w:ind w:firstLine="660"/>
      <w:jc w:val="left"/>
    </w:pPr>
    <w:rPr>
      <w:rFonts w:ascii="宋体" w:hAnsi="宋体"/>
      <w:color w:val="000000"/>
      <w:kern w:val="0"/>
      <w:sz w:val="32"/>
      <w:szCs w:val="32"/>
    </w:rPr>
  </w:style>
  <w:style w:type="character" w:customStyle="1" w:styleId="9">
    <w:name w:val="页眉 Char"/>
    <w:basedOn w:val="6"/>
    <w:link w:val="4"/>
    <w:semiHidden/>
    <w:qFormat/>
    <w:uiPriority w:val="99"/>
    <w:rPr>
      <w:rFonts w:ascii="Calibri" w:hAnsi="Calibri" w:eastAsia="宋体" w:cs="宋体"/>
      <w:sz w:val="18"/>
      <w:szCs w:val="18"/>
    </w:rPr>
  </w:style>
  <w:style w:type="character" w:customStyle="1" w:styleId="10">
    <w:name w:val="页脚 Char"/>
    <w:basedOn w:val="6"/>
    <w:link w:val="3"/>
    <w:qFormat/>
    <w:uiPriority w:val="99"/>
    <w:rPr>
      <w:rFonts w:ascii="Calibri" w:hAnsi="Calibri" w:eastAsia="宋体" w:cs="宋体"/>
      <w:sz w:val="18"/>
      <w:szCs w:val="18"/>
    </w:rPr>
  </w:style>
  <w:style w:type="paragraph" w:customStyle="1" w:styleId="11">
    <w:name w:val="Body text|3"/>
    <w:basedOn w:val="1"/>
    <w:qFormat/>
    <w:uiPriority w:val="0"/>
    <w:pPr>
      <w:widowControl w:val="0"/>
      <w:shd w:val="clear" w:color="auto" w:fill="auto"/>
    </w:pPr>
    <w:rPr>
      <w:sz w:val="28"/>
      <w:szCs w:val="28"/>
      <w:u w:val="none"/>
      <w:shd w:val="clear" w:color="auto" w:fill="auto"/>
      <w:lang w:val="zh-TW" w:eastAsia="zh-TW" w:bidi="zh-TW"/>
    </w:rPr>
  </w:style>
  <w:style w:type="paragraph" w:customStyle="1" w:styleId="12">
    <w:name w:val="正文 New New New New New New New"/>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449</Words>
  <Characters>2560</Characters>
  <Lines>21</Lines>
  <Paragraphs>6</Paragraphs>
  <TotalTime>10</TotalTime>
  <ScaleCrop>false</ScaleCrop>
  <LinksUpToDate>false</LinksUpToDate>
  <CharactersWithSpaces>3003</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2021-04-27T01:03:00Z</dcterms:created>
  <dc:creator>郑红阁</dc:creator>
  <cp:lastModifiedBy>Administrator</cp:lastModifiedBy>
  <cp:lastPrinted>2021-04-28T09:07:00Z</cp:lastPrinted>
  <dcterms:modified xsi:type="dcterms:W3CDTF">2021-05-11T09:02:35Z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48E4AA96FD374E43894BD6D70EA54061</vt:lpwstr>
  </property>
</Properties>
</file>