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pacing w:val="0"/>
          <w:sz w:val="32"/>
          <w:szCs w:val="32"/>
        </w:rPr>
      </w:pPr>
    </w:p>
    <w:p>
      <w:pPr>
        <w:pStyle w:val="2"/>
        <w:rPr>
          <w:rFonts w:hint="eastAsia"/>
        </w:rPr>
      </w:pPr>
      <w:bookmarkStart w:id="3" w:name="_GoBack"/>
      <w:bookmarkEnd w:id="3"/>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spacing w:val="0"/>
          <w:sz w:val="32"/>
          <w:szCs w:val="32"/>
        </w:rPr>
        <w:t>冠政</w:t>
      </w:r>
      <w:r>
        <w:rPr>
          <w:rFonts w:hint="eastAsia" w:ascii="仿宋_GB2312" w:hAnsi="仿宋_GB2312" w:eastAsia="仿宋_GB2312" w:cs="仿宋_GB2312"/>
          <w:spacing w:val="0"/>
          <w:sz w:val="32"/>
          <w:szCs w:val="32"/>
          <w:lang w:val="en-US" w:eastAsia="zh-CN"/>
        </w:rPr>
        <w:t>发</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20</w:t>
      </w:r>
      <w:r>
        <w:rPr>
          <w:rFonts w:hint="eastAsia" w:ascii="仿宋_GB2312" w:hAnsi="仿宋_GB2312" w:eastAsia="仿宋_GB2312" w:cs="仿宋_GB2312"/>
          <w:spacing w:val="0"/>
          <w:sz w:val="32"/>
          <w:szCs w:val="32"/>
          <w:lang w:val="en-US" w:eastAsia="zh-CN"/>
        </w:rPr>
        <w:t>22</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25</w:t>
      </w:r>
      <w:r>
        <w:rPr>
          <w:rFonts w:hint="eastAsia" w:ascii="仿宋_GB2312" w:hAnsi="仿宋_GB2312" w:eastAsia="仿宋_GB2312" w:cs="仿宋_GB2312"/>
          <w:spacing w:val="0"/>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 w:eastAsia="仿宋_GB2312"/>
          <w:spacing w:val="0"/>
          <w:sz w:val="32"/>
          <w:szCs w:val="32"/>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eastAsia="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大标宋简体" w:hAnsi="方正大标宋简体" w:eastAsia="方正大标宋简体" w:cs="方正大标宋简体"/>
          <w:spacing w:val="-11"/>
          <w:sz w:val="44"/>
          <w:szCs w:val="44"/>
        </w:rPr>
      </w:pPr>
      <w:r>
        <w:rPr>
          <w:rFonts w:hint="eastAsia" w:ascii="方正大标宋简体" w:hAnsi="方正大标宋简体" w:eastAsia="方正大标宋简体" w:cs="方正大标宋简体"/>
          <w:spacing w:val="-11"/>
          <w:sz w:val="44"/>
          <w:szCs w:val="44"/>
        </w:rPr>
        <w:t>冠县人民政府</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大标宋简体" w:hAnsi="方正大标宋简体" w:eastAsia="方正大标宋简体" w:cs="方正大标宋简体"/>
          <w:spacing w:val="-11"/>
          <w:sz w:val="44"/>
          <w:szCs w:val="44"/>
        </w:rPr>
      </w:pPr>
      <w:r>
        <w:rPr>
          <w:rFonts w:hint="eastAsia" w:ascii="方正大标宋简体" w:hAnsi="方正大标宋简体" w:eastAsia="方正大标宋简体" w:cs="方正大标宋简体"/>
          <w:spacing w:val="-11"/>
          <w:sz w:val="44"/>
          <w:szCs w:val="44"/>
        </w:rPr>
        <w:t>关于印发《冠县成品油零售网点布局规划</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大标宋简体" w:hAnsi="方正大标宋简体" w:eastAsia="方正大标宋简体" w:cs="方正大标宋简体"/>
          <w:spacing w:val="-11"/>
          <w:sz w:val="44"/>
          <w:szCs w:val="44"/>
        </w:rPr>
      </w:pPr>
      <w:r>
        <w:rPr>
          <w:rFonts w:hint="eastAsia" w:ascii="方正大标宋简体" w:hAnsi="方正大标宋简体" w:eastAsia="方正大标宋简体" w:cs="方正大标宋简体"/>
          <w:spacing w:val="-11"/>
          <w:sz w:val="44"/>
          <w:szCs w:val="44"/>
        </w:rPr>
        <w:t>（2021-2035）》的通知</w:t>
      </w:r>
    </w:p>
    <w:p>
      <w:pPr>
        <w:keepNext w:val="0"/>
        <w:keepLines w:val="0"/>
        <w:pageBreakBefore w:val="0"/>
        <w:widowControl w:val="0"/>
        <w:kinsoku/>
        <w:wordWrap/>
        <w:overflowPunct/>
        <w:topLinePunct w:val="0"/>
        <w:autoSpaceDE/>
        <w:autoSpaceDN/>
        <w:bidi w:val="0"/>
        <w:adjustRightInd/>
        <w:snapToGrid/>
        <w:spacing w:line="6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各乡镇人民政府、街道办事处，县经济开发区管委会，县直有关部门（单位）：</w:t>
      </w: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为适应冠县社会经济发展及车辆增长的需要，完善冠县成品油零售网点布局，促进成品油零售行业健康发展，经县政府同意，现将《冠县成品油零售网点布局规划（2021-2035）》印发给你们，请认真贯彻执行。</w:t>
      </w:r>
    </w:p>
    <w:p>
      <w:pPr>
        <w:keepNext w:val="0"/>
        <w:keepLines w:val="0"/>
        <w:pageBreakBefore w:val="0"/>
        <w:widowControl w:val="0"/>
        <w:kinsoku/>
        <w:wordWrap/>
        <w:overflowPunct/>
        <w:topLinePunct w:val="0"/>
        <w:autoSpaceDE/>
        <w:autoSpaceDN/>
        <w:bidi w:val="0"/>
        <w:adjustRightInd/>
        <w:snapToGrid/>
        <w:spacing w:line="620" w:lineRule="exact"/>
        <w:ind w:left="1598" w:leftChars="304" w:hanging="960" w:hangingChars="300"/>
        <w:textAlignment w:val="auto"/>
        <w:rPr>
          <w:rFonts w:hint="eastAsia" w:ascii="黑体" w:hAnsi="黑体" w:eastAsia="黑体" w:cs="黑体"/>
          <w:sz w:val="32"/>
          <w:szCs w:val="32"/>
        </w:rPr>
      </w:pPr>
    </w:p>
    <w:p>
      <w:pPr>
        <w:pStyle w:val="5"/>
        <w:rPr>
          <w:rFonts w:hint="eastAsia"/>
        </w:rPr>
      </w:pPr>
    </w:p>
    <w:p>
      <w:pPr>
        <w:keepNext w:val="0"/>
        <w:keepLines w:val="0"/>
        <w:pageBreakBefore w:val="0"/>
        <w:widowControl w:val="0"/>
        <w:kinsoku/>
        <w:wordWrap/>
        <w:overflowPunct/>
        <w:topLinePunct w:val="0"/>
        <w:autoSpaceDE/>
        <w:autoSpaceDN/>
        <w:bidi w:val="0"/>
        <w:adjustRightInd/>
        <w:snapToGrid/>
        <w:spacing w:line="620" w:lineRule="exact"/>
        <w:ind w:left="1598" w:leftChars="304" w:hanging="960" w:hangingChars="3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w:t>
      </w:r>
      <w:r>
        <w:rPr>
          <w:rFonts w:hint="eastAsia" w:ascii="仿宋_GB2312" w:hAnsi="仿宋_GB2312" w:eastAsia="仿宋_GB2312" w:cs="仿宋_GB2312"/>
          <w:spacing w:val="6"/>
          <w:sz w:val="32"/>
          <w:szCs w:val="32"/>
        </w:rPr>
        <w:t>冠县成品油零售网点布局规划（2021-2035）》核</w:t>
      </w:r>
      <w:r>
        <w:rPr>
          <w:rFonts w:hint="eastAsia" w:ascii="仿宋_GB2312" w:hAnsi="仿宋_GB2312" w:eastAsia="仿宋_GB2312" w:cs="仿宋_GB2312"/>
          <w:sz w:val="32"/>
          <w:szCs w:val="32"/>
        </w:rPr>
        <w:t>心内容</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5120" w:firstLineChars="1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w:t>
      </w:r>
    </w:p>
    <w:p>
      <w:pPr>
        <w:keepNext w:val="0"/>
        <w:keepLines w:val="0"/>
        <w:pageBreakBefore w:val="0"/>
        <w:widowControl w:val="0"/>
        <w:kinsoku/>
        <w:wordWrap/>
        <w:overflowPunct/>
        <w:topLinePunct w:val="0"/>
        <w:autoSpaceDE/>
        <w:autoSpaceDN/>
        <w:bidi w:val="0"/>
        <w:adjustRightInd/>
        <w:snapToGrid/>
        <w:spacing w:line="620" w:lineRule="exact"/>
        <w:ind w:firstLine="4832" w:firstLineChars="1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2022年9月30日 </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（此文件公开发布）</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ind w:left="0" w:leftChars="0" w:firstLine="0" w:firstLineChars="0"/>
        <w:rPr>
          <w:rFonts w:hint="eastAsia"/>
          <w:lang w:val="en-US" w:eastAsia="zh-CN"/>
        </w:rPr>
      </w:pPr>
    </w:p>
    <w:p>
      <w:pPr>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ind w:firstLine="560"/>
        <w:rPr>
          <w:rFonts w:ascii="微软雅黑" w:hAnsi="微软雅黑" w:eastAsia="微软雅黑"/>
        </w:rPr>
      </w:pPr>
    </w:p>
    <w:p>
      <w:pPr>
        <w:ind w:firstLine="560"/>
        <w:rPr>
          <w:rFonts w:ascii="微软雅黑" w:hAnsi="微软雅黑" w:eastAsia="微软雅黑"/>
        </w:rPr>
      </w:pPr>
    </w:p>
    <w:p>
      <w:pPr>
        <w:ind w:firstLine="560"/>
        <w:rPr>
          <w:rFonts w:ascii="微软雅黑" w:hAnsi="微软雅黑" w:eastAsia="微软雅黑"/>
        </w:rPr>
      </w:pPr>
    </w:p>
    <w:p>
      <w:pPr>
        <w:ind w:left="0" w:leftChars="0" w:firstLine="0" w:firstLineChars="0"/>
        <w:jc w:val="center"/>
        <w:rPr>
          <w:rFonts w:hint="eastAsia" w:ascii="方正大标宋简体" w:hAnsi="方正大标宋简体" w:eastAsia="方正大标宋简体" w:cs="方正大标宋简体"/>
          <w:b w:val="0"/>
          <w:bCs w:val="0"/>
          <w:sz w:val="44"/>
          <w:szCs w:val="44"/>
        </w:rPr>
      </w:pPr>
      <w:bookmarkStart w:id="0" w:name="_Hlk92210456"/>
      <w:r>
        <w:rPr>
          <w:rFonts w:hint="eastAsia" w:ascii="方正大标宋简体" w:hAnsi="方正大标宋简体" w:eastAsia="方正大标宋简体" w:cs="方正大标宋简体"/>
          <w:b w:val="0"/>
          <w:bCs w:val="0"/>
          <w:sz w:val="44"/>
          <w:szCs w:val="44"/>
        </w:rPr>
        <w:t>冠县成品油零售网点布局规划</w:t>
      </w:r>
    </w:p>
    <w:p>
      <w:pPr>
        <w:ind w:left="0" w:leftChars="0" w:firstLine="0" w:firstLineChars="0"/>
        <w:jc w:val="center"/>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（2021-2035）</w:t>
      </w:r>
    </w:p>
    <w:bookmarkEnd w:id="0"/>
    <w:p>
      <w:pPr>
        <w:ind w:firstLine="720"/>
        <w:jc w:val="center"/>
        <w:rPr>
          <w:rFonts w:ascii="微软雅黑" w:hAnsi="微软雅黑" w:eastAsia="微软雅黑"/>
          <w:b/>
          <w:bCs/>
          <w:sz w:val="36"/>
          <w:szCs w:val="36"/>
        </w:rPr>
      </w:pPr>
    </w:p>
    <w:p>
      <w:pPr>
        <w:ind w:firstLine="640"/>
        <w:jc w:val="center"/>
        <w:rPr>
          <w:rFonts w:ascii="微软雅黑" w:hAnsi="微软雅黑" w:eastAsia="微软雅黑"/>
          <w:b/>
          <w:bCs/>
          <w:sz w:val="32"/>
          <w:szCs w:val="32"/>
        </w:rPr>
      </w:pPr>
    </w:p>
    <w:p>
      <w:pPr>
        <w:shd w:val="clear" w:fill="FFFFFF" w:themeFill="background1"/>
        <w:ind w:firstLine="560"/>
        <w:rPr>
          <w:rFonts w:ascii="微软雅黑" w:hAnsi="微软雅黑" w:eastAsia="微软雅黑"/>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firstLine="640"/>
        <w:jc w:val="center"/>
        <w:rPr>
          <w:rFonts w:hint="eastAsia" w:ascii="微软雅黑" w:hAnsi="微软雅黑" w:eastAsia="微软雅黑" w:cs="黑体"/>
          <w:b/>
          <w:bCs/>
          <w:color w:val="auto"/>
          <w:sz w:val="32"/>
          <w:szCs w:val="32"/>
        </w:rPr>
      </w:pPr>
    </w:p>
    <w:p>
      <w:pPr>
        <w:shd w:val="clear" w:fill="FFFFFF" w:themeFill="background1"/>
        <w:ind w:left="0" w:leftChars="0" w:firstLine="0" w:firstLineChars="0"/>
        <w:jc w:val="cente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冠县</w:t>
      </w:r>
      <w:r>
        <w:rPr>
          <w:rFonts w:hint="eastAsia" w:ascii="黑体" w:hAnsi="黑体" w:eastAsia="黑体" w:cs="黑体"/>
          <w:b w:val="0"/>
          <w:bCs w:val="0"/>
          <w:color w:val="auto"/>
          <w:sz w:val="32"/>
          <w:szCs w:val="32"/>
          <w:lang w:val="en-US" w:eastAsia="zh-CN"/>
        </w:rPr>
        <w:t>人民政府</w:t>
      </w:r>
    </w:p>
    <w:p>
      <w:pPr>
        <w:shd w:val="clear" w:fill="FFFFFF" w:themeFill="background1"/>
        <w:ind w:left="0" w:leftChars="0" w:firstLine="0" w:firstLineChars="0"/>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2022年9月</w:t>
      </w:r>
    </w:p>
    <w:p>
      <w:pPr>
        <w:widowControl/>
        <w:wordWrap/>
        <w:spacing w:line="240" w:lineRule="auto"/>
        <w:ind w:firstLine="0" w:firstLineChars="0"/>
        <w:jc w:val="left"/>
        <w:rPr>
          <w:rFonts w:ascii="微软雅黑" w:hAnsi="微软雅黑" w:eastAsia="微软雅黑"/>
          <w:b/>
          <w:bCs/>
          <w:sz w:val="32"/>
          <w:szCs w:val="32"/>
        </w:rPr>
      </w:pPr>
      <w:r>
        <w:rPr>
          <w:rFonts w:ascii="微软雅黑" w:hAnsi="微软雅黑" w:eastAsia="微软雅黑"/>
          <w:b/>
          <w:bCs/>
          <w:sz w:val="32"/>
          <w:szCs w:val="32"/>
        </w:rPr>
        <w:br w:type="page"/>
      </w:r>
    </w:p>
    <w:p>
      <w:pPr>
        <w:pStyle w:val="4"/>
        <w:pageBreakBefore w:val="0"/>
        <w:widowControl w:val="0"/>
        <w:numPr>
          <w:ilvl w:val="3"/>
          <w:numId w:val="0"/>
        </w:numPr>
        <w:kinsoku/>
        <w:wordWrap/>
        <w:overflowPunct/>
        <w:topLinePunct w:val="0"/>
        <w:autoSpaceDE/>
        <w:autoSpaceDN/>
        <w:bidi w:val="0"/>
        <w:snapToGrid/>
        <w:spacing w:line="600" w:lineRule="exact"/>
        <w:ind w:firstLine="640" w:firstLineChars="200"/>
        <w:textAlignment w:val="auto"/>
        <w:rPr>
          <w:rFonts w:ascii="黑体" w:hAnsi="黑体" w:eastAsia="黑体" w:cs="黑体"/>
          <w:b w:val="0"/>
          <w:bCs w:val="0"/>
          <w:sz w:val="32"/>
          <w:szCs w:val="32"/>
        </w:rPr>
      </w:pPr>
      <w:r>
        <w:rPr>
          <w:rFonts w:hint="eastAsia" w:ascii="黑体" w:hAnsi="黑体" w:eastAsia="黑体" w:cs="黑体"/>
          <w:b w:val="0"/>
          <w:bCs w:val="0"/>
          <w:sz w:val="32"/>
          <w:szCs w:val="32"/>
        </w:rPr>
        <w:t>一、项目概况</w:t>
      </w:r>
    </w:p>
    <w:p>
      <w:pPr>
        <w:pageBreakBefore w:val="0"/>
        <w:widowControl w:val="0"/>
        <w:kinsoku/>
        <w:wordWrap/>
        <w:overflowPunct/>
        <w:topLinePunct w:val="0"/>
        <w:autoSpaceDE/>
        <w:autoSpaceDN/>
        <w:bidi w:val="0"/>
        <w:snapToGrid/>
        <w:spacing w:line="600" w:lineRule="exact"/>
        <w:ind w:firstLine="640" w:firstLineChars="200"/>
        <w:textAlignment w:val="auto"/>
        <w:rPr>
          <w:rStyle w:val="10"/>
          <w:rFonts w:hint="eastAsia" w:ascii="仿宋_GB2312" w:hAnsi="仿宋_GB2312" w:eastAsia="仿宋_GB2312" w:cs="Times New Roman"/>
          <w:kern w:val="2"/>
          <w:sz w:val="32"/>
          <w:szCs w:val="32"/>
          <w:lang w:val="en-US" w:eastAsia="zh-CN" w:bidi="ar-SA"/>
        </w:rPr>
      </w:pPr>
      <w:r>
        <w:rPr>
          <w:rStyle w:val="10"/>
          <w:rFonts w:hint="eastAsia" w:ascii="仿宋_GB2312" w:hAnsi="仿宋_GB2312" w:eastAsia="仿宋_GB2312" w:cs="Times New Roman"/>
          <w:sz w:val="32"/>
          <w:szCs w:val="32"/>
        </w:rPr>
        <w:t>为适应冠县社会经济发展及车辆增长的需要，完善冠县成品油零售网点布局，促进成品油零售行业健康发展，</w:t>
      </w:r>
      <w:r>
        <w:rPr>
          <w:rStyle w:val="10"/>
          <w:rFonts w:hint="eastAsia" w:ascii="仿宋_GB2312" w:hAnsi="仿宋_GB2312" w:eastAsia="仿宋_GB2312" w:cs="Times New Roman"/>
          <w:sz w:val="32"/>
          <w:szCs w:val="32"/>
          <w:lang w:val="en-US" w:eastAsia="zh-CN"/>
        </w:rPr>
        <w:t>县政府决定开展编制</w:t>
      </w:r>
      <w:r>
        <w:rPr>
          <w:rStyle w:val="10"/>
          <w:rFonts w:hint="eastAsia" w:ascii="仿宋_GB2312" w:hAnsi="仿宋_GB2312" w:eastAsia="仿宋_GB2312" w:cs="Times New Roman"/>
          <w:sz w:val="32"/>
          <w:szCs w:val="32"/>
        </w:rPr>
        <w:t>《冠县成品油零售网点布局规划（2021-2035）》</w:t>
      </w:r>
      <w:r>
        <w:rPr>
          <w:rStyle w:val="10"/>
          <w:rFonts w:hint="eastAsia" w:ascii="仿宋_GB2312" w:hAnsi="仿宋_GB2312" w:eastAsia="仿宋_GB2312" w:cs="Times New Roman"/>
          <w:sz w:val="32"/>
          <w:szCs w:val="32"/>
          <w:lang w:eastAsia="zh-CN"/>
        </w:rPr>
        <w:t>（</w:t>
      </w:r>
      <w:r>
        <w:rPr>
          <w:rStyle w:val="10"/>
          <w:rFonts w:hint="eastAsia" w:ascii="仿宋_GB2312" w:hAnsi="仿宋_GB2312" w:eastAsia="仿宋_GB2312" w:cs="Times New Roman"/>
          <w:sz w:val="32"/>
          <w:szCs w:val="32"/>
          <w:lang w:val="en-US" w:eastAsia="zh-CN"/>
        </w:rPr>
        <w:t>以下简称《规划》</w:t>
      </w:r>
      <w:r>
        <w:rPr>
          <w:rStyle w:val="10"/>
          <w:rFonts w:hint="eastAsia" w:ascii="仿宋_GB2312" w:hAnsi="仿宋_GB2312" w:eastAsia="仿宋_GB2312" w:cs="Times New Roman"/>
          <w:sz w:val="32"/>
          <w:szCs w:val="32"/>
          <w:lang w:eastAsia="zh-CN"/>
        </w:rPr>
        <w:t>）</w:t>
      </w:r>
      <w:r>
        <w:rPr>
          <w:rStyle w:val="10"/>
          <w:rFonts w:hint="eastAsia" w:ascii="仿宋_GB2312" w:hAnsi="仿宋_GB2312" w:eastAsia="仿宋_GB2312" w:cs="Times New Roman"/>
          <w:sz w:val="32"/>
          <w:szCs w:val="32"/>
          <w:lang w:val="en-US" w:eastAsia="zh-CN"/>
        </w:rPr>
        <w:t>工作</w:t>
      </w:r>
      <w:r>
        <w:rPr>
          <w:rStyle w:val="10"/>
          <w:rFonts w:hint="eastAsia" w:ascii="仿宋_GB2312" w:hAnsi="仿宋_GB2312" w:eastAsia="仿宋_GB2312" w:cs="Times New Roman"/>
          <w:sz w:val="32"/>
          <w:szCs w:val="32"/>
          <w:lang w:eastAsia="zh-CN"/>
        </w:rPr>
        <w:t>。</w:t>
      </w:r>
      <w:r>
        <w:rPr>
          <w:rStyle w:val="10"/>
          <w:rFonts w:hint="eastAsia" w:ascii="仿宋_GB2312" w:hAnsi="仿宋_GB2312" w:eastAsia="仿宋_GB2312" w:cs="Times New Roman"/>
          <w:sz w:val="32"/>
          <w:szCs w:val="32"/>
          <w:lang w:val="en-US" w:eastAsia="zh-CN"/>
        </w:rPr>
        <w:t>《规划》于2022年9月编制完成，并经</w:t>
      </w:r>
      <w:r>
        <w:rPr>
          <w:rStyle w:val="10"/>
          <w:rFonts w:hint="eastAsia" w:ascii="仿宋_GB2312" w:hAnsi="仿宋_GB2312" w:eastAsia="仿宋_GB2312" w:cs="Times New Roman"/>
          <w:kern w:val="2"/>
          <w:sz w:val="32"/>
          <w:szCs w:val="32"/>
          <w:lang w:val="en-US" w:eastAsia="zh-CN" w:bidi="ar-SA"/>
        </w:rPr>
        <w:t>专家评审、公开征求意见、专家论证、社会稳定风险评估，通过县国土空间规划审查委员会审查、合法性审核、县政府常务会议决议。</w:t>
      </w:r>
    </w:p>
    <w:p>
      <w:pPr>
        <w:pageBreakBefore w:val="0"/>
        <w:widowControl w:val="0"/>
        <w:kinsoku/>
        <w:wordWrap/>
        <w:overflowPunct/>
        <w:topLinePunct w:val="0"/>
        <w:autoSpaceDE/>
        <w:autoSpaceDN/>
        <w:bidi w:val="0"/>
        <w:snapToGrid/>
        <w:spacing w:line="600" w:lineRule="exact"/>
        <w:ind w:firstLine="640" w:firstLineChars="200"/>
        <w:textAlignment w:val="auto"/>
        <w:rPr>
          <w:rStyle w:val="10"/>
          <w:rFonts w:ascii="仿宋_GB2312" w:hAnsi="仿宋_GB2312" w:eastAsia="仿宋_GB2312" w:cs="Times New Roman"/>
          <w:sz w:val="32"/>
          <w:szCs w:val="32"/>
        </w:rPr>
      </w:pPr>
      <w:r>
        <w:rPr>
          <w:rStyle w:val="10"/>
          <w:rFonts w:hint="eastAsia" w:ascii="仿宋_GB2312" w:hAnsi="仿宋_GB2312" w:eastAsia="仿宋_GB2312" w:cs="Times New Roman"/>
          <w:kern w:val="2"/>
          <w:sz w:val="32"/>
          <w:szCs w:val="32"/>
          <w:lang w:val="zh-CN" w:eastAsia="zh-CN" w:bidi="ar-SA"/>
        </w:rPr>
        <w:t>规划</w:t>
      </w:r>
      <w:r>
        <w:rPr>
          <w:rStyle w:val="10"/>
          <w:rFonts w:hint="eastAsia" w:ascii="仿宋_GB2312" w:hAnsi="仿宋_GB2312" w:eastAsia="仿宋_GB2312" w:cs="Times New Roman"/>
          <w:kern w:val="2"/>
          <w:sz w:val="32"/>
          <w:szCs w:val="32"/>
          <w:lang w:val="en-US" w:eastAsia="zh-CN" w:bidi="ar-SA"/>
        </w:rPr>
        <w:t>工作严格按照</w:t>
      </w:r>
      <w:r>
        <w:rPr>
          <w:rStyle w:val="10"/>
          <w:rFonts w:hint="eastAsia" w:ascii="仿宋_GB2312" w:hAnsi="仿宋_GB2312" w:eastAsia="仿宋_GB2312" w:cs="Times New Roman"/>
          <w:kern w:val="2"/>
          <w:sz w:val="32"/>
          <w:szCs w:val="32"/>
          <w:lang w:val="zh-CN" w:eastAsia="zh-CN" w:bidi="ar-SA"/>
        </w:rPr>
        <w:t>《中华人民共和国城乡规划法》（2019年修正）、《中华人民共和国土地管理法》（2019年修正）、《城市综合交通体系规划标准》（GB/T51328-2018）、《汽车加油加气加氢站技术标准》（GB50156-2021）、《建筑设计防火规范》（GB50016-2014）、《山东省建设用地控制标准（2019年版）》、《山东省商务厅关于取消和下放石油成品油经营资格审批权限有关事项的通知》（鲁商字〔2019〕131号）、《关于建立全市国土空间规划体系并监督实施的通知》（</w:t>
      </w:r>
      <w:r>
        <w:rPr>
          <w:rStyle w:val="10"/>
          <w:rFonts w:hint="eastAsia" w:ascii="仿宋_GB2312" w:hAnsi="仿宋_GB2312" w:eastAsia="仿宋_GB2312" w:cs="Times New Roman"/>
          <w:kern w:val="2"/>
          <w:sz w:val="32"/>
          <w:szCs w:val="32"/>
          <w:lang w:val="en-US" w:eastAsia="zh-CN" w:bidi="ar-SA"/>
        </w:rPr>
        <w:t>聊发</w:t>
      </w:r>
      <w:r>
        <w:rPr>
          <w:rStyle w:val="10"/>
          <w:rFonts w:hint="eastAsia" w:ascii="仿宋_GB2312" w:hAnsi="仿宋_GB2312" w:eastAsia="仿宋_GB2312" w:cs="Times New Roman"/>
          <w:kern w:val="2"/>
          <w:sz w:val="32"/>
          <w:szCs w:val="32"/>
          <w:lang w:val="zh-CN" w:eastAsia="zh-CN" w:bidi="ar-SA"/>
        </w:rPr>
        <w:t>〔20</w:t>
      </w:r>
      <w:r>
        <w:rPr>
          <w:rStyle w:val="10"/>
          <w:rFonts w:hint="eastAsia" w:ascii="仿宋_GB2312" w:hAnsi="仿宋_GB2312" w:eastAsia="仿宋_GB2312" w:cs="Times New Roman"/>
          <w:kern w:val="2"/>
          <w:sz w:val="32"/>
          <w:szCs w:val="32"/>
          <w:lang w:val="en-US" w:eastAsia="zh-CN" w:bidi="ar-SA"/>
        </w:rPr>
        <w:t>21</w:t>
      </w:r>
      <w:r>
        <w:rPr>
          <w:rStyle w:val="10"/>
          <w:rFonts w:hint="eastAsia" w:ascii="仿宋_GB2312" w:hAnsi="仿宋_GB2312" w:eastAsia="仿宋_GB2312" w:cs="Times New Roman"/>
          <w:kern w:val="2"/>
          <w:sz w:val="32"/>
          <w:szCs w:val="32"/>
          <w:lang w:val="zh-CN" w:eastAsia="zh-CN" w:bidi="ar-SA"/>
        </w:rPr>
        <w:t>〕</w:t>
      </w:r>
      <w:r>
        <w:rPr>
          <w:rStyle w:val="10"/>
          <w:rFonts w:hint="eastAsia" w:ascii="仿宋_GB2312" w:hAnsi="仿宋_GB2312" w:eastAsia="仿宋_GB2312" w:cs="Times New Roman"/>
          <w:kern w:val="2"/>
          <w:sz w:val="32"/>
          <w:szCs w:val="32"/>
          <w:lang w:val="en-US" w:eastAsia="zh-CN" w:bidi="ar-SA"/>
        </w:rPr>
        <w:t>4号</w:t>
      </w:r>
      <w:r>
        <w:rPr>
          <w:rStyle w:val="10"/>
          <w:rFonts w:hint="eastAsia" w:ascii="仿宋_GB2312" w:hAnsi="仿宋_GB2312" w:eastAsia="仿宋_GB2312" w:cs="Times New Roman"/>
          <w:kern w:val="2"/>
          <w:sz w:val="32"/>
          <w:szCs w:val="32"/>
          <w:lang w:val="zh-CN" w:eastAsia="zh-CN" w:bidi="ar-SA"/>
        </w:rPr>
        <w:t>）、</w:t>
      </w:r>
      <w:r>
        <w:rPr>
          <w:rStyle w:val="10"/>
          <w:rFonts w:hint="eastAsia" w:ascii="仿宋_GB2312" w:hAnsi="仿宋_GB2312" w:eastAsia="仿宋_GB2312" w:cs="Times New Roman"/>
          <w:kern w:val="2"/>
          <w:sz w:val="32"/>
          <w:szCs w:val="32"/>
          <w:lang w:val="en-US" w:eastAsia="zh-CN" w:bidi="ar-SA"/>
        </w:rPr>
        <w:t>山东省商务厅《关于做好成品油零售体系“十四五”发展规划编制工作的通知》、聊城市商务和投资促进局《关于做好全市成品油零售体系“十四五”发展规划编制工作的通知》</w:t>
      </w:r>
      <w:r>
        <w:rPr>
          <w:rStyle w:val="10"/>
          <w:rFonts w:hint="eastAsia" w:ascii="仿宋_GB2312" w:hAnsi="仿宋_GB2312" w:eastAsia="仿宋_GB2312" w:cs="Times New Roman"/>
          <w:kern w:val="2"/>
          <w:sz w:val="32"/>
          <w:szCs w:val="32"/>
          <w:lang w:val="zh-CN" w:eastAsia="zh-CN" w:bidi="ar-SA"/>
        </w:rPr>
        <w:t>等</w:t>
      </w:r>
      <w:r>
        <w:rPr>
          <w:rStyle w:val="10"/>
          <w:rFonts w:hint="eastAsia" w:ascii="仿宋_GB2312" w:hAnsi="仿宋_GB2312" w:eastAsia="仿宋_GB2312" w:cs="Times New Roman"/>
          <w:kern w:val="2"/>
          <w:sz w:val="32"/>
          <w:szCs w:val="32"/>
          <w:lang w:val="en-US" w:eastAsia="zh-CN" w:bidi="ar-SA"/>
        </w:rPr>
        <w:t>法规</w:t>
      </w:r>
      <w:r>
        <w:rPr>
          <w:rStyle w:val="10"/>
          <w:rFonts w:hint="eastAsia" w:ascii="仿宋_GB2312" w:hAnsi="仿宋_GB2312" w:eastAsia="仿宋_GB2312" w:cs="Times New Roman"/>
          <w:kern w:val="2"/>
          <w:sz w:val="32"/>
          <w:szCs w:val="32"/>
          <w:lang w:val="zh-CN" w:eastAsia="zh-CN" w:bidi="ar-SA"/>
        </w:rPr>
        <w:t>文件</w:t>
      </w:r>
      <w:r>
        <w:rPr>
          <w:rStyle w:val="10"/>
          <w:rFonts w:hint="eastAsia" w:ascii="仿宋_GB2312" w:hAnsi="仿宋_GB2312" w:eastAsia="仿宋_GB2312" w:cs="Times New Roman"/>
          <w:kern w:val="2"/>
          <w:sz w:val="32"/>
          <w:szCs w:val="32"/>
          <w:lang w:val="en-US" w:eastAsia="zh-CN" w:bidi="ar-SA"/>
        </w:rPr>
        <w:t>执行</w:t>
      </w:r>
      <w:r>
        <w:rPr>
          <w:rStyle w:val="10"/>
          <w:rFonts w:hint="eastAsia" w:ascii="仿宋_GB2312" w:hAnsi="仿宋_GB2312" w:eastAsia="仿宋_GB2312" w:cs="Times New Roman"/>
          <w:kern w:val="2"/>
          <w:sz w:val="32"/>
          <w:szCs w:val="32"/>
          <w:lang w:val="zh-CN" w:eastAsia="zh-CN" w:bidi="ar-SA"/>
        </w:rPr>
        <w:t>，</w:t>
      </w:r>
      <w:r>
        <w:rPr>
          <w:rStyle w:val="10"/>
          <w:rFonts w:hint="eastAsia" w:ascii="仿宋_GB2312" w:hAnsi="仿宋_GB2312" w:eastAsia="仿宋_GB2312" w:cs="Times New Roman"/>
          <w:kern w:val="2"/>
          <w:sz w:val="32"/>
          <w:szCs w:val="32"/>
          <w:lang w:val="en-US" w:eastAsia="zh-CN" w:bidi="ar-SA"/>
        </w:rPr>
        <w:t>符合全县国土空间总体规划</w:t>
      </w:r>
      <w:r>
        <w:rPr>
          <w:rStyle w:val="10"/>
          <w:rFonts w:hint="eastAsia" w:ascii="仿宋_GB2312" w:hAnsi="仿宋_GB2312" w:eastAsia="仿宋_GB2312" w:cs="Times New Roman"/>
          <w:sz w:val="32"/>
          <w:szCs w:val="32"/>
        </w:rPr>
        <w:t>。</w:t>
      </w:r>
    </w:p>
    <w:p>
      <w:pPr>
        <w:pageBreakBefore w:val="0"/>
        <w:widowControl w:val="0"/>
        <w:kinsoku/>
        <w:wordWrap/>
        <w:overflowPunct/>
        <w:topLinePunct w:val="0"/>
        <w:autoSpaceDE/>
        <w:autoSpaceDN/>
        <w:bidi w:val="0"/>
        <w:snapToGrid/>
        <w:spacing w:line="600" w:lineRule="exact"/>
        <w:ind w:firstLine="640"/>
        <w:textAlignment w:val="auto"/>
        <w:rPr>
          <w:rStyle w:val="10"/>
          <w:rFonts w:ascii="仿宋_GB2312" w:hAnsi="仿宋_GB2312" w:eastAsia="仿宋_GB2312" w:cs="Times New Roman"/>
          <w:sz w:val="32"/>
          <w:szCs w:val="32"/>
        </w:rPr>
      </w:pPr>
      <w:r>
        <w:rPr>
          <w:rStyle w:val="10"/>
          <w:rFonts w:hint="eastAsia" w:ascii="仿宋_GB2312" w:hAnsi="仿宋_GB2312" w:eastAsia="仿宋_GB2312" w:cs="Times New Roman"/>
          <w:sz w:val="32"/>
          <w:szCs w:val="32"/>
        </w:rPr>
        <w:t>规划编制范围为冠县行政辖区范围；规划期限为2021至2035年，近期至2025年。</w:t>
      </w:r>
    </w:p>
    <w:p>
      <w:pPr>
        <w:pStyle w:val="4"/>
        <w:pageBreakBefore w:val="0"/>
        <w:widowControl w:val="0"/>
        <w:numPr>
          <w:ilvl w:val="3"/>
          <w:numId w:val="0"/>
        </w:numPr>
        <w:kinsoku/>
        <w:wordWrap/>
        <w:overflowPunct/>
        <w:topLinePunct w:val="0"/>
        <w:autoSpaceDE/>
        <w:autoSpaceDN/>
        <w:bidi w:val="0"/>
        <w:snapToGrid/>
        <w:spacing w:line="600" w:lineRule="exact"/>
        <w:ind w:firstLine="640" w:firstLineChars="200"/>
        <w:textAlignment w:val="auto"/>
        <w:rPr>
          <w:rFonts w:ascii="黑体" w:hAnsi="黑体" w:eastAsia="黑体" w:cs="黑体"/>
          <w:b w:val="0"/>
          <w:bCs w:val="0"/>
          <w:sz w:val="32"/>
          <w:szCs w:val="32"/>
        </w:rPr>
      </w:pPr>
      <w:bookmarkStart w:id="1" w:name="_Toc92288119"/>
      <w:r>
        <w:rPr>
          <w:rFonts w:hint="eastAsia" w:ascii="黑体" w:hAnsi="黑体" w:eastAsia="黑体" w:cs="黑体"/>
          <w:b w:val="0"/>
          <w:bCs w:val="0"/>
          <w:sz w:val="32"/>
          <w:szCs w:val="32"/>
        </w:rPr>
        <w:t>二、加油站现状概况</w:t>
      </w:r>
      <w:bookmarkEnd w:id="1"/>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hint="eastAsia"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现状加油站共56座，包括三级站43座、二级站13座，现状加油站问题主要包括：</w:t>
      </w:r>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hint="eastAsia"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1、加油站城乡分布不均衡，城区及国省道站点密度过大、乡村网点较少，现状加油站包括国省道18座、城区18座、乡镇驻地16座、乡村网点2座、高速服务区2座。</w:t>
      </w:r>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ascii="仿宋_GB2312" w:hAnsi="仿宋_GB2312" w:eastAsia="仿宋_GB2312" w:cs="Times New Roman"/>
          <w:sz w:val="32"/>
          <w:szCs w:val="32"/>
        </w:rPr>
      </w:pPr>
      <w:r>
        <w:rPr>
          <w:rStyle w:val="10"/>
          <w:rFonts w:hint="eastAsia" w:ascii="仿宋_GB2312" w:hAnsi="仿宋_GB2312" w:eastAsia="仿宋_GB2312" w:cs="Times New Roman"/>
          <w:sz w:val="32"/>
          <w:szCs w:val="32"/>
          <w:lang w:val="zh-CN"/>
        </w:rPr>
        <w:t>2、现状加油站不能满足冠县社会经济</w:t>
      </w:r>
      <w:r>
        <w:rPr>
          <w:rStyle w:val="10"/>
          <w:rFonts w:hint="eastAsia" w:ascii="仿宋_GB2312" w:hAnsi="仿宋_GB2312" w:eastAsia="仿宋_GB2312" w:cs="Times New Roman"/>
          <w:sz w:val="32"/>
          <w:szCs w:val="32"/>
        </w:rPr>
        <w:t>发展的需求。</w:t>
      </w:r>
    </w:p>
    <w:p>
      <w:pPr>
        <w:pStyle w:val="4"/>
        <w:pageBreakBefore w:val="0"/>
        <w:widowControl w:val="0"/>
        <w:numPr>
          <w:ilvl w:val="3"/>
          <w:numId w:val="0"/>
        </w:numPr>
        <w:kinsoku/>
        <w:wordWrap/>
        <w:overflowPunct/>
        <w:topLinePunct w:val="0"/>
        <w:autoSpaceDE/>
        <w:autoSpaceDN/>
        <w:bidi w:val="0"/>
        <w:snapToGrid/>
        <w:spacing w:line="600" w:lineRule="exact"/>
        <w:ind w:firstLine="640" w:firstLineChars="200"/>
        <w:textAlignment w:val="auto"/>
        <w:rPr>
          <w:rFonts w:ascii="黑体" w:hAnsi="黑体" w:eastAsia="黑体" w:cs="黑体"/>
          <w:b w:val="0"/>
          <w:bCs w:val="0"/>
          <w:sz w:val="32"/>
          <w:szCs w:val="32"/>
        </w:rPr>
      </w:pPr>
      <w:bookmarkStart w:id="2" w:name="_Toc92288120"/>
      <w:r>
        <w:rPr>
          <w:rFonts w:hint="eastAsia" w:ascii="黑体" w:hAnsi="黑体" w:eastAsia="黑体" w:cs="黑体"/>
          <w:b w:val="0"/>
          <w:bCs w:val="0"/>
          <w:sz w:val="32"/>
          <w:szCs w:val="32"/>
        </w:rPr>
        <w:t>三、</w:t>
      </w:r>
      <w:r>
        <w:rPr>
          <w:rFonts w:hint="eastAsia" w:ascii="黑体" w:hAnsi="黑体" w:eastAsia="黑体" w:cs="黑体"/>
          <w:b w:val="0"/>
          <w:bCs w:val="0"/>
          <w:sz w:val="32"/>
          <w:szCs w:val="32"/>
          <w:lang w:val="en-US" w:eastAsia="zh-CN"/>
        </w:rPr>
        <w:t>新建</w:t>
      </w:r>
      <w:r>
        <w:rPr>
          <w:rFonts w:hint="eastAsia" w:ascii="黑体" w:hAnsi="黑体" w:eastAsia="黑体" w:cs="黑体"/>
          <w:b w:val="0"/>
          <w:bCs w:val="0"/>
          <w:sz w:val="32"/>
          <w:szCs w:val="32"/>
        </w:rPr>
        <w:t>加油站布局规划</w:t>
      </w:r>
      <w:bookmarkEnd w:id="2"/>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至2035年，规划新建5</w:t>
      </w:r>
      <w:r>
        <w:rPr>
          <w:rStyle w:val="10"/>
          <w:rFonts w:hint="eastAsia" w:ascii="仿宋_GB2312" w:hAnsi="仿宋_GB2312" w:eastAsia="仿宋_GB2312" w:cs="Times New Roman"/>
          <w:sz w:val="32"/>
          <w:szCs w:val="32"/>
        </w:rPr>
        <w:t>6</w:t>
      </w:r>
      <w:r>
        <w:rPr>
          <w:rStyle w:val="10"/>
          <w:rFonts w:hint="eastAsia" w:ascii="仿宋_GB2312" w:hAnsi="仿宋_GB2312" w:eastAsia="仿宋_GB2312" w:cs="Times New Roman"/>
          <w:sz w:val="32"/>
          <w:szCs w:val="32"/>
          <w:lang w:val="zh-CN"/>
        </w:rPr>
        <w:t>座，新建加油站以三级站为主，加油站布局优化内容主要包括：</w:t>
      </w:r>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1、现状加油站引导</w:t>
      </w:r>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现状加油站在成品油零售经营批准证书有效期内正常运营，应按照国家、省、市关于安全、环保、消防等相关规范要求执行。</w:t>
      </w:r>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2、优化城乡站点布局</w:t>
      </w:r>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为进一步完善乡村网点布局，新建加油站以乡村网点为主，其中乡村网点新建</w:t>
      </w:r>
      <w:r>
        <w:rPr>
          <w:rStyle w:val="10"/>
          <w:rFonts w:ascii="仿宋_GB2312" w:hAnsi="仿宋_GB2312" w:eastAsia="仿宋_GB2312" w:cs="Times New Roman"/>
          <w:sz w:val="32"/>
          <w:szCs w:val="32"/>
          <w:lang w:val="zh-CN"/>
        </w:rPr>
        <w:t>37座、城区新建7座，乡镇驻地新建5座，国省道新建7座</w:t>
      </w:r>
      <w:r>
        <w:rPr>
          <w:rStyle w:val="10"/>
          <w:rFonts w:hint="eastAsia" w:ascii="仿宋_GB2312" w:hAnsi="仿宋_GB2312" w:eastAsia="仿宋_GB2312" w:cs="Times New Roman"/>
          <w:sz w:val="32"/>
          <w:szCs w:val="32"/>
          <w:lang w:val="zh-CN"/>
        </w:rPr>
        <w:t>。</w:t>
      </w:r>
    </w:p>
    <w:p>
      <w:pPr>
        <w:pageBreakBefore w:val="0"/>
        <w:widowControl w:val="0"/>
        <w:kinsoku/>
        <w:wordWrap/>
        <w:overflowPunct/>
        <w:topLinePunct w:val="0"/>
        <w:autoSpaceDE/>
        <w:autoSpaceDN/>
        <w:bidi w:val="0"/>
        <w:adjustRightInd w:val="0"/>
        <w:snapToGrid/>
        <w:spacing w:line="600" w:lineRule="exact"/>
        <w:ind w:firstLine="640"/>
        <w:textAlignment w:val="auto"/>
        <w:rPr>
          <w:rStyle w:val="10"/>
          <w:rFonts w:ascii="仿宋_GB2312" w:hAnsi="仿宋_GB2312" w:eastAsia="仿宋_GB2312" w:cs="Times New Roman"/>
          <w:sz w:val="32"/>
          <w:szCs w:val="32"/>
          <w:lang w:val="zh-CN"/>
        </w:rPr>
      </w:pPr>
      <w:r>
        <w:rPr>
          <w:rStyle w:val="10"/>
          <w:rFonts w:hint="eastAsia" w:ascii="仿宋_GB2312" w:hAnsi="仿宋_GB2312" w:eastAsia="仿宋_GB2312" w:cs="Times New Roman"/>
          <w:sz w:val="32"/>
          <w:szCs w:val="32"/>
          <w:lang w:val="zh-CN"/>
        </w:rPr>
        <w:t>3、各</w:t>
      </w:r>
      <w:r>
        <w:rPr>
          <w:rStyle w:val="10"/>
          <w:rFonts w:hint="eastAsia" w:ascii="仿宋_GB2312" w:hAnsi="仿宋_GB2312" w:eastAsia="仿宋_GB2312" w:cs="Times New Roman"/>
          <w:sz w:val="32"/>
          <w:szCs w:val="32"/>
          <w:lang w:val="en-US" w:eastAsia="zh-CN"/>
        </w:rPr>
        <w:t>乡镇（街道）</w:t>
      </w:r>
      <w:r>
        <w:rPr>
          <w:rStyle w:val="10"/>
          <w:rFonts w:hint="eastAsia" w:ascii="仿宋_GB2312" w:hAnsi="仿宋_GB2312" w:eastAsia="仿宋_GB2312" w:cs="Times New Roman"/>
          <w:sz w:val="32"/>
          <w:szCs w:val="32"/>
          <w:lang w:val="zh-CN"/>
        </w:rPr>
        <w:t>均有新建站</w:t>
      </w:r>
    </w:p>
    <w:p>
      <w:pPr>
        <w:pageBreakBefore w:val="0"/>
        <w:widowControl w:val="0"/>
        <w:kinsoku/>
        <w:wordWrap/>
        <w:overflowPunct/>
        <w:topLinePunct w:val="0"/>
        <w:autoSpaceDE/>
        <w:autoSpaceDN/>
        <w:bidi w:val="0"/>
        <w:adjustRightInd w:val="0"/>
        <w:snapToGrid/>
        <w:spacing w:line="600" w:lineRule="exact"/>
        <w:ind w:firstLine="640"/>
        <w:textAlignment w:val="auto"/>
      </w:pPr>
      <w:r>
        <w:rPr>
          <w:rStyle w:val="10"/>
          <w:rFonts w:hint="eastAsia" w:ascii="仿宋_GB2312" w:hAnsi="仿宋_GB2312" w:eastAsia="仿宋_GB2312" w:cs="Times New Roman"/>
          <w:sz w:val="32"/>
          <w:szCs w:val="32"/>
          <w:lang w:val="zh-CN"/>
        </w:rPr>
        <w:t>崇文街道规划新建3座，清泉街道规划新建6座，烟庄街道规划新建</w:t>
      </w:r>
      <w:r>
        <w:rPr>
          <w:rStyle w:val="10"/>
          <w:rFonts w:hint="eastAsia" w:ascii="仿宋_GB2312" w:hAnsi="仿宋_GB2312" w:eastAsia="仿宋_GB2312" w:cs="Times New Roman"/>
          <w:sz w:val="32"/>
          <w:szCs w:val="32"/>
        </w:rPr>
        <w:t>4</w:t>
      </w:r>
      <w:r>
        <w:rPr>
          <w:rStyle w:val="10"/>
          <w:rFonts w:hint="eastAsia" w:ascii="仿宋_GB2312" w:hAnsi="仿宋_GB2312" w:eastAsia="仿宋_GB2312" w:cs="Times New Roman"/>
          <w:sz w:val="32"/>
          <w:szCs w:val="32"/>
          <w:lang w:val="zh-CN"/>
        </w:rPr>
        <w:t>座，北馆陶镇规划新建2座，店子镇规划新建1座，定远寨镇规划新建3座，东古城镇规划新建3座，范寨镇规划新建4座，甘官屯镇规划新建4座，贾镇规划新建2座，兰沃乡规划新建3座，梁堂镇规划新建</w:t>
      </w:r>
      <w:r>
        <w:rPr>
          <w:rStyle w:val="10"/>
          <w:rFonts w:hint="eastAsia" w:ascii="仿宋_GB2312" w:hAnsi="仿宋_GB2312" w:eastAsia="仿宋_GB2312" w:cs="Times New Roman"/>
          <w:sz w:val="32"/>
          <w:szCs w:val="32"/>
        </w:rPr>
        <w:t>3</w:t>
      </w:r>
      <w:r>
        <w:rPr>
          <w:rStyle w:val="10"/>
          <w:rFonts w:hint="eastAsia" w:ascii="仿宋_GB2312" w:hAnsi="仿宋_GB2312" w:eastAsia="仿宋_GB2312" w:cs="Times New Roman"/>
          <w:sz w:val="32"/>
          <w:szCs w:val="32"/>
          <w:lang w:val="zh-CN"/>
        </w:rPr>
        <w:t>座，柳林镇规划新建2座，清水镇规划新建2座，桑阿镇规划新建</w:t>
      </w:r>
      <w:r>
        <w:rPr>
          <w:rStyle w:val="10"/>
          <w:rFonts w:hint="eastAsia" w:ascii="仿宋_GB2312" w:hAnsi="仿宋_GB2312" w:eastAsia="仿宋_GB2312" w:cs="Times New Roman"/>
          <w:sz w:val="32"/>
          <w:szCs w:val="32"/>
        </w:rPr>
        <w:t>6</w:t>
      </w:r>
      <w:r>
        <w:rPr>
          <w:rStyle w:val="10"/>
          <w:rFonts w:hint="eastAsia" w:ascii="仿宋_GB2312" w:hAnsi="仿宋_GB2312" w:eastAsia="仿宋_GB2312" w:cs="Times New Roman"/>
          <w:sz w:val="32"/>
          <w:szCs w:val="32"/>
          <w:lang w:val="zh-CN"/>
        </w:rPr>
        <w:t>座，万善乡规划新建2座，斜店乡规划新建</w:t>
      </w:r>
      <w:r>
        <w:rPr>
          <w:rStyle w:val="10"/>
          <w:rFonts w:hint="eastAsia" w:ascii="仿宋_GB2312" w:hAnsi="仿宋_GB2312" w:eastAsia="仿宋_GB2312" w:cs="Times New Roman"/>
          <w:sz w:val="32"/>
          <w:szCs w:val="32"/>
        </w:rPr>
        <w:t>4</w:t>
      </w:r>
      <w:r>
        <w:rPr>
          <w:rStyle w:val="10"/>
          <w:rFonts w:hint="eastAsia" w:ascii="仿宋_GB2312" w:hAnsi="仿宋_GB2312" w:eastAsia="仿宋_GB2312" w:cs="Times New Roman"/>
          <w:sz w:val="32"/>
          <w:szCs w:val="32"/>
          <w:lang w:val="zh-CN"/>
        </w:rPr>
        <w:t>座，辛集镇规划新建2座。</w:t>
      </w:r>
    </w:p>
    <w:p>
      <w:pPr>
        <w:pageBreakBefore w:val="0"/>
        <w:widowControl w:val="0"/>
        <w:kinsoku/>
        <w:wordWrap/>
        <w:overflowPunct/>
        <w:topLinePunct w:val="0"/>
        <w:autoSpaceDE/>
        <w:autoSpaceDN/>
        <w:bidi w:val="0"/>
        <w:snapToGrid/>
        <w:spacing w:line="600" w:lineRule="exact"/>
        <w:ind w:firstLine="640"/>
        <w:textAlignment w:val="auto"/>
        <w:rPr>
          <w:rStyle w:val="10"/>
          <w:rFonts w:ascii="仿宋_GB2312" w:hAnsi="仿宋_GB2312" w:eastAsia="仿宋_GB2312" w:cs="Times New Roman"/>
          <w:sz w:val="32"/>
          <w:szCs w:val="32"/>
        </w:rPr>
      </w:pPr>
      <w:r>
        <w:rPr>
          <w:rStyle w:val="10"/>
          <w:rFonts w:hint="eastAsia" w:ascii="仿宋_GB2312" w:hAnsi="仿宋_GB2312" w:eastAsia="仿宋_GB2312" w:cs="Times New Roman"/>
          <w:sz w:val="32"/>
          <w:szCs w:val="32"/>
        </w:rPr>
        <w:t>4、明确近期建设内容</w:t>
      </w:r>
    </w:p>
    <w:p>
      <w:pPr>
        <w:pageBreakBefore w:val="0"/>
        <w:widowControl w:val="0"/>
        <w:kinsoku/>
        <w:wordWrap/>
        <w:overflowPunct/>
        <w:topLinePunct w:val="0"/>
        <w:autoSpaceDE/>
        <w:autoSpaceDN/>
        <w:bidi w:val="0"/>
        <w:snapToGrid/>
        <w:spacing w:line="600" w:lineRule="exact"/>
        <w:ind w:firstLine="640"/>
        <w:textAlignment w:val="auto"/>
        <w:rPr>
          <w:rStyle w:val="10"/>
          <w:rFonts w:ascii="仿宋_GB2312" w:hAnsi="仿宋_GB2312" w:eastAsia="仿宋_GB2312" w:cs="Times New Roman"/>
          <w:sz w:val="32"/>
          <w:szCs w:val="32"/>
        </w:rPr>
      </w:pPr>
      <w:r>
        <w:rPr>
          <w:rStyle w:val="10"/>
          <w:rFonts w:hint="eastAsia" w:ascii="仿宋_GB2312" w:hAnsi="仿宋_GB2312" w:eastAsia="仿宋_GB2312" w:cs="Times New Roman"/>
          <w:sz w:val="32"/>
          <w:szCs w:val="32"/>
        </w:rPr>
        <w:t>为保障十四五发展诉求，近期新建加油站20座。其中崇文街道近期新建1座，清泉街道近期新建2座，烟庄街道近期新建2座，北馆陶镇近期新建1座，定远寨镇近期新建1座，东古城镇近期新建1座，范寨镇近期新建3座，甘官屯镇近期新建1座，贾镇近期新建1座，柳林镇近期新建1座，清水镇近期新建1座，桑阿镇近期新建1座，万善乡近期新建1座，斜店乡近期新建2座，辛集镇近期新建1座。</w:t>
      </w:r>
    </w:p>
    <w:p>
      <w:pPr>
        <w:pageBreakBefore w:val="0"/>
        <w:widowControl w:val="0"/>
        <w:kinsoku/>
        <w:wordWrap/>
        <w:overflowPunct/>
        <w:topLinePunct w:val="0"/>
        <w:autoSpaceDE/>
        <w:autoSpaceDN/>
        <w:bidi w:val="0"/>
        <w:snapToGrid/>
        <w:spacing w:line="600" w:lineRule="exact"/>
        <w:ind w:firstLine="640"/>
        <w:textAlignment w:val="auto"/>
        <w:rPr>
          <w:rStyle w:val="10"/>
          <w:rFonts w:ascii="仿宋_GB2312" w:hAnsi="仿宋_GB2312" w:eastAsia="仿宋_GB2312" w:cs="Times New Roman"/>
          <w:sz w:val="32"/>
          <w:szCs w:val="32"/>
        </w:rPr>
      </w:pPr>
    </w:p>
    <w:p>
      <w:pPr>
        <w:pStyle w:val="5"/>
        <w:ind w:left="0" w:leftChars="0" w:right="1960" w:firstLine="0" w:firstLineChars="0"/>
      </w:pPr>
    </w:p>
    <w:p>
      <w:pPr>
        <w:pStyle w:val="5"/>
        <w:ind w:left="1960" w:right="1960" w:firstLine="560"/>
      </w:pPr>
    </w:p>
    <w:p>
      <w:pPr>
        <w:pStyle w:val="4"/>
        <w:numPr>
          <w:ilvl w:val="3"/>
          <w:numId w:val="0"/>
        </w:numPr>
        <w:ind w:firstLine="422" w:firstLineChars="200"/>
        <w:rPr>
          <w:rFonts w:ascii="黑体" w:hAnsi="黑体" w:eastAsia="黑体" w:cs="黑体"/>
        </w:rPr>
        <w:sectPr>
          <w:headerReference r:id="rId3" w:type="default"/>
          <w:footerReference r:id="rId4" w:type="default"/>
          <w:pgSz w:w="11906" w:h="16838"/>
          <w:pgMar w:top="1701" w:right="1701" w:bottom="1701" w:left="1701" w:header="851" w:footer="1417" w:gutter="0"/>
          <w:pgNumType w:fmt="numberInDash"/>
          <w:cols w:space="0" w:num="1"/>
          <w:rtlGutter w:val="0"/>
          <w:docGrid w:type="lines" w:linePitch="312" w:charSpace="0"/>
        </w:sectPr>
      </w:pPr>
    </w:p>
    <w:p>
      <w:pPr>
        <w:pStyle w:val="4"/>
        <w:numPr>
          <w:ilvl w:val="3"/>
          <w:numId w:val="0"/>
        </w:numPr>
        <w:rPr>
          <w:rFonts w:ascii="黑体" w:hAnsi="黑体" w:eastAsia="黑体" w:cs="黑体"/>
          <w:b w:val="0"/>
          <w:bCs w:val="0"/>
          <w:sz w:val="32"/>
          <w:szCs w:val="32"/>
        </w:rPr>
      </w:pPr>
      <w:r>
        <w:rPr>
          <w:rFonts w:ascii="黑体" w:hAnsi="黑体" w:eastAsia="黑体" w:cs="黑体"/>
          <w:b w:val="0"/>
          <w:bCs w:val="0"/>
          <w:sz w:val="32"/>
          <w:szCs w:val="32"/>
        </w:rPr>
        <w:t>附图：</w:t>
      </w:r>
    </w:p>
    <w:p>
      <w:pPr>
        <w:pStyle w:val="4"/>
        <w:keepNext/>
        <w:keepLines/>
        <w:pageBreakBefore w:val="0"/>
        <w:widowControl w:val="0"/>
        <w:numPr>
          <w:ilvl w:val="3"/>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加油站布局规划图</w:t>
      </w:r>
    </w:p>
    <w:p>
      <w:pPr>
        <w:pStyle w:val="5"/>
        <w:spacing w:after="0" w:line="240" w:lineRule="auto"/>
        <w:ind w:left="0" w:leftChars="0" w:right="0" w:rightChars="0" w:firstLine="0" w:firstLineChars="0"/>
        <w:jc w:val="center"/>
        <w:sectPr>
          <w:pgSz w:w="16838" w:h="11906" w:orient="landscape"/>
          <w:pgMar w:top="1134" w:right="1417" w:bottom="1247" w:left="1417" w:header="851" w:footer="992" w:gutter="0"/>
          <w:pgNumType w:fmt="numberInDash"/>
          <w:cols w:space="0" w:num="1"/>
          <w:rtlGutter w:val="0"/>
          <w:docGrid w:type="lines" w:linePitch="312" w:charSpace="0"/>
        </w:sectPr>
      </w:pPr>
      <w:r>
        <w:drawing>
          <wp:inline distT="0" distB="0" distL="0" distR="0">
            <wp:extent cx="7284720" cy="5130800"/>
            <wp:effectExtent l="0" t="0" r="1143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r="975" b="1102"/>
                    <a:stretch>
                      <a:fillRect/>
                    </a:stretch>
                  </pic:blipFill>
                  <pic:spPr>
                    <a:xfrm>
                      <a:off x="0" y="0"/>
                      <a:ext cx="7284720" cy="5130800"/>
                    </a:xfrm>
                    <a:prstGeom prst="rect">
                      <a:avLst/>
                    </a:prstGeom>
                    <a:noFill/>
                    <a:ln>
                      <a:noFill/>
                    </a:ln>
                  </pic:spPr>
                </pic:pic>
              </a:graphicData>
            </a:graphic>
          </wp:inline>
        </w:drawing>
      </w:r>
    </w:p>
    <w:p>
      <w:pPr>
        <w:pStyle w:val="5"/>
        <w:spacing w:after="0" w:line="240" w:lineRule="auto"/>
        <w:ind w:left="0" w:leftChars="0" w:right="0" w:rightChars="0" w:firstLine="0" w:firstLineChars="0"/>
        <w:jc w:val="cente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spacing w:line="620" w:lineRule="exact"/>
        <w:rPr>
          <w:rFonts w:hint="eastAsia"/>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59264;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2022年9月</w:t>
      </w:r>
      <w:r>
        <w:rPr>
          <w:rFonts w:hint="eastAsia" w:ascii="仿宋_GB2312" w:hAnsi="仿宋_GB2312" w:cs="仿宋_GB2312"/>
          <w:color w:val="000000"/>
          <w:kern w:val="2"/>
          <w:sz w:val="32"/>
          <w:szCs w:val="32"/>
          <w:lang w:val="en-US" w:eastAsia="zh-CN" w:bidi="ar"/>
        </w:rPr>
        <w:t>30</w:t>
      </w:r>
      <w:r>
        <w:rPr>
          <w:rFonts w:hint="eastAsia" w:ascii="仿宋_GB2312" w:hAnsi="仿宋_GB2312" w:eastAsia="仿宋_GB2312" w:cs="仿宋_GB2312"/>
          <w:color w:val="000000"/>
          <w:kern w:val="2"/>
          <w:sz w:val="32"/>
          <w:szCs w:val="32"/>
          <w:lang w:val="en-US" w:eastAsia="zh-CN" w:bidi="ar"/>
        </w:rPr>
        <w:t>日印发</w:t>
      </w:r>
    </w:p>
    <w:p>
      <w:pPr>
        <w:pStyle w:val="3"/>
        <w:pageBreakBefore w:val="0"/>
        <w:widowControl/>
        <w:kinsoku/>
        <w:overflowPunct/>
        <w:topLinePunct w:val="0"/>
        <w:autoSpaceDE/>
        <w:autoSpaceDN/>
        <w:bidi w:val="0"/>
        <w:adjustRightInd/>
        <w:snapToGrid/>
        <w:spacing w:beforeLines="0" w:afterLines="0" w:line="600" w:lineRule="exact"/>
        <w:ind w:left="0" w:firstLine="6080" w:firstLineChars="1900"/>
        <w:textAlignment w:val="auto"/>
        <w:rPr>
          <w:rFonts w:hint="eastAsia" w:ascii="仿宋_GB2312" w:hAnsi="仿宋_GB2312" w:eastAsia="仿宋_GB2312" w:cs="仿宋_GB2312"/>
          <w:sz w:val="32"/>
          <w:szCs w:val="32"/>
        </w:rPr>
      </w:pPr>
      <w:r>
        <w:rPr>
          <w:color w:val="000000"/>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20</w:t>
      </w:r>
      <w:r>
        <w:rPr>
          <w:rFonts w:hint="eastAsia" w:ascii="仿宋_GB2312" w:hAnsi="仿宋_GB2312" w:eastAsia="仿宋_GB2312" w:cs="仿宋_GB2312"/>
          <w:b w:val="0"/>
          <w:color w:val="000000"/>
          <w:sz w:val="32"/>
          <w:szCs w:val="32"/>
          <w:lang w:eastAsia="zh-CN"/>
        </w:rPr>
        <w:t>份）</w:t>
      </w:r>
    </w:p>
    <w:sectPr>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78494C"/>
    <w:multiLevelType w:val="multilevel"/>
    <w:tmpl w:val="6678494C"/>
    <w:lvl w:ilvl="0" w:tentative="0">
      <w:start w:val="1"/>
      <w:numFmt w:val="chineseCountingThousand"/>
      <w:lvlText w:val="第%1章"/>
      <w:lvlJc w:val="left"/>
      <w:pPr>
        <w:ind w:left="0" w:firstLine="0"/>
      </w:pPr>
      <w:rPr>
        <w:rFonts w:hint="eastAsia"/>
      </w:rPr>
    </w:lvl>
    <w:lvl w:ilvl="1" w:tentative="0">
      <w:start w:val="1"/>
      <w:numFmt w:val="chineseCountingThousand"/>
      <w:lvlText w:val="%2、"/>
      <w:lvlJc w:val="left"/>
      <w:pPr>
        <w:ind w:left="0" w:firstLine="0"/>
      </w:pPr>
      <w:rPr>
        <w:rFonts w:hint="eastAsia"/>
        <w:lang w:val="en-US"/>
      </w:rPr>
    </w:lvl>
    <w:lvl w:ilvl="2" w:tentative="0">
      <w:start w:val="1"/>
      <w:numFmt w:val="chineseCountingThousand"/>
      <w:lvlText w:val="（%3）"/>
      <w:lvlJc w:val="left"/>
      <w:pPr>
        <w:ind w:left="0" w:firstLine="0"/>
      </w:pPr>
      <w:rPr>
        <w:rFonts w:hint="eastAsia"/>
      </w:rPr>
    </w:lvl>
    <w:lvl w:ilvl="3" w:tentative="0">
      <w:start w:val="1"/>
      <w:numFmt w:val="decimal"/>
      <w:pStyle w:val="4"/>
      <w:lvlText w:val="%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MDIxODUxZjAzNTk4Yjc2NzUzOWEzMjM4YWIzMGUifQ=="/>
  </w:docVars>
  <w:rsids>
    <w:rsidRoot w:val="0D4E0F2E"/>
    <w:rsid w:val="087B1B8F"/>
    <w:rsid w:val="0D4E0F2E"/>
    <w:rsid w:val="22320648"/>
    <w:rsid w:val="36867E4D"/>
    <w:rsid w:val="3F4D4FFE"/>
    <w:rsid w:val="49CA0065"/>
    <w:rsid w:val="5B152C85"/>
    <w:rsid w:val="63DC2A17"/>
    <w:rsid w:val="64654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paragraph" w:styleId="4">
    <w:name w:val="heading 4"/>
    <w:basedOn w:val="1"/>
    <w:next w:val="1"/>
    <w:unhideWhenUsed/>
    <w:qFormat/>
    <w:uiPriority w:val="9"/>
    <w:pPr>
      <w:keepNext/>
      <w:keepLines/>
      <w:numPr>
        <w:ilvl w:val="3"/>
        <w:numId w:val="1"/>
      </w:numPr>
      <w:ind w:firstLineChars="0"/>
      <w:jc w:val="left"/>
      <w:outlineLvl w:val="3"/>
    </w:pPr>
    <w:rPr>
      <w:rFonts w:eastAsia="宋体" w:asciiTheme="majorHAnsi" w:hAnsiTheme="majorHAnsi" w:cstheme="majorBidi"/>
      <w:b/>
      <w:bCs/>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spacing w:line="240" w:lineRule="auto"/>
      <w:ind w:firstLine="0" w:firstLineChars="0"/>
    </w:pPr>
    <w:rPr>
      <w:rFonts w:ascii="Calibri" w:hAnsi="Calibri" w:eastAsia="仿宋_GB2312" w:cs="Times New Roman"/>
      <w:kern w:val="2"/>
      <w:szCs w:val="22"/>
    </w:rPr>
  </w:style>
  <w:style w:type="paragraph" w:styleId="5">
    <w:name w:val="Block Text"/>
    <w:basedOn w:val="1"/>
    <w:unhideWhenUsed/>
    <w:qFormat/>
    <w:uiPriority w:val="99"/>
    <w:pPr>
      <w:spacing w:after="120"/>
      <w:ind w:left="1440" w:leftChars="700" w:right="1440" w:rightChars="700"/>
    </w:pPr>
  </w:style>
  <w:style w:type="paragraph" w:styleId="6">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10">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1492</Words>
  <Characters>1624</Characters>
  <Lines>0</Lines>
  <Paragraphs>0</Paragraphs>
  <TotalTime>0</TotalTime>
  <ScaleCrop>false</ScaleCrop>
  <LinksUpToDate>false</LinksUpToDate>
  <CharactersWithSpaces>1668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2022-09-30T05:02:00Z</dcterms:created>
  <dc:creator>皓雪</dc:creator>
  <cp:lastModifiedBy>皓雪</cp:lastModifiedBy>
  <cp:lastPrinted>2022-09-30T08:09:00Z</cp:lastPrinted>
  <dcterms:modified xsi:type="dcterms:W3CDTF">2022-10-09T01:28:15Z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37341518B45445D1A49D8E116C3518A9</vt:lpwstr>
  </property>
</Properties>
</file>