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1460" w:lineRule="exact"/>
        <w:jc w:val="center"/>
        <w:textAlignment w:val="auto"/>
        <w:rPr>
          <w:rFonts w:hint="eastAsia" w:ascii="方正小标宋简体" w:hAnsi="方正小标宋简体" w:eastAsia="方正小标宋简体" w:cs="方正小标宋简体"/>
          <w:bCs/>
          <w:color w:val="FF0000"/>
          <w:w w:val="66"/>
          <w:sz w:val="130"/>
          <w:szCs w:val="130"/>
        </w:rPr>
      </w:pPr>
      <w:r>
        <w:rPr>
          <w:rFonts w:hint="eastAsia" w:ascii="方正小标宋简体" w:hAnsi="方正小标宋简体" w:eastAsia="方正小标宋简体" w:cs="方正小标宋简体"/>
          <w:bCs/>
          <w:color w:val="FF0000"/>
          <w:w w:val="66"/>
          <w:sz w:val="130"/>
          <w:szCs w:val="130"/>
          <w:lang w:val="en-US" w:eastAsia="zh-CN"/>
        </w:rPr>
        <w:t>冠县</w:t>
      </w:r>
      <w:r>
        <w:rPr>
          <w:rFonts w:hint="eastAsia" w:ascii="方正小标宋简体" w:hAnsi="方正小标宋简体" w:eastAsia="方正小标宋简体" w:cs="方正小标宋简体"/>
          <w:bCs/>
          <w:color w:val="FF0000"/>
          <w:w w:val="66"/>
          <w:sz w:val="130"/>
          <w:szCs w:val="130"/>
        </w:rPr>
        <w:t>应急管理局文件</w:t>
      </w:r>
    </w:p>
    <w:p>
      <w:pPr>
        <w:spacing w:line="620" w:lineRule="exact"/>
        <w:jc w:val="center"/>
        <w:rPr>
          <w:rFonts w:ascii="仿宋" w:hAnsi="仿宋" w:eastAsia="仿宋" w:cs="仿宋"/>
          <w:sz w:val="32"/>
          <w:szCs w:val="32"/>
        </w:rPr>
      </w:pPr>
      <w:bookmarkStart w:id="0" w:name="_GoBack"/>
      <w:r>
        <w:rPr>
          <w:rFonts w:hint="eastAsia" w:ascii="仿宋" w:hAnsi="仿宋" w:eastAsia="仿宋" w:cs="仿宋"/>
          <w:sz w:val="32"/>
          <w:szCs w:val="32"/>
          <w:lang w:val="en-US" w:eastAsia="zh-CN"/>
        </w:rPr>
        <w:t>冠</w:t>
      </w:r>
      <w:r>
        <w:rPr>
          <w:rFonts w:hint="eastAsia" w:ascii="仿宋" w:hAnsi="仿宋" w:eastAsia="仿宋" w:cs="仿宋"/>
          <w:sz w:val="32"/>
          <w:szCs w:val="32"/>
        </w:rPr>
        <w:t>应急发〔202</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11</w:t>
      </w:r>
      <w:r>
        <w:rPr>
          <w:rFonts w:hint="eastAsia" w:ascii="仿宋" w:hAnsi="仿宋" w:eastAsia="仿宋" w:cs="仿宋"/>
          <w:sz w:val="32"/>
          <w:szCs w:val="32"/>
        </w:rPr>
        <w:t>号</w:t>
      </w:r>
    </w:p>
    <w:bookmarkEnd w:id="0"/>
    <w:p>
      <w:pPr>
        <w:pStyle w:val="8"/>
        <w:tabs>
          <w:tab w:val="left" w:pos="4496"/>
        </w:tabs>
        <w:spacing w:line="580" w:lineRule="exact"/>
        <w:ind w:left="0"/>
        <w:jc w:val="center"/>
        <w:rPr>
          <w:rFonts w:hint="eastAsia" w:ascii="方正小标宋简体" w:hAnsi="方正小标宋简体" w:eastAsia="方正小标宋简体" w:cs="方正小标宋简体"/>
          <w:b w:val="0"/>
          <w:bCs w:val="0"/>
        </w:rPr>
      </w:pPr>
      <w:r>
        <w:rPr>
          <w:rFonts w:ascii="仿宋_GB2312" w:eastAsia="仿宋_GB2312"/>
          <w:bCs/>
          <w:color w:val="000000"/>
          <w:spacing w:val="-10"/>
          <w:sz w:val="32"/>
          <w:szCs w:val="32"/>
        </w:rPr>
        <w:pict>
          <v:shape id="直接连接符 1" o:spid="_x0000_s1046" o:spt="32" type="#_x0000_t32" style="position:absolute;left:0pt;margin-left:-6.45pt;margin-top:8.8pt;height:1.95pt;width:454.7pt;z-index:251667456;mso-width-relative:page;mso-height-relative:page;" filled="f" stroked="t" coordsize="21600,21600">
            <v:path arrowok="t"/>
            <v:fill on="f" focussize="0,0"/>
            <v:stroke weight="1.75pt" color="#FF0000" joinstyle="round"/>
            <v:imagedata o:title=""/>
            <o:lock v:ext="edit" aspectratio="f"/>
          </v:shape>
        </w:pict>
      </w:r>
    </w:p>
    <w:p>
      <w:pPr>
        <w:pStyle w:val="8"/>
        <w:tabs>
          <w:tab w:val="left" w:pos="4496"/>
        </w:tabs>
        <w:spacing w:line="580" w:lineRule="exact"/>
        <w:ind w:left="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关于印发《全县应急管理系统安全生产和</w:t>
      </w:r>
    </w:p>
    <w:p>
      <w:pPr>
        <w:pStyle w:val="8"/>
        <w:tabs>
          <w:tab w:val="left" w:pos="4496"/>
        </w:tabs>
        <w:spacing w:line="580" w:lineRule="exact"/>
        <w:ind w:left="0"/>
        <w:jc w:val="center"/>
        <w:rPr>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应急管理大检查攻坚行动方案》的通知</w:t>
      </w:r>
    </w:p>
    <w:p>
      <w:pPr>
        <w:pStyle w:val="6"/>
        <w:spacing w:line="580" w:lineRule="exact"/>
        <w:rPr>
          <w:rFonts w:ascii="微软雅黑"/>
          <w:b/>
          <w:sz w:val="35"/>
        </w:rPr>
      </w:pP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各乡镇（街道）应急办，</w:t>
      </w:r>
      <w:r>
        <w:rPr>
          <w:rFonts w:hint="eastAsia" w:ascii="仿宋_GB2312" w:hAnsi="仿宋_GB2312" w:eastAsia="仿宋_GB2312" w:cs="仿宋_GB2312"/>
          <w:sz w:val="32"/>
          <w:szCs w:val="32"/>
          <w:lang w:val="en-US" w:eastAsia="zh-CN"/>
        </w:rPr>
        <w:t>局机关各</w:t>
      </w:r>
      <w:r>
        <w:rPr>
          <w:rFonts w:hint="eastAsia" w:ascii="仿宋_GB2312" w:hAnsi="仿宋_GB2312" w:eastAsia="仿宋_GB2312" w:cs="仿宋_GB2312"/>
          <w:sz w:val="32"/>
          <w:szCs w:val="32"/>
        </w:rPr>
        <w:t>科室，局所属事业单位，各有关企业、单位：</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《全县应急管理系统安全生产和应急管理大检查攻坚行动方案》已经局党委会研究，现将印发给你们，请认真抓好贯彻落实。</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ind w:left="3520" w:leftChars="1600" w:firstLine="640" w:firstLineChars="2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冠县</w:t>
      </w:r>
      <w:r>
        <w:rPr>
          <w:rFonts w:hint="eastAsia" w:ascii="仿宋_GB2312" w:hAnsi="仿宋_GB2312" w:eastAsia="仿宋_GB2312" w:cs="仿宋_GB2312"/>
          <w:sz w:val="32"/>
          <w:szCs w:val="32"/>
        </w:rPr>
        <w:t>应急管理局</w:t>
      </w:r>
    </w:p>
    <w:p>
      <w:pPr>
        <w:keepNext w:val="0"/>
        <w:keepLines w:val="0"/>
        <w:pageBreakBefore w:val="0"/>
        <w:widowControl w:val="0"/>
        <w:kinsoku/>
        <w:wordWrap/>
        <w:overflowPunct/>
        <w:topLinePunct w:val="0"/>
        <w:autoSpaceDE w:val="0"/>
        <w:autoSpaceDN w:val="0"/>
        <w:bidi w:val="0"/>
        <w:adjustRightInd/>
        <w:snapToGrid/>
        <w:spacing w:line="580" w:lineRule="exact"/>
        <w:ind w:left="3520" w:leftChars="1600" w:firstLine="640" w:firstLineChars="2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2022年9月8日</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全县应急管理系统安全生产和应急管理</w:t>
      </w:r>
    </w:p>
    <w:p>
      <w:pPr>
        <w:spacing w:line="58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大检查攻坚行动方案</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认真贯彻落实各级党委、政府工作部署，有效防范化解重大安全风险，坚决杜绝各类事故发生，进一步强化防灾减灾和应急救援能力，为党的二十大胜利召开营造良好的安全环境，根据市应急局《关于在全市应急管理系统立即开展安全生产和应急管理大检查攻坚行动的通知》（聊应急发〔2022〕24号）要求，特制定本方案如下：</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一、工作目标</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深入贯彻习近平总书记关于安全生产和应急管理的重要批示指示精神，按照省委、省政府和市委、市政府以及县委、县政府决策部署，聚焦防范重大安全风险，强化红线思维和底线思维，紧密结合安全生产专项整治三年行动和全县安全生产大检查，动员全县应急管理系统各级、各单位和各方面专业力量，迅速行动起来，采取执法检查、督导抽查等方式，严格管控安全风险，强力整治各类安全隐患，进一步提升应急系统防灾减灾救灾能力，为党的二十大胜利召开创造良好的安全环境。</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二、检查范围</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全县应急管理系统、监管范围内重点企业、单位。</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三、检查内容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要全面开展安全生产和应急管理大检查攻坚行动，紧盯突出风险，持续推动三年整治行动、安全生产大检查和应急管理各项工作要求落实落地落到位，重点突出以下内容。</w:t>
      </w: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（一）安全生产方面：</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1.共性检查重点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一是国务院安委会进一步强化安全生产责任落实、坚决防范遏制重特大事故的十五条硬措施落实情况。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二是省委、省政府“八抓 20 项”安全生产创新举措和市政府安全生产“四个一”落实情况。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三是“四位一体”推进安全生产专项整治三年行动情况， 是否按时完成本辖区、本企业专项整治阶段性目标任务。</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四是安全生产大检查安排部署及推动落实情况，是否开展自查自纠、诊断检查等工作。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五是应急值守、应急预案管理和队伍建设情况，是否根据根据《山东省生产安全事故应急办法》和省政府安委办《关于进一步加强应急预案和应急演练工作的通知》（鲁安办发[2022]2 号）要求，编制应急预案并定期演练，高危和人员密集单位是否依托本单位从业人员建立专职或者兼职应急 救援队伍,并实行 24 小时应急值班。</w:t>
      </w:r>
    </w:p>
    <w:p>
      <w:pPr>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2.重点监管行业领域检查重点</w:t>
      </w:r>
    </w:p>
    <w:p>
      <w:pPr>
        <w:spacing w:line="58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危险化学品、工贸行业要严格按照《全县危险化学品安全生产专项检查方案》、《全县工贸行业安全生产专项检查方案》中明确的企业重点检查内容，扎实开展安全生产检查，强化安全防范措施落实，坚决防止各类事故发生。</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危险化学品安全监督管理科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安全生产基础科</w:t>
      </w:r>
      <w:r>
        <w:rPr>
          <w:rFonts w:hint="eastAsia" w:ascii="楷体_GB2312" w:hAnsi="楷体_GB2312" w:eastAsia="楷体_GB2312" w:cs="楷体_GB2312"/>
          <w:sz w:val="32"/>
          <w:szCs w:val="32"/>
        </w:rPr>
        <w:t>，执法大队，各乡镇（街道）应急办）</w:t>
      </w: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（二）应急管理方面：</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1.防灾减灾：</w:t>
      </w:r>
      <w:r>
        <w:rPr>
          <w:rFonts w:hint="eastAsia" w:ascii="仿宋_GB2312" w:hAnsi="仿宋_GB2312" w:eastAsia="仿宋_GB2312" w:cs="仿宋_GB2312"/>
          <w:sz w:val="32"/>
          <w:szCs w:val="32"/>
        </w:rPr>
        <w:t>重点查看开展自然灾害综合风险会商评估情况。</w:t>
      </w:r>
      <w:r>
        <w:rPr>
          <w:rFonts w:hint="eastAsia" w:ascii="楷体_GB2312" w:hAnsi="楷体_GB2312" w:eastAsia="楷体_GB2312" w:cs="楷体_GB2312"/>
          <w:sz w:val="32"/>
          <w:szCs w:val="32"/>
        </w:rPr>
        <w:t>（责任单位：救灾和物质保障科，各乡镇（街道）应急办）</w:t>
      </w:r>
    </w:p>
    <w:p>
      <w:pPr>
        <w:spacing w:line="580" w:lineRule="exact"/>
        <w:ind w:firstLine="643" w:firstLineChars="200"/>
        <w:rPr>
          <w:rFonts w:ascii="楷体_GB2312" w:hAnsi="楷体_GB2312" w:eastAsia="楷体_GB2312" w:cs="楷体_GB2312"/>
          <w:sz w:val="32"/>
          <w:szCs w:val="32"/>
        </w:rPr>
      </w:pPr>
      <w:r>
        <w:rPr>
          <w:rFonts w:hint="eastAsia" w:ascii="仿宋_GB2312" w:hAnsi="仿宋_GB2312" w:eastAsia="仿宋_GB2312" w:cs="仿宋_GB2312"/>
          <w:b/>
          <w:bCs/>
          <w:sz w:val="32"/>
          <w:szCs w:val="32"/>
        </w:rPr>
        <w:t>2.自然灾害防治：</w:t>
      </w:r>
      <w:r>
        <w:rPr>
          <w:rFonts w:hint="eastAsia" w:ascii="仿宋_GB2312" w:hAnsi="仿宋_GB2312" w:eastAsia="仿宋_GB2312" w:cs="仿宋_GB2312"/>
          <w:sz w:val="32"/>
          <w:szCs w:val="32"/>
        </w:rPr>
        <w:t>按照《地震应急避难场所评定》（DB 37/T 3384-2018）重点检查场所有效面积是否达到 1000 ㎡以上，是否满足 2 个以上与外界相通的疏散通道，是否设置应急避难场所组合标志、图形符号。配合市应急局随机抽查 1-3 处全国应急避难场所综合信息管理服务系统中录入的应急避难场所。</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风险监测和综合减灾科</w:t>
      </w:r>
      <w:r>
        <w:rPr>
          <w:rFonts w:hint="eastAsia" w:ascii="楷体_GB2312" w:hAnsi="楷体_GB2312" w:eastAsia="楷体_GB2312" w:cs="楷体_GB2312"/>
          <w:sz w:val="32"/>
          <w:szCs w:val="32"/>
        </w:rPr>
        <w:t>，各乡镇（街道）应急办）</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3.应急物资保障：</w:t>
      </w:r>
      <w:r>
        <w:rPr>
          <w:rFonts w:hint="eastAsia" w:ascii="仿宋_GB2312" w:hAnsi="仿宋_GB2312" w:eastAsia="仿宋_GB2312" w:cs="仿宋_GB2312"/>
          <w:sz w:val="32"/>
          <w:szCs w:val="32"/>
        </w:rPr>
        <w:t>重点检查应急资源平台管理情况; 受灾群众集中转移安置方案和生活保障方案制定情况。</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救灾和物资保障科</w:t>
      </w:r>
      <w:r>
        <w:rPr>
          <w:rFonts w:hint="eastAsia" w:ascii="楷体_GB2312" w:hAnsi="楷体_GB2312" w:eastAsia="楷体_GB2312" w:cs="楷体_GB2312"/>
          <w:sz w:val="32"/>
          <w:szCs w:val="32"/>
        </w:rPr>
        <w:t>，各乡镇（街道）应急办）</w:t>
      </w:r>
    </w:p>
    <w:p>
      <w:pPr>
        <w:spacing w:line="58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4.森林防火：</w:t>
      </w:r>
      <w:r>
        <w:rPr>
          <w:rFonts w:hint="eastAsia" w:ascii="仿宋_GB2312" w:hAnsi="仿宋_GB2312" w:eastAsia="仿宋_GB2312" w:cs="仿宋_GB2312"/>
          <w:sz w:val="32"/>
          <w:szCs w:val="32"/>
        </w:rPr>
        <w:t>落实省森防指、市森防指及其办公室重点工作情况；为确保秋冬季森林防灭火工作扎实推进采取哪些有力措施；火灾隐患大排查和林区输配电线路排查两个行动方案落实情况；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森林防火重点单位，要重点检查森林防灭火工作涉及两个以上行政区域的，确立联防机制、联防区域和开展联防工作情况；森林防灭火应急预案及应急演练情况；是否明确瞭望员、护林员责任，责任书签订情况；林区视频监控运行情况，</w:t>
      </w:r>
      <w:r>
        <w:rPr>
          <w:rFonts w:hint="eastAsia" w:ascii="仿宋_GB2312" w:hAnsi="仿宋_GB2312" w:eastAsia="仿宋_GB2312" w:cs="仿宋_GB2312"/>
          <w:b/>
          <w:bCs/>
          <w:sz w:val="32"/>
          <w:szCs w:val="32"/>
          <w:u w:val="single"/>
        </w:rPr>
        <w:t>对接市应急指挥平台进展情况（重点关注）</w:t>
      </w:r>
      <w:r>
        <w:rPr>
          <w:rFonts w:hint="eastAsia" w:ascii="仿宋_GB2312" w:hAnsi="仿宋_GB2312" w:eastAsia="仿宋_GB2312" w:cs="仿宋_GB2312"/>
          <w:sz w:val="32"/>
          <w:szCs w:val="32"/>
        </w:rPr>
        <w:t>；防火宣传及防灭火设施设备配备运行情况。</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火灾防治管理科</w:t>
      </w:r>
      <w:r>
        <w:rPr>
          <w:rFonts w:hint="eastAsia" w:ascii="楷体_GB2312" w:hAnsi="楷体_GB2312" w:eastAsia="楷体_GB2312" w:cs="楷体_GB2312"/>
          <w:sz w:val="32"/>
          <w:szCs w:val="32"/>
        </w:rPr>
        <w:t>，各乡镇（街道）应急办）</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四、检查方式及时间安排</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从即日起，全县应急管理系统要立即行动起来，并发动监管范围内企业、服务单位，认真开展自查自纠、执法检查和督导抽查，分两个阶段开展工作：</w:t>
      </w: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第一阶段：自查自纠阶段（即日起至9月15日）</w:t>
      </w:r>
    </w:p>
    <w:p>
      <w:pPr>
        <w:spacing w:line="58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全县应急管理系统各级、监管范围内企业及服务单位要对照检查内容，认真开展自查自纠，逐一梳理制度措施落实情况，建立问题隐患台账，彻底整改问题隐患，及时补齐短板。</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危险化学品安全监督管理科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安全生产基础科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救灾和物资保障科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火灾防治管理科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风险监测和综合减灾科</w:t>
      </w:r>
      <w:r>
        <w:rPr>
          <w:rFonts w:hint="eastAsia" w:ascii="楷体_GB2312" w:hAnsi="楷体_GB2312" w:eastAsia="楷体_GB2312" w:cs="楷体_GB2312"/>
          <w:sz w:val="32"/>
          <w:szCs w:val="32"/>
        </w:rPr>
        <w:t xml:space="preserve">、执法大队，各乡镇（街道）应急办）  </w:t>
      </w: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第二阶段：全面督导和检查阶段（9月16日至10月31日）</w:t>
      </w:r>
    </w:p>
    <w:p>
      <w:pPr>
        <w:spacing w:line="58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要制定执法检查计划，组织执法检查队伍，聘请高水平安全专家，采取“四不两直”、异地交叉互查等方式，深入开展安全生产和应急管理执法检查，并对有关企业、单位自查自改情况进行抽查核验。</w:t>
      </w:r>
      <w:r>
        <w:rPr>
          <w:rFonts w:hint="eastAsia" w:ascii="楷体_GB2312" w:hAnsi="楷体_GB2312" w:eastAsia="楷体_GB2312" w:cs="楷体_GB2312"/>
          <w:sz w:val="32"/>
          <w:szCs w:val="32"/>
        </w:rPr>
        <w:t>（责任单位：</w:t>
      </w:r>
      <w:r>
        <w:rPr>
          <w:rFonts w:hint="eastAsia" w:ascii="楷体_GB2312" w:hAnsi="楷体_GB2312" w:eastAsia="楷体_GB2312" w:cs="楷体_GB2312"/>
          <w:sz w:val="32"/>
          <w:szCs w:val="32"/>
          <w:lang w:eastAsia="zh-CN"/>
        </w:rPr>
        <w:t>新闻宣传科</w:t>
      </w:r>
      <w:r>
        <w:rPr>
          <w:rFonts w:hint="eastAsia" w:ascii="楷体_GB2312" w:hAnsi="楷体_GB2312" w:eastAsia="楷体_GB2312" w:cs="楷体_GB2312"/>
          <w:sz w:val="32"/>
          <w:szCs w:val="32"/>
        </w:rPr>
        <w:t>、执法大队、</w:t>
      </w:r>
      <w:r>
        <w:rPr>
          <w:rFonts w:hint="eastAsia" w:ascii="楷体_GB2312" w:hAnsi="楷体_GB2312" w:eastAsia="楷体_GB2312" w:cs="楷体_GB2312"/>
          <w:sz w:val="32"/>
          <w:szCs w:val="32"/>
          <w:lang w:eastAsia="zh-CN"/>
        </w:rPr>
        <w:t>危险化学品安全监督管理科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安全生产基础科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救灾和物资保障科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火灾防治管理科</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风险监测和综合减灾科</w:t>
      </w:r>
      <w:r>
        <w:rPr>
          <w:rFonts w:hint="eastAsia" w:ascii="楷体_GB2312" w:hAnsi="楷体_GB2312" w:eastAsia="楷体_GB2312" w:cs="楷体_GB2312"/>
          <w:sz w:val="32"/>
          <w:szCs w:val="32"/>
        </w:rPr>
        <w:t>，各乡镇（街道）应急办）</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应急局将采取领导干部分包乡镇（街道）的方式，对各乡镇（街道）开展攻坚行动情况进行督导。并结合年度执法计划，对重点企业进行安全生产执法检查，对防灾减灾、自然灾害防治、应急物资保障、森林防火等工作进行督导检查（督导检查表详见附件），及时发现和解决工作中存在的突出问题，确保工作措施落实落地。</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五、工作要求</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（一）提高思想认识。</w:t>
      </w:r>
      <w:r>
        <w:rPr>
          <w:rFonts w:hint="eastAsia" w:ascii="仿宋_GB2312" w:hAnsi="仿宋_GB2312" w:eastAsia="仿宋_GB2312" w:cs="仿宋_GB2312"/>
          <w:sz w:val="32"/>
          <w:szCs w:val="32"/>
        </w:rPr>
        <w:t>各乡镇（街道）应急办、局有关单位和有关企业、单位，都要充分认识安全生产作为今年“三件大事”之一的极端重要性，坚决克服麻痹思想、侥幸心理，毫不放松盯紧重大安全风险防控，以过硬应急保障能力、严实工作作风全面压实责任，扎实开展攻坚行动， 确保全县安全生产形势稳定。</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（二）强化严惩重罚。</w:t>
      </w:r>
      <w:r>
        <w:rPr>
          <w:rFonts w:hint="eastAsia" w:ascii="仿宋_GB2312" w:hAnsi="仿宋_GB2312" w:eastAsia="仿宋_GB2312" w:cs="仿宋_GB2312"/>
          <w:sz w:val="32"/>
          <w:szCs w:val="32"/>
        </w:rPr>
        <w:t>切实加大执法检查力度，坚持对任何违法违规行为零容忍、对任何弄虚作假行为零容忍，对企业、单位自己查不出、经检查发现的隐患，屡禁不止、屡罚不改的隐患，要严格落实查封、扣押、关闭取缔、上限处罚等执法措施，并公开执法公开处罚，坚决防止隐患酿成事故。</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（三）狠抓问题整改。</w:t>
      </w:r>
      <w:r>
        <w:rPr>
          <w:rFonts w:hint="eastAsia" w:ascii="仿宋_GB2312" w:hAnsi="仿宋_GB2312" w:eastAsia="仿宋_GB2312" w:cs="仿宋_GB2312"/>
          <w:sz w:val="32"/>
          <w:szCs w:val="32"/>
        </w:rPr>
        <w:t>坚持问题导向，深入查找工作中的薄弱环节，全力抓好问题整改，补齐短板漏洞。对攻坚行动期间发现的安全隐患和违法行为，能立即整改的要立即进行整改；不能立即整改的，要挂牌督办、限期整改、跟踪落实；对存在重大安全隐患、不能保证安全生产的企业，一律停产停业整顿。</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（四）加强宣传引导。</w:t>
      </w:r>
      <w:r>
        <w:rPr>
          <w:rFonts w:hint="eastAsia" w:ascii="仿宋_GB2312" w:hAnsi="仿宋_GB2312" w:eastAsia="仿宋_GB2312" w:cs="仿宋_GB2312"/>
          <w:sz w:val="32"/>
          <w:szCs w:val="32"/>
        </w:rPr>
        <w:t>要充分发挥主流媒体的宣传优势，集中宣传报道攻坚行动期间行之有效的经验做法，及时曝光检查中发现的突出问题隐患、严重违法违规行为和主体责任落实不到位的企业、单位，强化震慑警示和教育引导作用，营造全社会关注安全、参与安全的良好氛围。</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（五）严守工作纪律。</w:t>
      </w:r>
      <w:r>
        <w:rPr>
          <w:rFonts w:hint="eastAsia" w:ascii="仿宋_GB2312" w:hAnsi="仿宋_GB2312" w:eastAsia="仿宋_GB2312" w:cs="仿宋_GB2312"/>
          <w:sz w:val="32"/>
          <w:szCs w:val="32"/>
        </w:rPr>
        <w:t>大力倡树“严真细实快”作风，突出对重点企业单位的明查暗访，严防摆拍式、作秀式检查， 严防搞“大呼隆”、走过场，力戒形式主义、官僚主义。统筹好疫情防控和督导检查，有关人员要严格遵守疫情防控要求，确保牢牢守住疫情防控底线。</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请各乡镇（街道）将各自攻坚行动方案于2022年9月13日前报县应急局办公室。攻坚行动期间，遇有重要情况和重大问题，第一时间报告。攻坚行动结束后5日内，要形成总结报告，报县应急局办公室。</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姚振涛</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邮箱：gxyjjwhk@</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.com</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5234110</w:t>
      </w:r>
      <w:r>
        <w:rPr>
          <w:rFonts w:hint="eastAsia" w:ascii="仿宋_GB2312" w:hAnsi="仿宋_GB2312" w:eastAsia="仿宋_GB2312" w:cs="仿宋_GB2312"/>
          <w:sz w:val="32"/>
          <w:szCs w:val="32"/>
        </w:rPr>
        <w:t xml:space="preserve">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附件：攻坚行动督导检查表</w:t>
      </w:r>
    </w:p>
    <w:p>
      <w:pPr>
        <w:spacing w:line="580" w:lineRule="exact"/>
        <w:rPr>
          <w:rFonts w:ascii="仿宋_GB2312" w:hAnsi="仿宋_GB2312" w:eastAsia="仿宋_GB2312" w:cs="仿宋_GB2312"/>
          <w:sz w:val="32"/>
          <w:szCs w:val="32"/>
        </w:rPr>
      </w:pPr>
    </w:p>
    <w:p>
      <w:pPr>
        <w:spacing w:line="580" w:lineRule="exact"/>
        <w:ind w:firstLine="4160" w:firstLineChars="1300"/>
        <w:rPr>
          <w:rFonts w:ascii="仿宋_GB2312" w:hAnsi="仿宋_GB2312" w:eastAsia="仿宋_GB2312" w:cs="仿宋_GB2312"/>
          <w:sz w:val="32"/>
          <w:szCs w:val="32"/>
        </w:rPr>
      </w:pPr>
    </w:p>
    <w:p>
      <w:pPr>
        <w:spacing w:line="580" w:lineRule="exact"/>
        <w:ind w:firstLine="4160" w:firstLineChars="13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冠县</w:t>
      </w:r>
      <w:r>
        <w:rPr>
          <w:rFonts w:hint="eastAsia" w:ascii="仿宋_GB2312" w:hAnsi="仿宋_GB2312" w:eastAsia="仿宋_GB2312" w:cs="仿宋_GB2312"/>
          <w:sz w:val="32"/>
          <w:szCs w:val="32"/>
        </w:rPr>
        <w:t>应急管理局</w:t>
      </w:r>
    </w:p>
    <w:p>
      <w:pPr>
        <w:spacing w:line="580" w:lineRule="exact"/>
        <w:ind w:firstLine="4160" w:firstLineChars="1300"/>
        <w:jc w:val="center"/>
        <w:rPr>
          <w:rFonts w:ascii="仿宋_GB2312" w:hAnsi="仿宋_GB2312" w:eastAsia="仿宋_GB2312" w:cs="仿宋_GB2312"/>
          <w:sz w:val="32"/>
          <w:szCs w:val="32"/>
        </w:rPr>
        <w:sectPr>
          <w:footerReference r:id="rId3" w:type="default"/>
          <w:pgSz w:w="11910" w:h="16840"/>
          <w:pgMar w:top="2098" w:right="1474" w:bottom="1984" w:left="1587" w:header="0" w:footer="975" w:gutter="0"/>
          <w:cols w:equalWidth="0" w:num="1">
            <w:col w:w="9330"/>
          </w:cols>
        </w:sectPr>
      </w:pPr>
      <w:r>
        <w:rPr>
          <w:rFonts w:hint="eastAsia" w:ascii="仿宋_GB2312" w:hAnsi="仿宋_GB2312" w:eastAsia="仿宋_GB2312" w:cs="仿宋_GB2312"/>
          <w:sz w:val="32"/>
          <w:szCs w:val="32"/>
        </w:rPr>
        <w:t>2022年9月8日</w:t>
      </w:r>
    </w:p>
    <w:p>
      <w:pPr>
        <w:pStyle w:val="6"/>
        <w:rPr>
          <w:sz w:val="20"/>
        </w:rPr>
      </w:pPr>
    </w:p>
    <w:p>
      <w:pPr>
        <w:pStyle w:val="6"/>
        <w:rPr>
          <w:sz w:val="20"/>
        </w:rPr>
      </w:pPr>
    </w:p>
    <w:p>
      <w:pPr>
        <w:pStyle w:val="6"/>
        <w:spacing w:before="1"/>
        <w:rPr>
          <w:sz w:val="21"/>
        </w:rPr>
      </w:pPr>
    </w:p>
    <w:p>
      <w:pPr>
        <w:pStyle w:val="6"/>
        <w:spacing w:before="54"/>
        <w:ind w:left="220"/>
      </w:pPr>
      <w:r>
        <w:t>附件：</w:t>
      </w:r>
    </w:p>
    <w:p>
      <w:pPr>
        <w:pStyle w:val="6"/>
        <w:spacing w:before="3"/>
        <w:rPr>
          <w:sz w:val="15"/>
        </w:rPr>
      </w:pPr>
      <w:r>
        <w:pict>
          <v:group id="_x0000_s1028" o:spid="_x0000_s1028" o:spt="203" style="position:absolute;left:0pt;margin-left:187.1pt;margin-top:11.7pt;height:26.2pt;width:489.75pt;mso-position-horizontal-relative:page;mso-wrap-distance-bottom:0pt;mso-wrap-distance-top:0pt;z-index:-251650048;mso-width-relative:page;mso-height-relative:page;" coordorigin="3742,235" coordsize="9795,524">
            <o:lock v:ext="edit"/>
            <v:shape id="_x0000_s1029" o:spid="_x0000_s1029" o:spt="75" type="#_x0000_t75" style="position:absolute;left:3742;top:234;height:524;width:1242;" filled="f" o:preferrelative="t" stroked="f" coordsize="21600,21600">
              <v:path/>
              <v:fill on="f" focussize="0,0"/>
              <v:stroke on="f" joinstyle="miter"/>
              <v:imagedata r:id="rId6" o:title=""/>
              <o:lock v:ext="edit" aspectratio="t"/>
            </v:shape>
            <v:shape id="_x0000_s1030" o:spid="_x0000_s1030" o:spt="75" type="#_x0000_t75" style="position:absolute;left:4735;top:234;height:524;width:8801;" filled="f" o:preferrelative="t" stroked="f" coordsize="21600,21600">
              <v:path/>
              <v:fill on="f" focussize="0,0"/>
              <v:stroke on="f" joinstyle="miter"/>
              <v:imagedata r:id="rId7" o:title=""/>
              <o:lock v:ext="edit" aspectratio="t"/>
            </v:shape>
            <w10:wrap type="topAndBottom"/>
          </v:group>
        </w:pict>
      </w:r>
    </w:p>
    <w:p>
      <w:pPr>
        <w:pStyle w:val="6"/>
        <w:spacing w:before="10"/>
        <w:rPr>
          <w:sz w:val="17"/>
        </w:rPr>
      </w:pPr>
    </w:p>
    <w:p>
      <w:pPr>
        <w:pStyle w:val="6"/>
        <w:tabs>
          <w:tab w:val="left" w:pos="10621"/>
          <w:tab w:val="left" w:pos="11741"/>
          <w:tab w:val="left" w:pos="12701"/>
        </w:tabs>
        <w:spacing w:before="55"/>
        <w:ind w:left="539"/>
      </w:pPr>
      <w:r>
        <w:rPr>
          <w:rFonts w:hint="eastAsia"/>
          <w:spacing w:val="2"/>
          <w:w w:val="99"/>
        </w:rPr>
        <w:t>乡镇（街道）</w:t>
      </w:r>
      <w:r>
        <w:rPr>
          <w:w w:val="99"/>
        </w:rPr>
        <w:t>：</w:t>
      </w:r>
      <w:r>
        <w:tab/>
      </w:r>
      <w:r>
        <w:rPr>
          <w:w w:val="99"/>
        </w:rPr>
        <w:t>年</w:t>
      </w:r>
      <w:r>
        <w:tab/>
      </w:r>
      <w:r>
        <w:rPr>
          <w:w w:val="99"/>
        </w:rPr>
        <w:t>月</w:t>
      </w:r>
      <w:r>
        <w:tab/>
      </w:r>
      <w:r>
        <w:rPr>
          <w:w w:val="99"/>
        </w:rPr>
        <w:t>日</w:t>
      </w:r>
    </w:p>
    <w:p>
      <w:pPr>
        <w:pStyle w:val="6"/>
        <w:spacing w:before="6"/>
        <w:rPr>
          <w:sz w:val="8"/>
        </w:rPr>
      </w:pPr>
    </w:p>
    <w:tbl>
      <w:tblPr>
        <w:tblStyle w:val="9"/>
        <w:tblW w:w="14188"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2"/>
        <w:gridCol w:w="2916"/>
        <w:gridCol w:w="2364"/>
        <w:gridCol w:w="2364"/>
        <w:gridCol w:w="2365"/>
        <w:gridCol w:w="23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812" w:type="dxa"/>
            <w:vAlign w:val="center"/>
          </w:tcPr>
          <w:p>
            <w:pPr>
              <w:pStyle w:val="14"/>
              <w:spacing w:line="409" w:lineRule="exact"/>
              <w:ind w:left="345"/>
              <w:jc w:val="both"/>
              <w:rPr>
                <w:sz w:val="32"/>
              </w:rPr>
            </w:pPr>
            <w:r>
              <w:rPr>
                <w:sz w:val="32"/>
              </w:rPr>
              <w:t>季度内容</w:t>
            </w:r>
          </w:p>
        </w:tc>
        <w:tc>
          <w:tcPr>
            <w:tcW w:w="2916" w:type="dxa"/>
            <w:vAlign w:val="center"/>
          </w:tcPr>
          <w:p>
            <w:pPr>
              <w:pStyle w:val="14"/>
              <w:spacing w:line="409" w:lineRule="exact"/>
              <w:ind w:left="818"/>
              <w:jc w:val="both"/>
              <w:rPr>
                <w:sz w:val="32"/>
              </w:rPr>
            </w:pPr>
            <w:r>
              <w:rPr>
                <w:sz w:val="32"/>
              </w:rPr>
              <w:t>会议名称</w:t>
            </w:r>
          </w:p>
        </w:tc>
        <w:tc>
          <w:tcPr>
            <w:tcW w:w="2364" w:type="dxa"/>
            <w:vAlign w:val="center"/>
          </w:tcPr>
          <w:p>
            <w:pPr>
              <w:pStyle w:val="14"/>
              <w:spacing w:line="409" w:lineRule="exact"/>
              <w:ind w:left="543"/>
              <w:jc w:val="both"/>
              <w:rPr>
                <w:sz w:val="32"/>
              </w:rPr>
            </w:pPr>
            <w:r>
              <w:rPr>
                <w:sz w:val="32"/>
              </w:rPr>
              <w:t>会议时间</w:t>
            </w:r>
          </w:p>
        </w:tc>
        <w:tc>
          <w:tcPr>
            <w:tcW w:w="2364" w:type="dxa"/>
            <w:vAlign w:val="center"/>
          </w:tcPr>
          <w:p>
            <w:pPr>
              <w:pStyle w:val="14"/>
              <w:spacing w:line="409" w:lineRule="exact"/>
              <w:ind w:left="543"/>
              <w:jc w:val="both"/>
              <w:rPr>
                <w:sz w:val="32"/>
              </w:rPr>
            </w:pPr>
            <w:r>
              <w:rPr>
                <w:sz w:val="32"/>
              </w:rPr>
              <w:t>主办单位</w:t>
            </w:r>
          </w:p>
        </w:tc>
        <w:tc>
          <w:tcPr>
            <w:tcW w:w="2365" w:type="dxa"/>
            <w:vAlign w:val="center"/>
          </w:tcPr>
          <w:p>
            <w:pPr>
              <w:pStyle w:val="14"/>
              <w:spacing w:line="409" w:lineRule="exact"/>
              <w:ind w:left="200" w:right="191"/>
              <w:jc w:val="both"/>
              <w:rPr>
                <w:sz w:val="32"/>
              </w:rPr>
            </w:pPr>
            <w:r>
              <w:rPr>
                <w:sz w:val="32"/>
              </w:rPr>
              <w:t>分析报告</w:t>
            </w:r>
          </w:p>
          <w:p>
            <w:pPr>
              <w:pStyle w:val="14"/>
              <w:spacing w:before="5" w:line="396" w:lineRule="exact"/>
              <w:ind w:left="200" w:right="194"/>
              <w:jc w:val="both"/>
              <w:rPr>
                <w:sz w:val="32"/>
              </w:rPr>
            </w:pPr>
            <w:r>
              <w:rPr>
                <w:sz w:val="32"/>
              </w:rPr>
              <w:t>（发文文号）</w:t>
            </w:r>
          </w:p>
        </w:tc>
        <w:tc>
          <w:tcPr>
            <w:tcW w:w="2367" w:type="dxa"/>
            <w:vAlign w:val="center"/>
          </w:tcPr>
          <w:p>
            <w:pPr>
              <w:pStyle w:val="14"/>
              <w:spacing w:line="409" w:lineRule="exact"/>
              <w:ind w:left="543"/>
              <w:jc w:val="both"/>
              <w:rPr>
                <w:sz w:val="32"/>
              </w:rPr>
            </w:pPr>
            <w:r>
              <w:rPr>
                <w:sz w:val="32"/>
              </w:rPr>
              <w:t>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812" w:type="dxa"/>
            <w:vAlign w:val="center"/>
          </w:tcPr>
          <w:p>
            <w:pPr>
              <w:pStyle w:val="14"/>
              <w:jc w:val="both"/>
              <w:rPr>
                <w:rFonts w:ascii="Times New Roman"/>
                <w:sz w:val="30"/>
              </w:rPr>
            </w:pPr>
          </w:p>
        </w:tc>
        <w:tc>
          <w:tcPr>
            <w:tcW w:w="2916" w:type="dxa"/>
            <w:vAlign w:val="center"/>
          </w:tcPr>
          <w:p>
            <w:pPr>
              <w:pStyle w:val="14"/>
              <w:jc w:val="both"/>
              <w:rPr>
                <w:rFonts w:ascii="Times New Roman"/>
                <w:sz w:val="30"/>
              </w:rPr>
            </w:pPr>
          </w:p>
        </w:tc>
        <w:tc>
          <w:tcPr>
            <w:tcW w:w="2364" w:type="dxa"/>
            <w:vAlign w:val="center"/>
          </w:tcPr>
          <w:p>
            <w:pPr>
              <w:pStyle w:val="14"/>
              <w:jc w:val="both"/>
              <w:rPr>
                <w:rFonts w:ascii="Times New Roman"/>
                <w:sz w:val="30"/>
              </w:rPr>
            </w:pPr>
          </w:p>
        </w:tc>
        <w:tc>
          <w:tcPr>
            <w:tcW w:w="2364" w:type="dxa"/>
            <w:vAlign w:val="center"/>
          </w:tcPr>
          <w:p>
            <w:pPr>
              <w:pStyle w:val="14"/>
              <w:jc w:val="both"/>
              <w:rPr>
                <w:rFonts w:ascii="Times New Roman"/>
                <w:sz w:val="30"/>
              </w:rPr>
            </w:pPr>
          </w:p>
        </w:tc>
        <w:tc>
          <w:tcPr>
            <w:tcW w:w="2365" w:type="dxa"/>
            <w:vAlign w:val="center"/>
          </w:tcPr>
          <w:p>
            <w:pPr>
              <w:pStyle w:val="14"/>
              <w:jc w:val="both"/>
              <w:rPr>
                <w:rFonts w:ascii="Times New Roman"/>
                <w:sz w:val="30"/>
              </w:rPr>
            </w:pPr>
          </w:p>
        </w:tc>
        <w:tc>
          <w:tcPr>
            <w:tcW w:w="2367" w:type="dxa"/>
            <w:vAlign w:val="center"/>
          </w:tcPr>
          <w:p>
            <w:pPr>
              <w:pStyle w:val="14"/>
              <w:jc w:val="both"/>
              <w:rPr>
                <w:rFonts w:ascii="Times New Roman"/>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1812" w:type="dxa"/>
            <w:vAlign w:val="center"/>
          </w:tcPr>
          <w:p>
            <w:pPr>
              <w:pStyle w:val="14"/>
              <w:jc w:val="both"/>
              <w:rPr>
                <w:rFonts w:ascii="Times New Roman"/>
                <w:sz w:val="30"/>
              </w:rPr>
            </w:pPr>
          </w:p>
        </w:tc>
        <w:tc>
          <w:tcPr>
            <w:tcW w:w="2916" w:type="dxa"/>
            <w:vAlign w:val="center"/>
          </w:tcPr>
          <w:p>
            <w:pPr>
              <w:pStyle w:val="14"/>
              <w:jc w:val="both"/>
              <w:rPr>
                <w:rFonts w:ascii="Times New Roman"/>
                <w:sz w:val="30"/>
              </w:rPr>
            </w:pPr>
          </w:p>
        </w:tc>
        <w:tc>
          <w:tcPr>
            <w:tcW w:w="2364" w:type="dxa"/>
            <w:vAlign w:val="center"/>
          </w:tcPr>
          <w:p>
            <w:pPr>
              <w:pStyle w:val="14"/>
              <w:jc w:val="both"/>
              <w:rPr>
                <w:rFonts w:ascii="Times New Roman"/>
                <w:sz w:val="30"/>
              </w:rPr>
            </w:pPr>
          </w:p>
        </w:tc>
        <w:tc>
          <w:tcPr>
            <w:tcW w:w="2364" w:type="dxa"/>
            <w:vAlign w:val="center"/>
          </w:tcPr>
          <w:p>
            <w:pPr>
              <w:pStyle w:val="14"/>
              <w:jc w:val="both"/>
              <w:rPr>
                <w:rFonts w:ascii="Times New Roman"/>
                <w:sz w:val="30"/>
              </w:rPr>
            </w:pPr>
          </w:p>
        </w:tc>
        <w:tc>
          <w:tcPr>
            <w:tcW w:w="2365" w:type="dxa"/>
            <w:vAlign w:val="center"/>
          </w:tcPr>
          <w:p>
            <w:pPr>
              <w:pStyle w:val="14"/>
              <w:jc w:val="both"/>
              <w:rPr>
                <w:rFonts w:ascii="Times New Roman"/>
                <w:sz w:val="30"/>
              </w:rPr>
            </w:pPr>
          </w:p>
        </w:tc>
        <w:tc>
          <w:tcPr>
            <w:tcW w:w="2367" w:type="dxa"/>
            <w:vAlign w:val="center"/>
          </w:tcPr>
          <w:p>
            <w:pPr>
              <w:pStyle w:val="14"/>
              <w:jc w:val="both"/>
              <w:rPr>
                <w:rFonts w:ascii="Times New Roman"/>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1812" w:type="dxa"/>
            <w:vAlign w:val="center"/>
          </w:tcPr>
          <w:p>
            <w:pPr>
              <w:pStyle w:val="14"/>
              <w:jc w:val="both"/>
              <w:rPr>
                <w:rFonts w:ascii="Times New Roman"/>
                <w:sz w:val="30"/>
              </w:rPr>
            </w:pPr>
          </w:p>
        </w:tc>
        <w:tc>
          <w:tcPr>
            <w:tcW w:w="2916" w:type="dxa"/>
            <w:vAlign w:val="center"/>
          </w:tcPr>
          <w:p>
            <w:pPr>
              <w:pStyle w:val="14"/>
              <w:jc w:val="both"/>
              <w:rPr>
                <w:rFonts w:ascii="Times New Roman"/>
                <w:sz w:val="30"/>
              </w:rPr>
            </w:pPr>
          </w:p>
        </w:tc>
        <w:tc>
          <w:tcPr>
            <w:tcW w:w="2364" w:type="dxa"/>
            <w:vAlign w:val="center"/>
          </w:tcPr>
          <w:p>
            <w:pPr>
              <w:pStyle w:val="14"/>
              <w:jc w:val="both"/>
              <w:rPr>
                <w:rFonts w:ascii="Times New Roman"/>
                <w:sz w:val="30"/>
              </w:rPr>
            </w:pPr>
          </w:p>
        </w:tc>
        <w:tc>
          <w:tcPr>
            <w:tcW w:w="2364" w:type="dxa"/>
            <w:vAlign w:val="center"/>
          </w:tcPr>
          <w:p>
            <w:pPr>
              <w:pStyle w:val="14"/>
              <w:jc w:val="both"/>
              <w:rPr>
                <w:rFonts w:ascii="Times New Roman"/>
                <w:sz w:val="30"/>
              </w:rPr>
            </w:pPr>
          </w:p>
        </w:tc>
        <w:tc>
          <w:tcPr>
            <w:tcW w:w="2365" w:type="dxa"/>
            <w:vAlign w:val="center"/>
          </w:tcPr>
          <w:p>
            <w:pPr>
              <w:pStyle w:val="14"/>
              <w:jc w:val="both"/>
              <w:rPr>
                <w:rFonts w:ascii="Times New Roman"/>
                <w:sz w:val="30"/>
              </w:rPr>
            </w:pPr>
          </w:p>
        </w:tc>
        <w:tc>
          <w:tcPr>
            <w:tcW w:w="2367" w:type="dxa"/>
            <w:vAlign w:val="center"/>
          </w:tcPr>
          <w:p>
            <w:pPr>
              <w:pStyle w:val="14"/>
              <w:jc w:val="both"/>
              <w:rPr>
                <w:rFonts w:ascii="Times New Roman"/>
                <w:sz w:val="30"/>
              </w:rPr>
            </w:pPr>
          </w:p>
        </w:tc>
      </w:tr>
    </w:tbl>
    <w:p>
      <w:pPr>
        <w:pStyle w:val="6"/>
        <w:spacing w:before="6"/>
        <w:rPr>
          <w:sz w:val="38"/>
        </w:rPr>
      </w:pPr>
    </w:p>
    <w:p>
      <w:pPr>
        <w:pStyle w:val="6"/>
        <w:tabs>
          <w:tab w:val="left" w:pos="5342"/>
          <w:tab w:val="left" w:pos="11261"/>
        </w:tabs>
        <w:ind w:left="1180"/>
      </w:pPr>
      <w:r>
        <w:t>分管领导：</w:t>
      </w:r>
      <w:r>
        <w:tab/>
      </w:r>
      <w:r>
        <w:t>科室负责人：</w:t>
      </w:r>
      <w:r>
        <w:tab/>
      </w:r>
      <w:r>
        <w:t>填表人：</w:t>
      </w:r>
    </w:p>
    <w:p>
      <w:pPr>
        <w:pStyle w:val="6"/>
      </w:pPr>
    </w:p>
    <w:p>
      <w:pPr>
        <w:pStyle w:val="6"/>
        <w:spacing w:before="6"/>
        <w:rPr>
          <w:sz w:val="33"/>
        </w:rPr>
      </w:pPr>
    </w:p>
    <w:p>
      <w:pPr>
        <w:pStyle w:val="6"/>
        <w:spacing w:line="364" w:lineRule="auto"/>
        <w:ind w:left="2140" w:right="2919" w:hanging="960"/>
      </w:pPr>
      <w:r>
        <w:t>备注：1.需附见证材料，每季度对应会议照片一张、分析报告盖章版一份； 2.如未按要求每季度开展会商，请在情况说明一栏详细说明原因。</w:t>
      </w:r>
    </w:p>
    <w:p>
      <w:pPr>
        <w:spacing w:line="364" w:lineRule="auto"/>
        <w:sectPr>
          <w:footerReference r:id="rId4" w:type="default"/>
          <w:pgSz w:w="16840" w:h="11910" w:orient="landscape"/>
          <w:pgMar w:top="1100" w:right="960" w:bottom="1080" w:left="1220" w:header="0" w:footer="894" w:gutter="0"/>
          <w:cols w:equalWidth="0" w:num="1">
            <w:col w:w="14660"/>
          </w:cols>
        </w:sectPr>
      </w:pPr>
    </w:p>
    <w:p>
      <w:pPr>
        <w:pStyle w:val="6"/>
        <w:rPr>
          <w:sz w:val="20"/>
        </w:rPr>
      </w:pPr>
      <w:r>
        <w:pict>
          <v:rect id="_x0000_s1031" o:spid="_x0000_s1031" o:spt="1" style="position:absolute;left:0pt;margin-left:70.55pt;margin-top:175.8pt;height:0.7pt;width:35.9pt;mso-position-horizontal-relative:page;mso-position-vertical-relative:page;z-index:-251655168;mso-width-relative:page;mso-height-relative:page;" fillcolor="#000000" filled="t" stroked="f" coordsize="21600,21600">
            <v:path/>
            <v:fill on="t" focussize="0,0"/>
            <v:stroke on="f"/>
            <v:imagedata o:title=""/>
            <o:lock v:ext="edit"/>
          </v:rect>
        </w:pict>
      </w:r>
      <w:r>
        <w:pict>
          <v:rect id="_x0000_s1032" o:spid="_x0000_s1032" o:spt="1" style="position:absolute;left:0pt;margin-left:114.35pt;margin-top:175.8pt;height:0.7pt;width:67.65pt;mso-position-horizontal-relative:page;mso-position-vertical-relative:page;z-index:-251654144;mso-width-relative:page;mso-height-relative:page;" fillcolor="#000000" filled="t" stroked="f" coordsize="21600,21600">
            <v:path/>
            <v:fill on="t" focussize="0,0"/>
            <v:stroke on="f"/>
            <v:imagedata o:title=""/>
            <o:lock v:ext="edit"/>
          </v:rect>
        </w:pict>
      </w:r>
      <w:r>
        <w:pict>
          <v:rect id="_x0000_s1033" o:spid="_x0000_s1033" o:spt="1" style="position:absolute;left:0pt;margin-left:189.95pt;margin-top:175.8pt;height:0.7pt;width:83.3pt;mso-position-horizontal-relative:page;mso-position-vertical-relative:page;z-index:-251653120;mso-width-relative:page;mso-height-relative:page;" fillcolor="#000000" filled="t" stroked="f" coordsize="21600,21600">
            <v:path/>
            <v:fill on="t" focussize="0,0"/>
            <v:stroke on="f"/>
            <v:imagedata o:title=""/>
            <o:lock v:ext="edit"/>
          </v:rect>
        </w:pict>
      </w:r>
      <w:r>
        <w:pict>
          <v:rect id="_x0000_s1034" o:spid="_x0000_s1034" o:spt="1" style="position:absolute;left:0pt;margin-left:281.2pt;margin-top:175.8pt;height:0.7pt;width:96.2pt;mso-position-horizontal-relative:page;mso-position-vertical-relative:page;z-index:-251652096;mso-width-relative:page;mso-height-relative:page;" fillcolor="#000000" filled="t" stroked="f" coordsize="21600,21600">
            <v:path/>
            <v:fill on="t" focussize="0,0"/>
            <v:stroke on="f"/>
            <v:imagedata o:title=""/>
            <o:lock v:ext="edit"/>
          </v:rect>
        </w:pict>
      </w:r>
      <w:r>
        <w:pict>
          <v:rect id="_x0000_s1035" o:spid="_x0000_s1035" o:spt="1" style="position:absolute;left:0pt;margin-left:729.45pt;margin-top:175.8pt;height:0.7pt;width:54.6pt;mso-position-horizontal-relative:page;mso-position-vertical-relative:page;z-index:-251651072;mso-width-relative:page;mso-height-relative:page;" fillcolor="#000000" filled="t" stroked="f" coordsize="21600,21600">
            <v:path/>
            <v:fill on="t" focussize="0,0"/>
            <v:stroke on="f"/>
            <v:imagedata o:title=""/>
            <o:lock v:ext="edit"/>
          </v:rect>
        </w:pict>
      </w:r>
    </w:p>
    <w:p>
      <w:pPr>
        <w:pStyle w:val="6"/>
        <w:rPr>
          <w:sz w:val="20"/>
        </w:rPr>
      </w:pPr>
    </w:p>
    <w:p>
      <w:pPr>
        <w:pStyle w:val="6"/>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全县应急避难场所检查表</w:t>
      </w:r>
    </w:p>
    <w:p>
      <w:pPr>
        <w:pStyle w:val="6"/>
        <w:spacing w:before="3"/>
        <w:rPr>
          <w:sz w:val="10"/>
        </w:rPr>
      </w:pPr>
    </w:p>
    <w:p>
      <w:pPr>
        <w:pStyle w:val="6"/>
        <w:ind w:left="4778"/>
        <w:rPr>
          <w:sz w:val="20"/>
        </w:rPr>
      </w:pPr>
    </w:p>
    <w:p>
      <w:pPr>
        <w:pStyle w:val="6"/>
        <w:rPr>
          <w:sz w:val="16"/>
        </w:rPr>
      </w:pPr>
    </w:p>
    <w:tbl>
      <w:tblPr>
        <w:tblStyle w:val="9"/>
        <w:tblW w:w="14432"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
        <w:gridCol w:w="1512"/>
        <w:gridCol w:w="1825"/>
        <w:gridCol w:w="2084"/>
        <w:gridCol w:w="1576"/>
        <w:gridCol w:w="2483"/>
        <w:gridCol w:w="2826"/>
        <w:gridCol w:w="1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876" w:type="dxa"/>
          </w:tcPr>
          <w:p>
            <w:pPr>
              <w:pStyle w:val="14"/>
              <w:spacing w:before="11"/>
              <w:rPr>
                <w:sz w:val="28"/>
              </w:rPr>
            </w:pPr>
          </w:p>
          <w:p>
            <w:pPr>
              <w:pStyle w:val="14"/>
              <w:ind w:left="139" w:right="127"/>
              <w:jc w:val="center"/>
              <w:rPr>
                <w:sz w:val="28"/>
              </w:rPr>
            </w:pPr>
            <w:r>
              <w:rPr>
                <w:sz w:val="28"/>
              </w:rPr>
              <w:t>序号</w:t>
            </w:r>
          </w:p>
        </w:tc>
        <w:tc>
          <w:tcPr>
            <w:tcW w:w="1512" w:type="dxa"/>
          </w:tcPr>
          <w:p>
            <w:pPr>
              <w:pStyle w:val="14"/>
              <w:spacing w:before="1"/>
              <w:rPr>
                <w:sz w:val="25"/>
              </w:rPr>
            </w:pPr>
          </w:p>
          <w:p>
            <w:pPr>
              <w:pStyle w:val="14"/>
              <w:spacing w:before="1"/>
              <w:ind w:left="194"/>
              <w:rPr>
                <w:sz w:val="28"/>
              </w:rPr>
            </w:pPr>
            <w:r>
              <w:rPr>
                <w:sz w:val="28"/>
              </w:rPr>
              <w:t>场所全称</w:t>
            </w:r>
          </w:p>
        </w:tc>
        <w:tc>
          <w:tcPr>
            <w:tcW w:w="1825" w:type="dxa"/>
          </w:tcPr>
          <w:p>
            <w:pPr>
              <w:pStyle w:val="14"/>
              <w:spacing w:before="1"/>
              <w:rPr>
                <w:sz w:val="25"/>
              </w:rPr>
            </w:pPr>
          </w:p>
          <w:p>
            <w:pPr>
              <w:pStyle w:val="14"/>
              <w:spacing w:before="1"/>
              <w:ind w:left="350"/>
              <w:rPr>
                <w:sz w:val="28"/>
              </w:rPr>
            </w:pPr>
            <w:r>
              <w:rPr>
                <w:sz w:val="28"/>
              </w:rPr>
              <w:t>场所地址</w:t>
            </w:r>
          </w:p>
        </w:tc>
        <w:tc>
          <w:tcPr>
            <w:tcW w:w="2084" w:type="dxa"/>
          </w:tcPr>
          <w:p>
            <w:pPr>
              <w:pStyle w:val="14"/>
              <w:spacing w:before="11"/>
              <w:rPr>
                <w:sz w:val="28"/>
              </w:rPr>
            </w:pPr>
          </w:p>
          <w:p>
            <w:pPr>
              <w:pStyle w:val="14"/>
              <w:ind w:left="131"/>
              <w:rPr>
                <w:sz w:val="28"/>
              </w:rPr>
            </w:pPr>
            <w:r>
              <w:rPr>
                <w:sz w:val="28"/>
              </w:rPr>
              <w:t>产权/运维单位</w:t>
            </w:r>
          </w:p>
        </w:tc>
        <w:tc>
          <w:tcPr>
            <w:tcW w:w="1576" w:type="dxa"/>
            <w:tcBorders>
              <w:bottom w:val="single" w:color="000000" w:sz="12" w:space="0"/>
            </w:tcBorders>
          </w:tcPr>
          <w:p>
            <w:pPr>
              <w:pStyle w:val="14"/>
              <w:spacing w:line="500" w:lineRule="exact"/>
              <w:ind w:left="107" w:right="54" w:firstLine="117"/>
              <w:rPr>
                <w:sz w:val="28"/>
              </w:rPr>
            </w:pPr>
            <w:r>
              <w:rPr>
                <w:sz w:val="28"/>
              </w:rPr>
              <w:t>场所有效面积（㎡）</w:t>
            </w:r>
          </w:p>
        </w:tc>
        <w:tc>
          <w:tcPr>
            <w:tcW w:w="2483" w:type="dxa"/>
            <w:tcBorders>
              <w:bottom w:val="single" w:color="000000" w:sz="12" w:space="0"/>
            </w:tcBorders>
          </w:tcPr>
          <w:p>
            <w:pPr>
              <w:pStyle w:val="14"/>
              <w:spacing w:line="500" w:lineRule="exact"/>
              <w:ind w:left="396" w:right="111" w:hanging="279"/>
              <w:rPr>
                <w:sz w:val="28"/>
              </w:rPr>
            </w:pPr>
            <w:r>
              <w:rPr>
                <w:sz w:val="28"/>
              </w:rPr>
              <w:t>与外界相连疏散通道数量（个）</w:t>
            </w:r>
          </w:p>
        </w:tc>
        <w:tc>
          <w:tcPr>
            <w:tcW w:w="2826" w:type="dxa"/>
            <w:tcBorders>
              <w:bottom w:val="single" w:color="000000" w:sz="12" w:space="0"/>
            </w:tcBorders>
          </w:tcPr>
          <w:p>
            <w:pPr>
              <w:pStyle w:val="14"/>
              <w:spacing w:line="500" w:lineRule="exact"/>
              <w:ind w:left="429" w:right="146" w:hanging="281"/>
              <w:rPr>
                <w:sz w:val="28"/>
              </w:rPr>
            </w:pPr>
            <w:r>
              <w:rPr>
                <w:sz w:val="28"/>
              </w:rPr>
              <w:t>是否设置应急避难场指示标志、标识</w:t>
            </w:r>
          </w:p>
        </w:tc>
        <w:tc>
          <w:tcPr>
            <w:tcW w:w="1250" w:type="dxa"/>
          </w:tcPr>
          <w:p>
            <w:pPr>
              <w:pStyle w:val="14"/>
              <w:spacing w:before="11"/>
              <w:rPr>
                <w:sz w:val="28"/>
              </w:rPr>
            </w:pPr>
          </w:p>
          <w:p>
            <w:pPr>
              <w:pStyle w:val="14"/>
              <w:ind w:left="341"/>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876" w:type="dxa"/>
            <w:tcBorders>
              <w:bottom w:val="single" w:color="000000" w:sz="12" w:space="0"/>
            </w:tcBorders>
          </w:tcPr>
          <w:p>
            <w:pPr>
              <w:pStyle w:val="14"/>
              <w:spacing w:before="192"/>
              <w:ind w:left="9"/>
              <w:jc w:val="center"/>
              <w:rPr>
                <w:sz w:val="28"/>
              </w:rPr>
            </w:pPr>
            <w:r>
              <w:rPr>
                <w:sz w:val="28"/>
              </w:rPr>
              <w:t>1</w:t>
            </w:r>
          </w:p>
        </w:tc>
        <w:tc>
          <w:tcPr>
            <w:tcW w:w="1512" w:type="dxa"/>
            <w:tcBorders>
              <w:bottom w:val="single" w:color="000000" w:sz="12" w:space="0"/>
            </w:tcBorders>
          </w:tcPr>
          <w:p>
            <w:pPr>
              <w:pStyle w:val="14"/>
              <w:rPr>
                <w:rFonts w:ascii="Times New Roman"/>
                <w:sz w:val="26"/>
              </w:rPr>
            </w:pPr>
          </w:p>
        </w:tc>
        <w:tc>
          <w:tcPr>
            <w:tcW w:w="1825" w:type="dxa"/>
            <w:tcBorders>
              <w:bottom w:val="single" w:color="000000" w:sz="12" w:space="0"/>
            </w:tcBorders>
          </w:tcPr>
          <w:p>
            <w:pPr>
              <w:pStyle w:val="14"/>
              <w:rPr>
                <w:rFonts w:ascii="Times New Roman"/>
                <w:sz w:val="26"/>
              </w:rPr>
            </w:pPr>
          </w:p>
        </w:tc>
        <w:tc>
          <w:tcPr>
            <w:tcW w:w="2084" w:type="dxa"/>
            <w:tcBorders>
              <w:bottom w:val="single" w:color="000000" w:sz="12" w:space="0"/>
            </w:tcBorders>
          </w:tcPr>
          <w:p>
            <w:pPr>
              <w:pStyle w:val="14"/>
              <w:rPr>
                <w:rFonts w:ascii="Times New Roman"/>
                <w:sz w:val="26"/>
              </w:rPr>
            </w:pPr>
          </w:p>
        </w:tc>
        <w:tc>
          <w:tcPr>
            <w:tcW w:w="1576" w:type="dxa"/>
            <w:tcBorders>
              <w:top w:val="single" w:color="000000" w:sz="12" w:space="0"/>
              <w:bottom w:val="single" w:color="000000" w:sz="12" w:space="0"/>
            </w:tcBorders>
          </w:tcPr>
          <w:p>
            <w:pPr>
              <w:pStyle w:val="14"/>
              <w:rPr>
                <w:rFonts w:ascii="Times New Roman"/>
                <w:sz w:val="26"/>
              </w:rPr>
            </w:pPr>
          </w:p>
        </w:tc>
        <w:tc>
          <w:tcPr>
            <w:tcW w:w="2483" w:type="dxa"/>
            <w:tcBorders>
              <w:top w:val="single" w:color="000000" w:sz="12" w:space="0"/>
              <w:bottom w:val="single" w:color="000000" w:sz="12" w:space="0"/>
            </w:tcBorders>
          </w:tcPr>
          <w:p>
            <w:pPr>
              <w:pStyle w:val="14"/>
              <w:rPr>
                <w:rFonts w:ascii="Times New Roman"/>
                <w:sz w:val="26"/>
              </w:rPr>
            </w:pPr>
          </w:p>
        </w:tc>
        <w:tc>
          <w:tcPr>
            <w:tcW w:w="2826" w:type="dxa"/>
            <w:tcBorders>
              <w:top w:val="single" w:color="000000" w:sz="12" w:space="0"/>
              <w:bottom w:val="single" w:color="000000" w:sz="12" w:space="0"/>
            </w:tcBorders>
          </w:tcPr>
          <w:p>
            <w:pPr>
              <w:pStyle w:val="14"/>
              <w:rPr>
                <w:rFonts w:ascii="Times New Roman"/>
                <w:sz w:val="26"/>
              </w:rPr>
            </w:pPr>
          </w:p>
        </w:tc>
        <w:tc>
          <w:tcPr>
            <w:tcW w:w="1250" w:type="dxa"/>
            <w:tcBorders>
              <w:bottom w:val="single" w:color="000000" w:sz="12" w:space="0"/>
            </w:tcBorders>
          </w:tcPr>
          <w:p>
            <w:pPr>
              <w:pStyle w:val="14"/>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76" w:type="dxa"/>
            <w:tcBorders>
              <w:top w:val="single" w:color="000000" w:sz="12" w:space="0"/>
              <w:bottom w:val="single" w:color="000000" w:sz="12" w:space="0"/>
            </w:tcBorders>
          </w:tcPr>
          <w:p>
            <w:pPr>
              <w:pStyle w:val="14"/>
              <w:spacing w:before="197"/>
              <w:ind w:left="9"/>
              <w:jc w:val="center"/>
              <w:rPr>
                <w:sz w:val="28"/>
              </w:rPr>
            </w:pPr>
            <w:r>
              <w:rPr>
                <w:sz w:val="28"/>
              </w:rPr>
              <w:t>2</w:t>
            </w:r>
          </w:p>
        </w:tc>
        <w:tc>
          <w:tcPr>
            <w:tcW w:w="1512" w:type="dxa"/>
            <w:tcBorders>
              <w:top w:val="single" w:color="000000" w:sz="12" w:space="0"/>
              <w:bottom w:val="single" w:color="000000" w:sz="12" w:space="0"/>
            </w:tcBorders>
          </w:tcPr>
          <w:p>
            <w:pPr>
              <w:pStyle w:val="14"/>
              <w:rPr>
                <w:rFonts w:ascii="Times New Roman"/>
                <w:sz w:val="26"/>
              </w:rPr>
            </w:pPr>
          </w:p>
        </w:tc>
        <w:tc>
          <w:tcPr>
            <w:tcW w:w="1825" w:type="dxa"/>
            <w:tcBorders>
              <w:top w:val="single" w:color="000000" w:sz="12" w:space="0"/>
              <w:bottom w:val="single" w:color="000000" w:sz="12" w:space="0"/>
            </w:tcBorders>
          </w:tcPr>
          <w:p>
            <w:pPr>
              <w:pStyle w:val="14"/>
              <w:rPr>
                <w:rFonts w:ascii="Times New Roman"/>
                <w:sz w:val="26"/>
              </w:rPr>
            </w:pPr>
          </w:p>
        </w:tc>
        <w:tc>
          <w:tcPr>
            <w:tcW w:w="2084" w:type="dxa"/>
            <w:tcBorders>
              <w:top w:val="single" w:color="000000" w:sz="12" w:space="0"/>
              <w:bottom w:val="single" w:color="000000" w:sz="12" w:space="0"/>
            </w:tcBorders>
          </w:tcPr>
          <w:p>
            <w:pPr>
              <w:pStyle w:val="14"/>
              <w:rPr>
                <w:rFonts w:ascii="Times New Roman"/>
                <w:sz w:val="26"/>
              </w:rPr>
            </w:pPr>
          </w:p>
        </w:tc>
        <w:tc>
          <w:tcPr>
            <w:tcW w:w="1576" w:type="dxa"/>
            <w:tcBorders>
              <w:top w:val="single" w:color="000000" w:sz="12" w:space="0"/>
              <w:bottom w:val="single" w:color="000000" w:sz="12" w:space="0"/>
            </w:tcBorders>
          </w:tcPr>
          <w:p>
            <w:pPr>
              <w:pStyle w:val="14"/>
              <w:rPr>
                <w:rFonts w:ascii="Times New Roman"/>
                <w:sz w:val="26"/>
              </w:rPr>
            </w:pPr>
          </w:p>
        </w:tc>
        <w:tc>
          <w:tcPr>
            <w:tcW w:w="2483" w:type="dxa"/>
            <w:tcBorders>
              <w:top w:val="single" w:color="000000" w:sz="12" w:space="0"/>
              <w:bottom w:val="single" w:color="000000" w:sz="12" w:space="0"/>
            </w:tcBorders>
          </w:tcPr>
          <w:p>
            <w:pPr>
              <w:pStyle w:val="14"/>
              <w:rPr>
                <w:rFonts w:ascii="Times New Roman"/>
                <w:sz w:val="26"/>
              </w:rPr>
            </w:pPr>
          </w:p>
        </w:tc>
        <w:tc>
          <w:tcPr>
            <w:tcW w:w="2826" w:type="dxa"/>
            <w:tcBorders>
              <w:top w:val="single" w:color="000000" w:sz="12" w:space="0"/>
              <w:bottom w:val="single" w:color="000000" w:sz="12" w:space="0"/>
            </w:tcBorders>
          </w:tcPr>
          <w:p>
            <w:pPr>
              <w:pStyle w:val="14"/>
              <w:rPr>
                <w:rFonts w:ascii="Times New Roman"/>
                <w:sz w:val="26"/>
              </w:rPr>
            </w:pPr>
          </w:p>
        </w:tc>
        <w:tc>
          <w:tcPr>
            <w:tcW w:w="1250" w:type="dxa"/>
            <w:tcBorders>
              <w:top w:val="single" w:color="000000" w:sz="12" w:space="0"/>
              <w:bottom w:val="single" w:color="000000" w:sz="12" w:space="0"/>
            </w:tcBorders>
          </w:tcPr>
          <w:p>
            <w:pPr>
              <w:pStyle w:val="14"/>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76" w:type="dxa"/>
            <w:tcBorders>
              <w:top w:val="single" w:color="000000" w:sz="12" w:space="0"/>
              <w:bottom w:val="single" w:color="000000" w:sz="12" w:space="0"/>
            </w:tcBorders>
          </w:tcPr>
          <w:p>
            <w:pPr>
              <w:pStyle w:val="14"/>
              <w:spacing w:before="197"/>
              <w:ind w:left="139" w:right="127"/>
              <w:jc w:val="center"/>
              <w:rPr>
                <w:sz w:val="28"/>
              </w:rPr>
            </w:pPr>
            <w:r>
              <w:rPr>
                <w:sz w:val="28"/>
              </w:rPr>
              <w:t>……</w:t>
            </w:r>
          </w:p>
        </w:tc>
        <w:tc>
          <w:tcPr>
            <w:tcW w:w="1512" w:type="dxa"/>
            <w:tcBorders>
              <w:top w:val="single" w:color="000000" w:sz="12" w:space="0"/>
              <w:bottom w:val="single" w:color="000000" w:sz="12" w:space="0"/>
            </w:tcBorders>
          </w:tcPr>
          <w:p>
            <w:pPr>
              <w:pStyle w:val="14"/>
              <w:rPr>
                <w:rFonts w:ascii="Times New Roman"/>
                <w:sz w:val="26"/>
              </w:rPr>
            </w:pPr>
          </w:p>
        </w:tc>
        <w:tc>
          <w:tcPr>
            <w:tcW w:w="1825" w:type="dxa"/>
            <w:tcBorders>
              <w:top w:val="single" w:color="000000" w:sz="12" w:space="0"/>
              <w:bottom w:val="single" w:color="000000" w:sz="12" w:space="0"/>
            </w:tcBorders>
          </w:tcPr>
          <w:p>
            <w:pPr>
              <w:pStyle w:val="14"/>
              <w:rPr>
                <w:rFonts w:ascii="Times New Roman"/>
                <w:sz w:val="26"/>
              </w:rPr>
            </w:pPr>
          </w:p>
        </w:tc>
        <w:tc>
          <w:tcPr>
            <w:tcW w:w="2084" w:type="dxa"/>
            <w:tcBorders>
              <w:top w:val="single" w:color="000000" w:sz="12" w:space="0"/>
              <w:bottom w:val="single" w:color="000000" w:sz="12" w:space="0"/>
            </w:tcBorders>
          </w:tcPr>
          <w:p>
            <w:pPr>
              <w:pStyle w:val="14"/>
              <w:rPr>
                <w:rFonts w:ascii="Times New Roman"/>
                <w:sz w:val="26"/>
              </w:rPr>
            </w:pPr>
          </w:p>
        </w:tc>
        <w:tc>
          <w:tcPr>
            <w:tcW w:w="1576" w:type="dxa"/>
            <w:tcBorders>
              <w:top w:val="single" w:color="000000" w:sz="12" w:space="0"/>
              <w:bottom w:val="single" w:color="000000" w:sz="12" w:space="0"/>
            </w:tcBorders>
          </w:tcPr>
          <w:p>
            <w:pPr>
              <w:pStyle w:val="14"/>
              <w:rPr>
                <w:rFonts w:ascii="Times New Roman"/>
                <w:sz w:val="26"/>
              </w:rPr>
            </w:pPr>
          </w:p>
        </w:tc>
        <w:tc>
          <w:tcPr>
            <w:tcW w:w="2483" w:type="dxa"/>
            <w:tcBorders>
              <w:top w:val="single" w:color="000000" w:sz="12" w:space="0"/>
              <w:bottom w:val="single" w:color="000000" w:sz="12" w:space="0"/>
            </w:tcBorders>
          </w:tcPr>
          <w:p>
            <w:pPr>
              <w:pStyle w:val="14"/>
              <w:rPr>
                <w:rFonts w:ascii="Times New Roman"/>
                <w:sz w:val="26"/>
              </w:rPr>
            </w:pPr>
          </w:p>
        </w:tc>
        <w:tc>
          <w:tcPr>
            <w:tcW w:w="2826" w:type="dxa"/>
            <w:tcBorders>
              <w:top w:val="single" w:color="000000" w:sz="12" w:space="0"/>
              <w:bottom w:val="single" w:color="000000" w:sz="12" w:space="0"/>
            </w:tcBorders>
          </w:tcPr>
          <w:p>
            <w:pPr>
              <w:pStyle w:val="14"/>
              <w:rPr>
                <w:rFonts w:ascii="Times New Roman"/>
                <w:sz w:val="26"/>
              </w:rPr>
            </w:pPr>
          </w:p>
        </w:tc>
        <w:tc>
          <w:tcPr>
            <w:tcW w:w="1250" w:type="dxa"/>
            <w:tcBorders>
              <w:top w:val="single" w:color="000000" w:sz="12" w:space="0"/>
              <w:bottom w:val="single" w:color="000000" w:sz="12" w:space="0"/>
            </w:tcBorders>
          </w:tcPr>
          <w:p>
            <w:pPr>
              <w:pStyle w:val="14"/>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3" w:hRule="atLeast"/>
        </w:trPr>
        <w:tc>
          <w:tcPr>
            <w:tcW w:w="876" w:type="dxa"/>
            <w:tcBorders>
              <w:top w:val="single" w:color="000000" w:sz="12" w:space="0"/>
              <w:bottom w:val="single" w:color="000000" w:sz="12" w:space="0"/>
            </w:tcBorders>
          </w:tcPr>
          <w:p>
            <w:pPr>
              <w:pStyle w:val="14"/>
              <w:rPr>
                <w:rFonts w:ascii="Times New Roman"/>
                <w:sz w:val="26"/>
              </w:rPr>
            </w:pPr>
          </w:p>
        </w:tc>
        <w:tc>
          <w:tcPr>
            <w:tcW w:w="1512" w:type="dxa"/>
            <w:tcBorders>
              <w:top w:val="single" w:color="000000" w:sz="12" w:space="0"/>
              <w:bottom w:val="single" w:color="000000" w:sz="12" w:space="0"/>
            </w:tcBorders>
          </w:tcPr>
          <w:p>
            <w:pPr>
              <w:pStyle w:val="14"/>
              <w:rPr>
                <w:rFonts w:ascii="Times New Roman"/>
                <w:sz w:val="26"/>
              </w:rPr>
            </w:pPr>
          </w:p>
        </w:tc>
        <w:tc>
          <w:tcPr>
            <w:tcW w:w="1825" w:type="dxa"/>
            <w:tcBorders>
              <w:top w:val="single" w:color="000000" w:sz="12" w:space="0"/>
              <w:bottom w:val="single" w:color="000000" w:sz="12" w:space="0"/>
            </w:tcBorders>
          </w:tcPr>
          <w:p>
            <w:pPr>
              <w:pStyle w:val="14"/>
              <w:rPr>
                <w:rFonts w:ascii="Times New Roman"/>
                <w:sz w:val="26"/>
              </w:rPr>
            </w:pPr>
          </w:p>
        </w:tc>
        <w:tc>
          <w:tcPr>
            <w:tcW w:w="2084" w:type="dxa"/>
            <w:tcBorders>
              <w:top w:val="single" w:color="000000" w:sz="12" w:space="0"/>
              <w:bottom w:val="single" w:color="000000" w:sz="12" w:space="0"/>
            </w:tcBorders>
          </w:tcPr>
          <w:p>
            <w:pPr>
              <w:pStyle w:val="14"/>
              <w:rPr>
                <w:rFonts w:ascii="Times New Roman"/>
                <w:sz w:val="26"/>
              </w:rPr>
            </w:pPr>
          </w:p>
        </w:tc>
        <w:tc>
          <w:tcPr>
            <w:tcW w:w="1576" w:type="dxa"/>
            <w:tcBorders>
              <w:top w:val="single" w:color="000000" w:sz="12" w:space="0"/>
              <w:bottom w:val="single" w:color="000000" w:sz="12" w:space="0"/>
            </w:tcBorders>
          </w:tcPr>
          <w:p>
            <w:pPr>
              <w:pStyle w:val="14"/>
              <w:rPr>
                <w:rFonts w:ascii="Times New Roman"/>
                <w:sz w:val="26"/>
              </w:rPr>
            </w:pPr>
          </w:p>
        </w:tc>
        <w:tc>
          <w:tcPr>
            <w:tcW w:w="2483" w:type="dxa"/>
            <w:tcBorders>
              <w:top w:val="single" w:color="000000" w:sz="12" w:space="0"/>
              <w:bottom w:val="single" w:color="000000" w:sz="12" w:space="0"/>
            </w:tcBorders>
          </w:tcPr>
          <w:p>
            <w:pPr>
              <w:pStyle w:val="14"/>
              <w:rPr>
                <w:rFonts w:ascii="Times New Roman"/>
                <w:sz w:val="26"/>
              </w:rPr>
            </w:pPr>
          </w:p>
        </w:tc>
        <w:tc>
          <w:tcPr>
            <w:tcW w:w="2826" w:type="dxa"/>
            <w:tcBorders>
              <w:top w:val="single" w:color="000000" w:sz="12" w:space="0"/>
              <w:bottom w:val="single" w:color="000000" w:sz="12" w:space="0"/>
            </w:tcBorders>
          </w:tcPr>
          <w:p>
            <w:pPr>
              <w:pStyle w:val="14"/>
              <w:rPr>
                <w:rFonts w:ascii="Times New Roman"/>
                <w:sz w:val="26"/>
              </w:rPr>
            </w:pPr>
          </w:p>
        </w:tc>
        <w:tc>
          <w:tcPr>
            <w:tcW w:w="1250" w:type="dxa"/>
            <w:tcBorders>
              <w:top w:val="single" w:color="000000" w:sz="12" w:space="0"/>
              <w:bottom w:val="single" w:color="000000" w:sz="12" w:space="0"/>
            </w:tcBorders>
          </w:tcPr>
          <w:p>
            <w:pPr>
              <w:pStyle w:val="14"/>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76" w:type="dxa"/>
            <w:tcBorders>
              <w:top w:val="single" w:color="000000" w:sz="12" w:space="0"/>
              <w:bottom w:val="single" w:color="000000" w:sz="12" w:space="0"/>
            </w:tcBorders>
          </w:tcPr>
          <w:p>
            <w:pPr>
              <w:pStyle w:val="14"/>
              <w:rPr>
                <w:rFonts w:ascii="Times New Roman"/>
                <w:sz w:val="26"/>
              </w:rPr>
            </w:pPr>
          </w:p>
        </w:tc>
        <w:tc>
          <w:tcPr>
            <w:tcW w:w="1512" w:type="dxa"/>
            <w:tcBorders>
              <w:top w:val="single" w:color="000000" w:sz="12" w:space="0"/>
              <w:bottom w:val="single" w:color="000000" w:sz="12" w:space="0"/>
            </w:tcBorders>
          </w:tcPr>
          <w:p>
            <w:pPr>
              <w:pStyle w:val="14"/>
              <w:rPr>
                <w:rFonts w:ascii="Times New Roman"/>
                <w:sz w:val="26"/>
              </w:rPr>
            </w:pPr>
          </w:p>
        </w:tc>
        <w:tc>
          <w:tcPr>
            <w:tcW w:w="1825" w:type="dxa"/>
            <w:tcBorders>
              <w:top w:val="single" w:color="000000" w:sz="12" w:space="0"/>
              <w:bottom w:val="single" w:color="000000" w:sz="12" w:space="0"/>
            </w:tcBorders>
          </w:tcPr>
          <w:p>
            <w:pPr>
              <w:pStyle w:val="14"/>
              <w:rPr>
                <w:rFonts w:ascii="Times New Roman"/>
                <w:sz w:val="26"/>
              </w:rPr>
            </w:pPr>
          </w:p>
        </w:tc>
        <w:tc>
          <w:tcPr>
            <w:tcW w:w="2084" w:type="dxa"/>
            <w:tcBorders>
              <w:top w:val="single" w:color="000000" w:sz="12" w:space="0"/>
              <w:bottom w:val="single" w:color="000000" w:sz="12" w:space="0"/>
            </w:tcBorders>
          </w:tcPr>
          <w:p>
            <w:pPr>
              <w:pStyle w:val="14"/>
              <w:rPr>
                <w:rFonts w:ascii="Times New Roman"/>
                <w:sz w:val="26"/>
              </w:rPr>
            </w:pPr>
          </w:p>
        </w:tc>
        <w:tc>
          <w:tcPr>
            <w:tcW w:w="1576" w:type="dxa"/>
            <w:tcBorders>
              <w:top w:val="single" w:color="000000" w:sz="12" w:space="0"/>
              <w:bottom w:val="single" w:color="000000" w:sz="12" w:space="0"/>
            </w:tcBorders>
          </w:tcPr>
          <w:p>
            <w:pPr>
              <w:pStyle w:val="14"/>
              <w:rPr>
                <w:rFonts w:ascii="Times New Roman"/>
                <w:sz w:val="26"/>
              </w:rPr>
            </w:pPr>
          </w:p>
        </w:tc>
        <w:tc>
          <w:tcPr>
            <w:tcW w:w="2483" w:type="dxa"/>
            <w:tcBorders>
              <w:top w:val="single" w:color="000000" w:sz="12" w:space="0"/>
              <w:bottom w:val="single" w:color="000000" w:sz="12" w:space="0"/>
            </w:tcBorders>
          </w:tcPr>
          <w:p>
            <w:pPr>
              <w:pStyle w:val="14"/>
              <w:rPr>
                <w:rFonts w:ascii="Times New Roman"/>
                <w:sz w:val="26"/>
              </w:rPr>
            </w:pPr>
          </w:p>
        </w:tc>
        <w:tc>
          <w:tcPr>
            <w:tcW w:w="2826" w:type="dxa"/>
            <w:tcBorders>
              <w:top w:val="single" w:color="000000" w:sz="12" w:space="0"/>
              <w:bottom w:val="single" w:color="000000" w:sz="12" w:space="0"/>
            </w:tcBorders>
          </w:tcPr>
          <w:p>
            <w:pPr>
              <w:pStyle w:val="14"/>
              <w:rPr>
                <w:rFonts w:ascii="Times New Roman"/>
                <w:sz w:val="26"/>
              </w:rPr>
            </w:pPr>
          </w:p>
        </w:tc>
        <w:tc>
          <w:tcPr>
            <w:tcW w:w="1250" w:type="dxa"/>
            <w:tcBorders>
              <w:top w:val="single" w:color="000000" w:sz="12" w:space="0"/>
              <w:bottom w:val="single" w:color="000000" w:sz="12" w:space="0"/>
            </w:tcBorders>
          </w:tcPr>
          <w:p>
            <w:pPr>
              <w:pStyle w:val="14"/>
              <w:rPr>
                <w:rFonts w:ascii="Times New Roman"/>
                <w:sz w:val="26"/>
              </w:rPr>
            </w:pPr>
          </w:p>
        </w:tc>
      </w:tr>
    </w:tbl>
    <w:p>
      <w:pPr>
        <w:rPr>
          <w:rFonts w:ascii="Times New Roman"/>
          <w:sz w:val="26"/>
        </w:rPr>
        <w:sectPr>
          <w:pgSz w:w="16840" w:h="11910" w:orient="landscape"/>
          <w:pgMar w:top="1100" w:right="960" w:bottom="1080" w:left="1220" w:header="0" w:footer="894" w:gutter="0"/>
          <w:cols w:equalWidth="0" w:num="1">
            <w:col w:w="14660"/>
          </w:cols>
        </w:sectPr>
      </w:pPr>
    </w:p>
    <w:p>
      <w:pPr>
        <w:pStyle w:val="6"/>
        <w:rPr>
          <w:sz w:val="20"/>
        </w:rPr>
      </w:pPr>
      <w:r>
        <w:pict>
          <v:rect id="_x0000_s1036" o:spid="_x0000_s1036" o:spt="1" style="position:absolute;left:0pt;margin-left:70.55pt;margin-top:259.25pt;height:0.7pt;width:92.3pt;mso-position-horizontal-relative:page;mso-position-vertical-relative:page;z-index:-251651072;mso-width-relative:page;mso-height-relative:page;" fillcolor="#000000" filled="t" stroked="f" coordsize="21600,21600">
            <v:path/>
            <v:fill on="t" focussize="0,0"/>
            <v:stroke on="f"/>
            <v:imagedata o:title=""/>
            <o:lock v:ext="edit"/>
          </v:rect>
        </w:pict>
      </w:r>
      <w:r>
        <w:pict>
          <v:rect id="_x0000_s1037" o:spid="_x0000_s1037" o:spt="1" style="position:absolute;left:0pt;margin-left:170.75pt;margin-top:407.2pt;height:0.7pt;width:230.4pt;mso-position-horizontal-relative:page;mso-position-vertical-relative:page;z-index:251660288;mso-width-relative:page;mso-height-relative:page;" fillcolor="#000000" filled="t" stroked="f" coordsize="21600,21600">
            <v:path/>
            <v:fill on="t" focussize="0,0"/>
            <v:stroke on="f"/>
            <v:imagedata o:title=""/>
            <o:lock v:ext="edit"/>
          </v:rect>
        </w:pict>
      </w:r>
    </w:p>
    <w:p>
      <w:pPr>
        <w:pStyle w:val="6"/>
        <w:rPr>
          <w:sz w:val="20"/>
        </w:rPr>
      </w:pPr>
    </w:p>
    <w:p>
      <w:pPr>
        <w:pStyle w:val="6"/>
        <w:rPr>
          <w:sz w:val="20"/>
        </w:rPr>
      </w:pPr>
    </w:p>
    <w:p>
      <w:pPr>
        <w:pStyle w:val="6"/>
        <w:spacing w:before="3"/>
        <w:rPr>
          <w:sz w:val="10"/>
        </w:rPr>
      </w:pPr>
    </w:p>
    <w:p>
      <w:pPr>
        <w:pStyle w:val="6"/>
        <w:ind w:left="5659"/>
        <w:rPr>
          <w:sz w:val="20"/>
        </w:rPr>
      </w:pPr>
      <w:r>
        <w:rPr>
          <w:sz w:val="20"/>
        </w:rPr>
        <w:drawing>
          <wp:inline distT="0" distB="0" distL="0" distR="0">
            <wp:extent cx="2236470" cy="332105"/>
            <wp:effectExtent l="0" t="0" r="0" b="10795"/>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pic:cNvPicPr>
                  </pic:nvPicPr>
                  <pic:blipFill>
                    <a:blip r:embed="rId8" cstate="print"/>
                    <a:stretch>
                      <a:fillRect/>
                    </a:stretch>
                  </pic:blipFill>
                  <pic:spPr>
                    <a:xfrm>
                      <a:off x="0" y="0"/>
                      <a:ext cx="2236723" cy="332232"/>
                    </a:xfrm>
                    <a:prstGeom prst="rect">
                      <a:avLst/>
                    </a:prstGeom>
                  </pic:spPr>
                </pic:pic>
              </a:graphicData>
            </a:graphic>
          </wp:inline>
        </w:drawing>
      </w:r>
    </w:p>
    <w:p>
      <w:pPr>
        <w:pStyle w:val="6"/>
        <w:rPr>
          <w:sz w:val="16"/>
        </w:rPr>
      </w:pPr>
    </w:p>
    <w:tbl>
      <w:tblPr>
        <w:tblStyle w:val="9"/>
        <w:tblW w:w="14426"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4"/>
        <w:gridCol w:w="4767"/>
        <w:gridCol w:w="7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2004" w:type="dxa"/>
            <w:tcBorders>
              <w:bottom w:val="single" w:color="000000" w:sz="12" w:space="0"/>
            </w:tcBorders>
          </w:tcPr>
          <w:p>
            <w:pPr>
              <w:pStyle w:val="14"/>
              <w:spacing w:line="546" w:lineRule="exact"/>
              <w:ind w:left="362"/>
              <w:rPr>
                <w:rFonts w:ascii="微软雅黑" w:eastAsia="微软雅黑"/>
                <w:sz w:val="32"/>
              </w:rPr>
            </w:pPr>
            <w:r>
              <w:rPr>
                <w:rFonts w:hint="eastAsia" w:ascii="微软雅黑" w:eastAsia="微软雅黑"/>
                <w:sz w:val="32"/>
              </w:rPr>
              <w:t>检查内容</w:t>
            </w:r>
          </w:p>
        </w:tc>
        <w:tc>
          <w:tcPr>
            <w:tcW w:w="4767" w:type="dxa"/>
            <w:tcBorders>
              <w:bottom w:val="single" w:color="000000" w:sz="12" w:space="0"/>
            </w:tcBorders>
          </w:tcPr>
          <w:p>
            <w:pPr>
              <w:pStyle w:val="14"/>
              <w:spacing w:line="546" w:lineRule="exact"/>
              <w:ind w:left="1721" w:right="1715"/>
              <w:jc w:val="center"/>
              <w:rPr>
                <w:rFonts w:ascii="微软雅黑" w:eastAsia="微软雅黑"/>
                <w:sz w:val="32"/>
              </w:rPr>
            </w:pPr>
            <w:r>
              <w:rPr>
                <w:rFonts w:hint="eastAsia" w:ascii="微软雅黑" w:eastAsia="微软雅黑"/>
                <w:sz w:val="32"/>
              </w:rPr>
              <w:t>检查方式</w:t>
            </w:r>
          </w:p>
        </w:tc>
        <w:tc>
          <w:tcPr>
            <w:tcW w:w="7655" w:type="dxa"/>
            <w:tcBorders>
              <w:bottom w:val="single" w:color="000000" w:sz="12" w:space="0"/>
            </w:tcBorders>
          </w:tcPr>
          <w:p>
            <w:pPr>
              <w:pStyle w:val="14"/>
              <w:spacing w:line="546" w:lineRule="exact"/>
              <w:ind w:left="3166" w:right="3159"/>
              <w:jc w:val="center"/>
              <w:rPr>
                <w:rFonts w:ascii="微软雅黑" w:eastAsia="微软雅黑"/>
                <w:sz w:val="32"/>
              </w:rPr>
            </w:pPr>
            <w:r>
              <w:rPr>
                <w:rFonts w:hint="eastAsia" w:ascii="微软雅黑" w:eastAsia="微软雅黑"/>
                <w:sz w:val="32"/>
              </w:rPr>
              <w:t>检查记录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7" w:hRule="atLeast"/>
        </w:trPr>
        <w:tc>
          <w:tcPr>
            <w:tcW w:w="2004" w:type="dxa"/>
            <w:tcBorders>
              <w:top w:val="single" w:color="000000" w:sz="12" w:space="0"/>
            </w:tcBorders>
          </w:tcPr>
          <w:p>
            <w:pPr>
              <w:pStyle w:val="14"/>
              <w:spacing w:before="188" w:line="223" w:lineRule="auto"/>
              <w:ind w:left="107" w:right="285"/>
              <w:jc w:val="both"/>
              <w:rPr>
                <w:rFonts w:ascii="微软雅黑" w:eastAsia="微软雅黑"/>
                <w:sz w:val="32"/>
              </w:rPr>
            </w:pPr>
            <w:r>
              <w:rPr>
                <w:rFonts w:hint="eastAsia" w:ascii="微软雅黑" w:eastAsia="微软雅黑"/>
                <w:sz w:val="32"/>
              </w:rPr>
              <w:t>检查应急资源平台管理情况</w:t>
            </w:r>
          </w:p>
        </w:tc>
        <w:tc>
          <w:tcPr>
            <w:tcW w:w="4767" w:type="dxa"/>
            <w:tcBorders>
              <w:top w:val="single" w:color="000000" w:sz="12" w:space="0"/>
              <w:bottom w:val="single" w:color="000000" w:sz="12" w:space="0"/>
            </w:tcBorders>
          </w:tcPr>
          <w:p>
            <w:pPr>
              <w:pStyle w:val="14"/>
              <w:spacing w:line="558" w:lineRule="exact"/>
              <w:ind w:left="108"/>
              <w:rPr>
                <w:rFonts w:ascii="微软雅黑" w:eastAsia="微软雅黑"/>
                <w:b/>
                <w:sz w:val="32"/>
              </w:rPr>
            </w:pPr>
            <w:r>
              <w:rPr>
                <w:rFonts w:hint="eastAsia" w:ascii="微软雅黑" w:eastAsia="微软雅黑"/>
                <w:b/>
                <w:sz w:val="32"/>
              </w:rPr>
              <w:t>现场核查</w:t>
            </w:r>
          </w:p>
          <w:p>
            <w:pPr>
              <w:pStyle w:val="14"/>
              <w:spacing w:line="242" w:lineRule="auto"/>
              <w:ind w:left="108" w:right="25"/>
              <w:jc w:val="both"/>
              <w:rPr>
                <w:sz w:val="28"/>
              </w:rPr>
            </w:pPr>
            <w:r>
              <w:rPr>
                <w:spacing w:val="-3"/>
                <w:sz w:val="28"/>
              </w:rPr>
              <w:t>核查市、县级救灾物资储备库，每个</w:t>
            </w:r>
            <w:r>
              <w:rPr>
                <w:spacing w:val="-15"/>
                <w:sz w:val="28"/>
              </w:rPr>
              <w:t xml:space="preserve">库现场抽查 </w:t>
            </w:r>
            <w:r>
              <w:rPr>
                <w:sz w:val="28"/>
              </w:rPr>
              <w:t>2-3</w:t>
            </w:r>
            <w:r>
              <w:rPr>
                <w:spacing w:val="-10"/>
                <w:sz w:val="28"/>
              </w:rPr>
              <w:t xml:space="preserve"> 种实际储备物资与应</w:t>
            </w:r>
            <w:r>
              <w:rPr>
                <w:spacing w:val="-7"/>
                <w:sz w:val="28"/>
              </w:rPr>
              <w:t>急资源平台录入信息的一致性</w:t>
            </w:r>
            <w:r>
              <w:rPr>
                <w:sz w:val="28"/>
              </w:rPr>
              <w:t>（</w:t>
            </w:r>
            <w:r>
              <w:rPr>
                <w:spacing w:val="-2"/>
                <w:sz w:val="28"/>
              </w:rPr>
              <w:t>附应</w:t>
            </w:r>
            <w:r>
              <w:rPr>
                <w:spacing w:val="-3"/>
                <w:sz w:val="28"/>
              </w:rPr>
              <w:t>急资源管理平台救灾物资信息台账</w:t>
            </w:r>
            <w:r>
              <w:rPr>
                <w:spacing w:val="-140"/>
                <w:sz w:val="28"/>
              </w:rPr>
              <w:t>）</w:t>
            </w:r>
            <w:r>
              <w:rPr>
                <w:spacing w:val="-15"/>
                <w:sz w:val="28"/>
              </w:rPr>
              <w:t>。</w:t>
            </w:r>
          </w:p>
        </w:tc>
        <w:tc>
          <w:tcPr>
            <w:tcW w:w="7655" w:type="dxa"/>
            <w:tcBorders>
              <w:top w:val="single" w:color="000000" w:sz="12" w:space="0"/>
            </w:tcBorders>
          </w:tcPr>
          <w:p>
            <w:pPr>
              <w:pStyle w:val="14"/>
              <w:rPr>
                <w:sz w:val="20"/>
              </w:rPr>
            </w:pPr>
          </w:p>
          <w:p>
            <w:pPr>
              <w:pStyle w:val="14"/>
              <w:rPr>
                <w:sz w:val="20"/>
              </w:rPr>
            </w:pPr>
          </w:p>
          <w:p>
            <w:pPr>
              <w:pStyle w:val="14"/>
              <w:rPr>
                <w:sz w:val="20"/>
              </w:rPr>
            </w:pPr>
          </w:p>
          <w:p>
            <w:pPr>
              <w:pStyle w:val="14"/>
              <w:rPr>
                <w:sz w:val="20"/>
              </w:rPr>
            </w:pPr>
          </w:p>
          <w:p>
            <w:pPr>
              <w:pStyle w:val="14"/>
              <w:spacing w:before="1" w:after="1"/>
              <w:rPr>
                <w:sz w:val="21"/>
              </w:rPr>
            </w:pPr>
          </w:p>
          <w:p>
            <w:pPr>
              <w:pStyle w:val="14"/>
              <w:spacing w:line="20" w:lineRule="exact"/>
              <w:ind w:left="79"/>
              <w:rPr>
                <w:sz w:val="2"/>
              </w:rPr>
            </w:pPr>
            <w:r>
              <w:rPr>
                <w:sz w:val="2"/>
              </w:rPr>
              <w:pict>
                <v:group id="_x0000_s1038" o:spid="_x0000_s1038" o:spt="203" style="height:0.75pt;width:374.85pt;" coordsize="7497,15">
                  <o:lock v:ext="edit"/>
                  <v:rect id="_x0000_s1039" o:spid="_x0000_s1039" o:spt="1" style="position:absolute;left:0;top:0;height:15;width:7497;" fillcolor="#000000" filled="t" stroked="f" coordsize="21600,21600">
                    <v:path/>
                    <v:fill on="t" focussize="0,0"/>
                    <v:stroke on="f"/>
                    <v:imagedata o:title=""/>
                    <o:lock v:ext="edit"/>
                  </v:rect>
                  <w10:wrap type="none"/>
                  <w10:anchorlock/>
                </v:group>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2" w:hRule="atLeast"/>
        </w:trPr>
        <w:tc>
          <w:tcPr>
            <w:tcW w:w="2004" w:type="dxa"/>
            <w:tcBorders>
              <w:bottom w:val="thinThickMediumGap" w:color="000000" w:sz="2" w:space="0"/>
            </w:tcBorders>
          </w:tcPr>
          <w:p>
            <w:pPr>
              <w:pStyle w:val="14"/>
              <w:spacing w:before="7" w:line="223" w:lineRule="auto"/>
              <w:ind w:left="107" w:right="284"/>
              <w:jc w:val="both"/>
              <w:rPr>
                <w:rFonts w:ascii="微软雅黑" w:eastAsia="微软雅黑"/>
                <w:sz w:val="32"/>
              </w:rPr>
            </w:pPr>
            <w:r>
              <w:rPr>
                <w:rFonts w:hint="eastAsia" w:ascii="微软雅黑" w:eastAsia="微软雅黑"/>
                <w:sz w:val="32"/>
              </w:rPr>
              <w:t>检查受灾群众集中转移安置方案和生活保障方案制定情况</w:t>
            </w:r>
          </w:p>
        </w:tc>
        <w:tc>
          <w:tcPr>
            <w:tcW w:w="4767" w:type="dxa"/>
            <w:tcBorders>
              <w:top w:val="single" w:color="000000" w:sz="12" w:space="0"/>
            </w:tcBorders>
          </w:tcPr>
          <w:p>
            <w:pPr>
              <w:pStyle w:val="14"/>
              <w:spacing w:line="566" w:lineRule="exact"/>
              <w:ind w:left="108"/>
              <w:rPr>
                <w:rFonts w:ascii="微软雅黑" w:eastAsia="微软雅黑"/>
                <w:b/>
                <w:sz w:val="32"/>
              </w:rPr>
            </w:pPr>
            <w:r>
              <w:rPr>
                <w:rFonts w:hint="eastAsia" w:ascii="微软雅黑" w:eastAsia="微软雅黑"/>
                <w:b/>
                <w:sz w:val="32"/>
              </w:rPr>
              <w:t>检查资料</w:t>
            </w:r>
          </w:p>
          <w:p>
            <w:pPr>
              <w:pStyle w:val="14"/>
              <w:numPr>
                <w:ilvl w:val="0"/>
                <w:numId w:val="1"/>
              </w:numPr>
              <w:tabs>
                <w:tab w:val="left" w:pos="392"/>
              </w:tabs>
              <w:spacing w:line="242" w:lineRule="auto"/>
              <w:ind w:right="166" w:firstLine="0"/>
              <w:jc w:val="both"/>
              <w:rPr>
                <w:sz w:val="28"/>
              </w:rPr>
            </w:pPr>
            <w:r>
              <w:rPr>
                <w:spacing w:val="-1"/>
                <w:sz w:val="28"/>
              </w:rPr>
              <w:t>检查县、乡</w:t>
            </w:r>
            <w:r>
              <w:rPr>
                <w:spacing w:val="-3"/>
                <w:sz w:val="28"/>
              </w:rPr>
              <w:t>（镇</w:t>
            </w:r>
            <w:r>
              <w:rPr>
                <w:sz w:val="28"/>
              </w:rPr>
              <w:t>）</w:t>
            </w:r>
            <w:r>
              <w:rPr>
                <w:spacing w:val="-4"/>
                <w:sz w:val="28"/>
              </w:rPr>
              <w:t>政府是否制定受灾群众集中转移安置方案，明确转移</w:t>
            </w:r>
            <w:r>
              <w:rPr>
                <w:spacing w:val="-3"/>
                <w:sz w:val="28"/>
              </w:rPr>
              <w:t>安置点、转移责任分工等情况。</w:t>
            </w:r>
          </w:p>
          <w:p>
            <w:pPr>
              <w:pStyle w:val="14"/>
              <w:numPr>
                <w:ilvl w:val="0"/>
                <w:numId w:val="1"/>
              </w:numPr>
              <w:tabs>
                <w:tab w:val="left" w:pos="392"/>
              </w:tabs>
              <w:spacing w:line="242" w:lineRule="auto"/>
              <w:ind w:right="166" w:firstLine="0"/>
              <w:jc w:val="both"/>
              <w:rPr>
                <w:sz w:val="28"/>
              </w:rPr>
            </w:pPr>
            <w:r>
              <w:rPr>
                <w:spacing w:val="-1"/>
                <w:sz w:val="28"/>
              </w:rPr>
              <w:t>检查县、乡</w:t>
            </w:r>
            <w:r>
              <w:rPr>
                <w:spacing w:val="-3"/>
                <w:sz w:val="28"/>
              </w:rPr>
              <w:t>（镇</w:t>
            </w:r>
            <w:r>
              <w:rPr>
                <w:sz w:val="28"/>
              </w:rPr>
              <w:t>）</w:t>
            </w:r>
            <w:r>
              <w:rPr>
                <w:spacing w:val="-4"/>
                <w:sz w:val="28"/>
              </w:rPr>
              <w:t>政府是否制定受灾群众生活保障方案，明确保障食宿</w:t>
            </w:r>
            <w:r>
              <w:rPr>
                <w:spacing w:val="-3"/>
                <w:sz w:val="28"/>
              </w:rPr>
              <w:t>的生活物资供应措施。</w:t>
            </w:r>
          </w:p>
        </w:tc>
        <w:tc>
          <w:tcPr>
            <w:tcW w:w="7655" w:type="dxa"/>
          </w:tcPr>
          <w:p>
            <w:pPr>
              <w:pStyle w:val="14"/>
              <w:rPr>
                <w:sz w:val="20"/>
              </w:rPr>
            </w:pPr>
          </w:p>
          <w:p>
            <w:pPr>
              <w:pStyle w:val="14"/>
              <w:rPr>
                <w:sz w:val="20"/>
              </w:rPr>
            </w:pPr>
          </w:p>
          <w:p>
            <w:pPr>
              <w:pStyle w:val="14"/>
              <w:rPr>
                <w:sz w:val="20"/>
              </w:rPr>
            </w:pPr>
          </w:p>
          <w:p>
            <w:pPr>
              <w:pStyle w:val="14"/>
              <w:rPr>
                <w:sz w:val="20"/>
              </w:rPr>
            </w:pPr>
          </w:p>
          <w:p>
            <w:pPr>
              <w:pStyle w:val="14"/>
              <w:rPr>
                <w:sz w:val="20"/>
              </w:rPr>
            </w:pPr>
          </w:p>
          <w:p>
            <w:pPr>
              <w:pStyle w:val="14"/>
              <w:spacing w:before="12"/>
              <w:rPr>
                <w:sz w:val="29"/>
              </w:rPr>
            </w:pPr>
          </w:p>
          <w:p>
            <w:pPr>
              <w:pStyle w:val="14"/>
              <w:spacing w:line="20" w:lineRule="exact"/>
              <w:ind w:left="79"/>
              <w:rPr>
                <w:sz w:val="2"/>
              </w:rPr>
            </w:pPr>
            <w:r>
              <w:rPr>
                <w:sz w:val="2"/>
              </w:rPr>
              <w:pict>
                <v:group id="_x0000_s1040" o:spid="_x0000_s1040" o:spt="203" style="height:0.75pt;width:374.85pt;" coordsize="7497,15">
                  <o:lock v:ext="edit"/>
                  <v:rect id="_x0000_s1041" o:spid="_x0000_s1041" o:spt="1" style="position:absolute;left:0;top:0;height:15;width:7497;" fillcolor="#000000" filled="t" stroked="f" coordsize="21600,21600">
                    <v:path/>
                    <v:fill on="t" focussize="0,0"/>
                    <v:stroke on="f"/>
                    <v:imagedata o:title=""/>
                    <o:lock v:ext="edit"/>
                  </v:rect>
                  <w10:wrap type="none"/>
                  <w10:anchorlock/>
                </v:group>
              </w:pict>
            </w:r>
          </w:p>
        </w:tc>
      </w:tr>
    </w:tbl>
    <w:p>
      <w:pPr>
        <w:spacing w:line="20" w:lineRule="exact"/>
        <w:rPr>
          <w:sz w:val="2"/>
        </w:rPr>
        <w:sectPr>
          <w:pgSz w:w="16840" w:h="11910" w:orient="landscape"/>
          <w:pgMar w:top="1100" w:right="960" w:bottom="1080" w:left="1220" w:header="0" w:footer="894" w:gutter="0"/>
          <w:cols w:equalWidth="0" w:num="1">
            <w:col w:w="14660"/>
          </w:cols>
        </w:sectPr>
      </w:pPr>
    </w:p>
    <w:p>
      <w:pPr>
        <w:pStyle w:val="6"/>
        <w:rPr>
          <w:sz w:val="20"/>
        </w:rPr>
      </w:pPr>
    </w:p>
    <w:p>
      <w:pPr>
        <w:keepNext w:val="0"/>
        <w:keepLines w:val="0"/>
        <w:pageBreakBefore w:val="0"/>
        <w:widowControl w:val="0"/>
        <w:kinsoku/>
        <w:wordWrap/>
        <w:overflowPunct/>
        <w:topLinePunct w:val="0"/>
        <w:autoSpaceDE w:val="0"/>
        <w:autoSpaceDN w:val="0"/>
        <w:bidi w:val="0"/>
        <w:adjustRightInd/>
        <w:snapToGrid/>
        <w:spacing w:line="796" w:lineRule="exact"/>
        <w:ind w:left="0" w:right="0"/>
        <w:jc w:val="center"/>
        <w:textAlignment w:val="auto"/>
        <w:rPr>
          <w:rFonts w:hint="eastAsia" w:ascii="微软雅黑" w:eastAsia="微软雅黑"/>
          <w:sz w:val="44"/>
          <w:lang w:eastAsia="zh-CN"/>
        </w:rPr>
      </w:pPr>
      <w:r>
        <w:rPr>
          <w:rFonts w:hint="eastAsia" w:ascii="微软雅黑" w:eastAsia="微软雅黑"/>
          <w:sz w:val="44"/>
        </w:rPr>
        <w:t>森林防灭火</w:t>
      </w:r>
      <w:r>
        <w:rPr>
          <w:rFonts w:hint="eastAsia" w:ascii="微软雅黑" w:eastAsia="微软雅黑"/>
          <w:sz w:val="44"/>
          <w:lang w:eastAsia="zh-CN"/>
        </w:rPr>
        <w:t>业务检查表</w:t>
      </w:r>
    </w:p>
    <w:p>
      <w:pPr>
        <w:pStyle w:val="6"/>
        <w:spacing w:before="16"/>
        <w:rPr>
          <w:rFonts w:ascii="微软雅黑"/>
          <w:sz w:val="3"/>
        </w:rPr>
      </w:pPr>
    </w:p>
    <w:tbl>
      <w:tblPr>
        <w:tblStyle w:val="9"/>
        <w:tblW w:w="14169"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8"/>
        <w:gridCol w:w="5581"/>
        <w:gridCol w:w="6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968" w:type="dxa"/>
            <w:tcBorders>
              <w:bottom w:val="single" w:color="000000" w:sz="12" w:space="0"/>
            </w:tcBorders>
          </w:tcPr>
          <w:p>
            <w:pPr>
              <w:pStyle w:val="14"/>
              <w:spacing w:line="546" w:lineRule="exact"/>
              <w:ind w:left="343"/>
              <w:rPr>
                <w:rFonts w:ascii="微软雅黑" w:eastAsia="微软雅黑"/>
                <w:sz w:val="32"/>
              </w:rPr>
            </w:pPr>
            <w:r>
              <w:rPr>
                <w:rFonts w:hint="eastAsia" w:ascii="微软雅黑" w:eastAsia="微软雅黑"/>
                <w:sz w:val="32"/>
              </w:rPr>
              <w:t>检查内容</w:t>
            </w:r>
          </w:p>
        </w:tc>
        <w:tc>
          <w:tcPr>
            <w:tcW w:w="5581" w:type="dxa"/>
            <w:tcBorders>
              <w:bottom w:val="single" w:color="000000" w:sz="12" w:space="0"/>
            </w:tcBorders>
          </w:tcPr>
          <w:p>
            <w:pPr>
              <w:pStyle w:val="14"/>
              <w:spacing w:line="546" w:lineRule="exact"/>
              <w:ind w:left="2129" w:right="2121"/>
              <w:jc w:val="center"/>
              <w:rPr>
                <w:rFonts w:ascii="微软雅黑" w:eastAsia="微软雅黑"/>
                <w:sz w:val="32"/>
              </w:rPr>
            </w:pPr>
            <w:r>
              <w:rPr>
                <w:rFonts w:hint="eastAsia" w:ascii="微软雅黑" w:eastAsia="微软雅黑"/>
                <w:sz w:val="32"/>
              </w:rPr>
              <w:t>检查方式</w:t>
            </w:r>
          </w:p>
        </w:tc>
        <w:tc>
          <w:tcPr>
            <w:tcW w:w="6620" w:type="dxa"/>
            <w:tcBorders>
              <w:bottom w:val="single" w:color="000000" w:sz="12" w:space="0"/>
            </w:tcBorders>
          </w:tcPr>
          <w:p>
            <w:pPr>
              <w:pStyle w:val="14"/>
              <w:spacing w:line="546" w:lineRule="exact"/>
              <w:ind w:left="2647" w:right="2643"/>
              <w:jc w:val="center"/>
              <w:rPr>
                <w:rFonts w:ascii="微软雅黑" w:eastAsia="微软雅黑"/>
                <w:sz w:val="32"/>
              </w:rPr>
            </w:pPr>
            <w:r>
              <w:rPr>
                <w:rFonts w:hint="eastAsia" w:ascii="微软雅黑" w:eastAsia="微软雅黑"/>
                <w:sz w:val="32"/>
              </w:rPr>
              <w:t>检查记录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0" w:hRule="atLeast"/>
        </w:trPr>
        <w:tc>
          <w:tcPr>
            <w:tcW w:w="1968" w:type="dxa"/>
            <w:tcBorders>
              <w:top w:val="single" w:color="000000" w:sz="12" w:space="0"/>
            </w:tcBorders>
          </w:tcPr>
          <w:p>
            <w:pPr>
              <w:pStyle w:val="14"/>
              <w:spacing w:before="3"/>
              <w:rPr>
                <w:rFonts w:ascii="微软雅黑"/>
                <w:sz w:val="26"/>
              </w:rPr>
            </w:pPr>
          </w:p>
          <w:p>
            <w:pPr>
              <w:pStyle w:val="14"/>
              <w:spacing w:before="1" w:line="223" w:lineRule="auto"/>
              <w:ind w:left="107" w:right="249"/>
              <w:jc w:val="both"/>
              <w:rPr>
                <w:rFonts w:ascii="微软雅黑" w:eastAsia="微软雅黑"/>
                <w:sz w:val="32"/>
              </w:rPr>
            </w:pPr>
            <w:r>
              <w:rPr>
                <w:rFonts w:hint="eastAsia" w:ascii="微软雅黑" w:eastAsia="微软雅黑"/>
                <w:sz w:val="32"/>
              </w:rPr>
              <w:t>森林草原防灭火指挥部办公室</w:t>
            </w:r>
          </w:p>
        </w:tc>
        <w:tc>
          <w:tcPr>
            <w:tcW w:w="5581" w:type="dxa"/>
            <w:tcBorders>
              <w:top w:val="single" w:color="000000" w:sz="12" w:space="0"/>
              <w:bottom w:val="single" w:color="000000" w:sz="12" w:space="0"/>
            </w:tcBorders>
          </w:tcPr>
          <w:p>
            <w:pPr>
              <w:pStyle w:val="14"/>
              <w:spacing w:line="409" w:lineRule="exact"/>
              <w:ind w:left="108"/>
              <w:rPr>
                <w:sz w:val="32"/>
              </w:rPr>
            </w:pPr>
            <w:r>
              <w:rPr>
                <w:sz w:val="32"/>
              </w:rPr>
              <w:t>检查资料</w:t>
            </w:r>
          </w:p>
          <w:p>
            <w:pPr>
              <w:pStyle w:val="14"/>
              <w:spacing w:before="6" w:line="242" w:lineRule="auto"/>
              <w:ind w:left="108" w:right="94"/>
              <w:rPr>
                <w:sz w:val="28"/>
              </w:rPr>
            </w:pPr>
            <w:r>
              <w:rPr>
                <w:sz w:val="28"/>
              </w:rPr>
              <w:t>1</w:t>
            </w:r>
            <w:r>
              <w:rPr>
                <w:spacing w:val="-13"/>
                <w:sz w:val="28"/>
              </w:rPr>
              <w:t>、落实省森防指、市森防指及其办公室重点</w:t>
            </w:r>
            <w:r>
              <w:rPr>
                <w:spacing w:val="-1"/>
                <w:sz w:val="28"/>
              </w:rPr>
              <w:t>工作情况；</w:t>
            </w:r>
          </w:p>
          <w:p>
            <w:pPr>
              <w:pStyle w:val="14"/>
              <w:spacing w:before="1" w:line="242" w:lineRule="auto"/>
              <w:ind w:left="108" w:right="95"/>
              <w:rPr>
                <w:sz w:val="28"/>
              </w:rPr>
            </w:pPr>
            <w:r>
              <w:rPr>
                <w:sz w:val="28"/>
              </w:rPr>
              <w:t>2</w:t>
            </w:r>
            <w:r>
              <w:rPr>
                <w:spacing w:val="-13"/>
                <w:sz w:val="28"/>
              </w:rPr>
              <w:t>、为确保秋冬季森林防灭火工作扎实推进采</w:t>
            </w:r>
            <w:r>
              <w:rPr>
                <w:spacing w:val="-2"/>
                <w:sz w:val="28"/>
              </w:rPr>
              <w:t>取哪些有力措施；</w:t>
            </w:r>
          </w:p>
          <w:p>
            <w:pPr>
              <w:pStyle w:val="14"/>
              <w:spacing w:before="2"/>
              <w:ind w:left="-1889"/>
              <w:rPr>
                <w:sz w:val="28"/>
              </w:rPr>
            </w:pPr>
            <w:r>
              <w:rPr>
                <w:sz w:val="28"/>
                <w:u w:val="single"/>
              </w:rPr>
              <w:t xml:space="preserve">              </w:t>
            </w:r>
            <w:r>
              <w:rPr>
                <w:spacing w:val="-84"/>
                <w:sz w:val="28"/>
              </w:rPr>
              <w:t xml:space="preserve"> </w:t>
            </w:r>
            <w:r>
              <w:rPr>
                <w:sz w:val="28"/>
              </w:rPr>
              <w:t>3</w:t>
            </w:r>
            <w:r>
              <w:rPr>
                <w:spacing w:val="-12"/>
                <w:sz w:val="28"/>
              </w:rPr>
              <w:t>、火灾隐患大排查和林区输配电线路排查两</w:t>
            </w:r>
          </w:p>
          <w:p>
            <w:pPr>
              <w:pStyle w:val="14"/>
              <w:spacing w:before="4"/>
              <w:ind w:left="108"/>
              <w:rPr>
                <w:sz w:val="28"/>
              </w:rPr>
            </w:pPr>
            <w:r>
              <w:rPr>
                <w:sz w:val="28"/>
              </w:rPr>
              <w:t>个行动方案落实情况；</w:t>
            </w:r>
          </w:p>
        </w:tc>
        <w:tc>
          <w:tcPr>
            <w:tcW w:w="6620" w:type="dxa"/>
            <w:tcBorders>
              <w:top w:val="single" w:color="000000" w:sz="12" w:space="0"/>
            </w:tcBorders>
          </w:tcPr>
          <w:p>
            <w:pPr>
              <w:pStyle w:val="14"/>
              <w:rPr>
                <w:rFonts w:ascii="微软雅黑"/>
                <w:sz w:val="20"/>
              </w:rPr>
            </w:pPr>
          </w:p>
          <w:p>
            <w:pPr>
              <w:pStyle w:val="14"/>
              <w:rPr>
                <w:rFonts w:ascii="微软雅黑"/>
                <w:sz w:val="20"/>
              </w:rPr>
            </w:pPr>
          </w:p>
          <w:p>
            <w:pPr>
              <w:pStyle w:val="14"/>
              <w:rPr>
                <w:rFonts w:ascii="微软雅黑"/>
                <w:sz w:val="20"/>
              </w:rPr>
            </w:pPr>
          </w:p>
          <w:p>
            <w:pPr>
              <w:pStyle w:val="14"/>
              <w:spacing w:before="6"/>
              <w:rPr>
                <w:rFonts w:ascii="微软雅黑"/>
                <w:sz w:val="26"/>
              </w:rPr>
            </w:pPr>
          </w:p>
          <w:p>
            <w:pPr>
              <w:pStyle w:val="14"/>
              <w:spacing w:line="20" w:lineRule="exact"/>
              <w:ind w:left="79"/>
              <w:rPr>
                <w:rFonts w:ascii="微软雅黑"/>
                <w:sz w:val="2"/>
              </w:rPr>
            </w:pPr>
            <w:r>
              <w:rPr>
                <w:rFonts w:ascii="微软雅黑"/>
                <w:sz w:val="2"/>
              </w:rPr>
              <w:pict>
                <v:group id="_x0000_s1042" o:spid="_x0000_s1042" o:spt="203" style="height:0.75pt;width:323.1pt;" coordsize="6462,15">
                  <o:lock v:ext="edit"/>
                  <v:rect id="_x0000_s1043" o:spid="_x0000_s1043" o:spt="1" style="position:absolute;left:0;top:0;height:15;width:6462;" fillcolor="#000000" filled="t" stroked="f" coordsize="21600,21600">
                    <v:path/>
                    <v:fill on="t" focussize="0,0"/>
                    <v:stroke on="f"/>
                    <v:imagedata o:title=""/>
                    <o:lock v:ext="edit"/>
                  </v:rect>
                  <w10:wrap type="none"/>
                  <w10:anchorlock/>
                </v:group>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68" w:type="dxa"/>
            <w:tcBorders>
              <w:bottom w:val="nil"/>
            </w:tcBorders>
          </w:tcPr>
          <w:p>
            <w:pPr>
              <w:pStyle w:val="14"/>
              <w:rPr>
                <w:rFonts w:ascii="Times New Roman"/>
                <w:sz w:val="24"/>
              </w:rPr>
            </w:pPr>
          </w:p>
        </w:tc>
        <w:tc>
          <w:tcPr>
            <w:tcW w:w="5581" w:type="dxa"/>
            <w:tcBorders>
              <w:top w:val="single" w:color="000000" w:sz="12" w:space="0"/>
              <w:bottom w:val="nil"/>
            </w:tcBorders>
          </w:tcPr>
          <w:p>
            <w:pPr>
              <w:pStyle w:val="14"/>
              <w:spacing w:line="304" w:lineRule="exact"/>
              <w:ind w:left="108"/>
              <w:rPr>
                <w:sz w:val="32"/>
              </w:rPr>
            </w:pPr>
            <w:r>
              <w:rPr>
                <w:sz w:val="32"/>
              </w:rPr>
              <w:t>检查资料</w:t>
            </w:r>
          </w:p>
        </w:tc>
        <w:tc>
          <w:tcPr>
            <w:tcW w:w="6620" w:type="dxa"/>
            <w:vMerge w:val="restart"/>
          </w:tcPr>
          <w:p>
            <w:pPr>
              <w:pStyle w:val="14"/>
              <w:rPr>
                <w:rFonts w:ascii="微软雅黑"/>
                <w:sz w:val="20"/>
              </w:rPr>
            </w:pPr>
          </w:p>
          <w:p>
            <w:pPr>
              <w:pStyle w:val="14"/>
              <w:rPr>
                <w:rFonts w:ascii="微软雅黑"/>
                <w:sz w:val="20"/>
              </w:rPr>
            </w:pPr>
          </w:p>
          <w:p>
            <w:pPr>
              <w:pStyle w:val="14"/>
              <w:rPr>
                <w:rFonts w:ascii="微软雅黑"/>
                <w:sz w:val="20"/>
              </w:rPr>
            </w:pPr>
          </w:p>
          <w:p>
            <w:pPr>
              <w:pStyle w:val="14"/>
              <w:rPr>
                <w:rFonts w:ascii="微软雅黑"/>
                <w:sz w:val="20"/>
              </w:rPr>
            </w:pPr>
          </w:p>
          <w:p>
            <w:pPr>
              <w:pStyle w:val="14"/>
              <w:spacing w:before="12"/>
              <w:rPr>
                <w:rFonts w:ascii="微软雅黑"/>
                <w:sz w:val="21"/>
              </w:rPr>
            </w:pPr>
          </w:p>
          <w:p>
            <w:pPr>
              <w:pStyle w:val="14"/>
              <w:spacing w:line="20" w:lineRule="exact"/>
              <w:ind w:left="79"/>
              <w:rPr>
                <w:rFonts w:ascii="微软雅黑"/>
                <w:sz w:val="2"/>
              </w:rPr>
            </w:pPr>
            <w:r>
              <w:rPr>
                <w:rFonts w:ascii="微软雅黑"/>
                <w:sz w:val="2"/>
              </w:rPr>
              <w:pict>
                <v:group id="_x0000_s1044" o:spid="_x0000_s1044" o:spt="203" style="height:0.75pt;width:323.1pt;" coordsize="6462,15">
                  <o:lock v:ext="edit"/>
                  <v:rect id="_x0000_s1045" o:spid="_x0000_s1045" o:spt="1" style="position:absolute;left:0;top:0;height:15;width:6462;" fillcolor="#000000" filled="t" stroked="f" coordsize="21600,21600">
                    <v:path/>
                    <v:fill on="t" focussize="0,0"/>
                    <v:stroke on="f"/>
                    <v:imagedata o:title=""/>
                    <o:lock v:ext="edit"/>
                  </v:rect>
                  <w10:wrap type="none"/>
                  <w10:anchorlock/>
                </v:group>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968" w:type="dxa"/>
            <w:tcBorders>
              <w:top w:val="nil"/>
              <w:bottom w:val="nil"/>
            </w:tcBorders>
          </w:tcPr>
          <w:p>
            <w:pPr>
              <w:pStyle w:val="14"/>
              <w:rPr>
                <w:rFonts w:ascii="Times New Roman"/>
              </w:rPr>
            </w:pPr>
          </w:p>
        </w:tc>
        <w:tc>
          <w:tcPr>
            <w:tcW w:w="5581" w:type="dxa"/>
            <w:tcBorders>
              <w:top w:val="nil"/>
              <w:bottom w:val="nil"/>
            </w:tcBorders>
          </w:tcPr>
          <w:p>
            <w:pPr>
              <w:pStyle w:val="14"/>
              <w:spacing w:line="282" w:lineRule="exact"/>
              <w:ind w:left="108" w:right="-58"/>
              <w:rPr>
                <w:sz w:val="28"/>
              </w:rPr>
            </w:pPr>
            <w:r>
              <w:rPr>
                <w:sz w:val="28"/>
              </w:rPr>
              <w:t>1</w:t>
            </w:r>
            <w:r>
              <w:rPr>
                <w:spacing w:val="-18"/>
                <w:sz w:val="28"/>
              </w:rPr>
              <w:t>、涉及两个以上行政区域的，确立联防机制、</w:t>
            </w:r>
          </w:p>
        </w:tc>
        <w:tc>
          <w:tcPr>
            <w:tcW w:w="662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968" w:type="dxa"/>
            <w:tcBorders>
              <w:top w:val="nil"/>
              <w:bottom w:val="nil"/>
            </w:tcBorders>
          </w:tcPr>
          <w:p>
            <w:pPr>
              <w:pStyle w:val="14"/>
              <w:rPr>
                <w:rFonts w:ascii="Times New Roman"/>
              </w:rPr>
            </w:pPr>
          </w:p>
        </w:tc>
        <w:tc>
          <w:tcPr>
            <w:tcW w:w="5581" w:type="dxa"/>
            <w:tcBorders>
              <w:top w:val="nil"/>
              <w:bottom w:val="nil"/>
            </w:tcBorders>
          </w:tcPr>
          <w:p>
            <w:pPr>
              <w:pStyle w:val="14"/>
              <w:spacing w:line="290" w:lineRule="exact"/>
              <w:ind w:left="108"/>
              <w:rPr>
                <w:sz w:val="28"/>
              </w:rPr>
            </w:pPr>
            <w:r>
              <w:rPr>
                <w:sz w:val="28"/>
              </w:rPr>
              <w:t>联防区域和开展联防工作情况；</w:t>
            </w:r>
          </w:p>
        </w:tc>
        <w:tc>
          <w:tcPr>
            <w:tcW w:w="662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68" w:type="dxa"/>
            <w:tcBorders>
              <w:top w:val="nil"/>
              <w:bottom w:val="nil"/>
            </w:tcBorders>
          </w:tcPr>
          <w:p>
            <w:pPr>
              <w:pStyle w:val="14"/>
              <w:spacing w:before="46" w:line="563" w:lineRule="exact"/>
              <w:ind w:left="107"/>
              <w:rPr>
                <w:rFonts w:ascii="微软雅黑" w:eastAsia="微软雅黑"/>
                <w:sz w:val="32"/>
              </w:rPr>
            </w:pPr>
            <w:r>
              <w:rPr>
                <w:rFonts w:hint="eastAsia" w:ascii="微软雅黑" w:eastAsia="微软雅黑"/>
                <w:sz w:val="32"/>
              </w:rPr>
              <w:t>市级森林防</w:t>
            </w:r>
          </w:p>
        </w:tc>
        <w:tc>
          <w:tcPr>
            <w:tcW w:w="5581" w:type="dxa"/>
            <w:tcBorders>
              <w:top w:val="nil"/>
              <w:bottom w:val="nil"/>
            </w:tcBorders>
          </w:tcPr>
          <w:p>
            <w:pPr>
              <w:pStyle w:val="14"/>
              <w:spacing w:line="314" w:lineRule="exact"/>
              <w:ind w:left="108"/>
              <w:rPr>
                <w:sz w:val="28"/>
              </w:rPr>
            </w:pPr>
            <w:r>
              <w:rPr>
                <w:sz w:val="28"/>
              </w:rPr>
              <w:t>2、森林防火应急预案及应急演练情况；</w:t>
            </w:r>
          </w:p>
          <w:p>
            <w:pPr>
              <w:pStyle w:val="14"/>
              <w:spacing w:line="295" w:lineRule="exact"/>
              <w:ind w:left="108"/>
              <w:rPr>
                <w:sz w:val="28"/>
              </w:rPr>
            </w:pPr>
            <w:r>
              <w:rPr>
                <w:sz w:val="28"/>
              </w:rPr>
              <w:t>3、是否明确瞭望员、护林员责任，责任书签</w:t>
            </w:r>
          </w:p>
        </w:tc>
        <w:tc>
          <w:tcPr>
            <w:tcW w:w="662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8" w:type="dxa"/>
            <w:tcBorders>
              <w:top w:val="nil"/>
              <w:bottom w:val="nil"/>
            </w:tcBorders>
          </w:tcPr>
          <w:p>
            <w:pPr>
              <w:pStyle w:val="14"/>
              <w:spacing w:line="547" w:lineRule="exact"/>
              <w:ind w:left="79"/>
              <w:rPr>
                <w:rFonts w:ascii="微软雅黑" w:eastAsia="微软雅黑"/>
                <w:sz w:val="32"/>
              </w:rPr>
            </w:pPr>
            <w:r>
              <w:rPr>
                <w:rFonts w:ascii="Times New Roman" w:eastAsia="Times New Roman"/>
                <w:spacing w:val="-51"/>
                <w:w w:val="99"/>
                <w:position w:val="-18"/>
                <w:sz w:val="32"/>
                <w:u w:val="single"/>
              </w:rPr>
              <w:t xml:space="preserve"> </w:t>
            </w:r>
            <w:r>
              <w:rPr>
                <w:rFonts w:hint="eastAsia" w:ascii="微软雅黑" w:eastAsia="微软雅黑"/>
                <w:sz w:val="32"/>
              </w:rPr>
              <w:t>火重点单位</w:t>
            </w:r>
          </w:p>
        </w:tc>
        <w:tc>
          <w:tcPr>
            <w:tcW w:w="5581" w:type="dxa"/>
            <w:tcBorders>
              <w:top w:val="nil"/>
              <w:bottom w:val="nil"/>
            </w:tcBorders>
          </w:tcPr>
          <w:p>
            <w:pPr>
              <w:pStyle w:val="14"/>
              <w:spacing w:line="292" w:lineRule="exact"/>
              <w:ind w:left="108"/>
              <w:rPr>
                <w:sz w:val="28"/>
              </w:rPr>
            </w:pPr>
            <w:r>
              <w:rPr>
                <w:sz w:val="28"/>
              </w:rPr>
              <w:t>订情况；</w:t>
            </w:r>
          </w:p>
          <w:p>
            <w:pPr>
              <w:pStyle w:val="14"/>
              <w:spacing w:line="317" w:lineRule="exact"/>
              <w:ind w:left="108"/>
              <w:rPr>
                <w:sz w:val="32"/>
              </w:rPr>
            </w:pPr>
            <w:r>
              <w:rPr>
                <w:sz w:val="32"/>
              </w:rPr>
              <w:t>现场检查</w:t>
            </w:r>
          </w:p>
        </w:tc>
        <w:tc>
          <w:tcPr>
            <w:tcW w:w="662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968" w:type="dxa"/>
            <w:tcBorders>
              <w:top w:val="nil"/>
              <w:bottom w:val="nil"/>
            </w:tcBorders>
          </w:tcPr>
          <w:p>
            <w:pPr>
              <w:pStyle w:val="14"/>
              <w:rPr>
                <w:rFonts w:ascii="Times New Roman"/>
              </w:rPr>
            </w:pPr>
          </w:p>
        </w:tc>
        <w:tc>
          <w:tcPr>
            <w:tcW w:w="5581" w:type="dxa"/>
            <w:tcBorders>
              <w:top w:val="nil"/>
              <w:bottom w:val="nil"/>
            </w:tcBorders>
          </w:tcPr>
          <w:p>
            <w:pPr>
              <w:pStyle w:val="14"/>
              <w:spacing w:line="292" w:lineRule="exact"/>
              <w:ind w:left="108"/>
              <w:rPr>
                <w:sz w:val="28"/>
              </w:rPr>
            </w:pPr>
            <w:r>
              <w:rPr>
                <w:sz w:val="28"/>
              </w:rPr>
              <w:t>1、林区视频监控运行情况，对接市应急指挥</w:t>
            </w:r>
          </w:p>
        </w:tc>
        <w:tc>
          <w:tcPr>
            <w:tcW w:w="662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968" w:type="dxa"/>
            <w:tcBorders>
              <w:top w:val="nil"/>
              <w:bottom w:val="nil"/>
            </w:tcBorders>
          </w:tcPr>
          <w:p>
            <w:pPr>
              <w:pStyle w:val="14"/>
              <w:rPr>
                <w:rFonts w:ascii="Times New Roman"/>
              </w:rPr>
            </w:pPr>
          </w:p>
        </w:tc>
        <w:tc>
          <w:tcPr>
            <w:tcW w:w="5581" w:type="dxa"/>
            <w:tcBorders>
              <w:top w:val="nil"/>
              <w:bottom w:val="nil"/>
            </w:tcBorders>
          </w:tcPr>
          <w:p>
            <w:pPr>
              <w:pStyle w:val="14"/>
              <w:spacing w:line="290" w:lineRule="exact"/>
              <w:ind w:left="108"/>
              <w:rPr>
                <w:sz w:val="28"/>
              </w:rPr>
            </w:pPr>
            <w:r>
              <w:rPr>
                <w:spacing w:val="-1"/>
                <w:sz w:val="28"/>
              </w:rPr>
              <w:t>平台进展情况</w:t>
            </w:r>
            <w:r>
              <w:rPr>
                <w:spacing w:val="-3"/>
                <w:sz w:val="28"/>
              </w:rPr>
              <w:t>（重点关注</w:t>
            </w:r>
            <w:r>
              <w:rPr>
                <w:spacing w:val="-140"/>
                <w:sz w:val="28"/>
              </w:rPr>
              <w:t>）</w:t>
            </w:r>
            <w:r>
              <w:rPr>
                <w:sz w:val="28"/>
              </w:rPr>
              <w:t>；</w:t>
            </w:r>
          </w:p>
        </w:tc>
        <w:tc>
          <w:tcPr>
            <w:tcW w:w="662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68" w:type="dxa"/>
            <w:tcBorders>
              <w:top w:val="nil"/>
            </w:tcBorders>
          </w:tcPr>
          <w:p>
            <w:pPr>
              <w:pStyle w:val="14"/>
              <w:rPr>
                <w:rFonts w:ascii="Times New Roman"/>
              </w:rPr>
            </w:pPr>
          </w:p>
        </w:tc>
        <w:tc>
          <w:tcPr>
            <w:tcW w:w="5581" w:type="dxa"/>
            <w:tcBorders>
              <w:top w:val="nil"/>
            </w:tcBorders>
          </w:tcPr>
          <w:p>
            <w:pPr>
              <w:pStyle w:val="14"/>
              <w:spacing w:line="293" w:lineRule="exact"/>
              <w:ind w:left="108" w:right="-44"/>
              <w:rPr>
                <w:sz w:val="28"/>
              </w:rPr>
            </w:pPr>
            <w:r>
              <w:rPr>
                <w:sz w:val="28"/>
              </w:rPr>
              <w:t>2</w:t>
            </w:r>
            <w:r>
              <w:rPr>
                <w:spacing w:val="-18"/>
                <w:sz w:val="28"/>
              </w:rPr>
              <w:t>、防火宣传、防灭火设施设备配备运行情况。</w:t>
            </w:r>
          </w:p>
        </w:tc>
        <w:tc>
          <w:tcPr>
            <w:tcW w:w="6620" w:type="dxa"/>
            <w:vMerge w:val="continue"/>
            <w:tcBorders>
              <w:top w:val="nil"/>
            </w:tcBorders>
          </w:tcPr>
          <w:p>
            <w:pPr>
              <w:rPr>
                <w:sz w:val="2"/>
                <w:szCs w:val="2"/>
              </w:rPr>
            </w:pPr>
          </w:p>
        </w:tc>
      </w:tr>
    </w:tbl>
    <w:p/>
    <w:sectPr>
      <w:pgSz w:w="16840" w:h="11910" w:orient="landscape"/>
      <w:pgMar w:top="1100" w:right="960" w:bottom="1080" w:left="1220" w:header="0" w:footer="894" w:gutter="0"/>
      <w:cols w:equalWidth="0" w:num="1">
        <w:col w:w="146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pict>
        <v:shape id="_x0000_s2049" o:spid="_x0000_s2049" o:spt="202" type="#_x0000_t202" style="position:absolute;left:0pt;margin-left:292.35pt;margin-top:782.2pt;height:11pt;width:10.6pt;mso-position-horizontal-relative:page;mso-position-vertical-relative:page;z-index:-251649024;mso-width-relative:page;mso-height-relative:page;" filled="f" stroked="f" coordsize="21600,21600">
          <v:path/>
          <v:fill on="f" focussize="0,0"/>
          <v:stroke on="f" joinstyle="miter"/>
          <v:imagedata o:title=""/>
          <o:lock v:ext="edit"/>
          <v:textbox inset="0mm,0mm,0mm,0mm">
            <w:txbxContent>
              <w:p>
                <w:pPr>
                  <w:spacing w:line="203" w:lineRule="exact"/>
                  <w:ind w:left="60"/>
                  <w:rPr>
                    <w:rFonts w:ascii="Calibri"/>
                    <w:sz w:val="18"/>
                  </w:rPr>
                </w:pPr>
                <w:r>
                  <w:fldChar w:fldCharType="begin"/>
                </w:r>
                <w:r>
                  <w:rPr>
                    <w:rFonts w:ascii="Calibri"/>
                    <w:sz w:val="18"/>
                  </w:rPr>
                  <w:instrText xml:space="preserve"> PAGE </w:instrText>
                </w:r>
                <w:r>
                  <w:fldChar w:fldCharType="separate"/>
                </w:r>
                <w:r>
                  <w:rPr>
                    <w:rFonts w:ascii="Calibri"/>
                    <w:sz w:val="18"/>
                  </w:rPr>
                  <w:t>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pict>
        <v:shape id="_x0000_s2050" o:spid="_x0000_s2050" o:spt="202" type="#_x0000_t202" style="position:absolute;left:0pt;margin-left:413.45pt;margin-top:535.6pt;height:11pt;width:15.15pt;mso-position-horizontal-relative:page;mso-position-vertical-relative:page;z-index:-251648000;mso-width-relative:page;mso-height-relative:page;" filled="f" stroked="f" coordsize="21600,21600">
          <v:path/>
          <v:fill on="f" focussize="0,0"/>
          <v:stroke on="f" joinstyle="miter"/>
          <v:imagedata o:title=""/>
          <o:lock v:ext="edit"/>
          <v:textbox inset="0mm,0mm,0mm,0mm">
            <w:txbxContent>
              <w:p>
                <w:pPr>
                  <w:spacing w:line="203" w:lineRule="exact"/>
                  <w:ind w:left="60"/>
                  <w:rPr>
                    <w:rFonts w:ascii="Calibri"/>
                    <w:sz w:val="18"/>
                  </w:rPr>
                </w:pPr>
                <w:r>
                  <w:fldChar w:fldCharType="begin"/>
                </w:r>
                <w:r>
                  <w:rPr>
                    <w:rFonts w:ascii="Calibri"/>
                    <w:sz w:val="18"/>
                  </w:rPr>
                  <w:instrText xml:space="preserve"> PAGE </w:instrText>
                </w:r>
                <w:r>
                  <w:fldChar w:fldCharType="separate"/>
                </w:r>
                <w:r>
                  <w:rPr>
                    <w:rFonts w:ascii="Calibri"/>
                    <w:sz w:val="18"/>
                  </w:rP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DCABA"/>
    <w:multiLevelType w:val="multilevel"/>
    <w:tmpl w:val="59ADCABA"/>
    <w:lvl w:ilvl="0" w:tentative="0">
      <w:start w:val="1"/>
      <w:numFmt w:val="decimal"/>
      <w:lvlText w:val="%1."/>
      <w:lvlJc w:val="left"/>
      <w:pPr>
        <w:ind w:left="108" w:hanging="283"/>
        <w:jc w:val="left"/>
      </w:pPr>
      <w:rPr>
        <w:rFonts w:hint="default" w:ascii="宋体" w:hAnsi="宋体" w:eastAsia="宋体" w:cs="宋体"/>
        <w:spacing w:val="-2"/>
        <w:w w:val="100"/>
        <w:sz w:val="26"/>
        <w:szCs w:val="26"/>
        <w:lang w:val="en-US" w:eastAsia="zh-CN" w:bidi="ar-SA"/>
      </w:rPr>
    </w:lvl>
    <w:lvl w:ilvl="1" w:tentative="0">
      <w:start w:val="0"/>
      <w:numFmt w:val="bullet"/>
      <w:lvlText w:val="•"/>
      <w:lvlJc w:val="left"/>
      <w:pPr>
        <w:ind w:left="565" w:hanging="283"/>
      </w:pPr>
      <w:rPr>
        <w:rFonts w:hint="default"/>
        <w:lang w:val="en-US" w:eastAsia="zh-CN" w:bidi="ar-SA"/>
      </w:rPr>
    </w:lvl>
    <w:lvl w:ilvl="2" w:tentative="0">
      <w:start w:val="0"/>
      <w:numFmt w:val="bullet"/>
      <w:lvlText w:val="•"/>
      <w:lvlJc w:val="left"/>
      <w:pPr>
        <w:ind w:left="1031" w:hanging="283"/>
      </w:pPr>
      <w:rPr>
        <w:rFonts w:hint="default"/>
        <w:lang w:val="en-US" w:eastAsia="zh-CN" w:bidi="ar-SA"/>
      </w:rPr>
    </w:lvl>
    <w:lvl w:ilvl="3" w:tentative="0">
      <w:start w:val="0"/>
      <w:numFmt w:val="bullet"/>
      <w:lvlText w:val="•"/>
      <w:lvlJc w:val="left"/>
      <w:pPr>
        <w:ind w:left="1497" w:hanging="283"/>
      </w:pPr>
      <w:rPr>
        <w:rFonts w:hint="default"/>
        <w:lang w:val="en-US" w:eastAsia="zh-CN" w:bidi="ar-SA"/>
      </w:rPr>
    </w:lvl>
    <w:lvl w:ilvl="4" w:tentative="0">
      <w:start w:val="0"/>
      <w:numFmt w:val="bullet"/>
      <w:lvlText w:val="•"/>
      <w:lvlJc w:val="left"/>
      <w:pPr>
        <w:ind w:left="1962" w:hanging="283"/>
      </w:pPr>
      <w:rPr>
        <w:rFonts w:hint="default"/>
        <w:lang w:val="en-US" w:eastAsia="zh-CN" w:bidi="ar-SA"/>
      </w:rPr>
    </w:lvl>
    <w:lvl w:ilvl="5" w:tentative="0">
      <w:start w:val="0"/>
      <w:numFmt w:val="bullet"/>
      <w:lvlText w:val="•"/>
      <w:lvlJc w:val="left"/>
      <w:pPr>
        <w:ind w:left="2428" w:hanging="283"/>
      </w:pPr>
      <w:rPr>
        <w:rFonts w:hint="default"/>
        <w:lang w:val="en-US" w:eastAsia="zh-CN" w:bidi="ar-SA"/>
      </w:rPr>
    </w:lvl>
    <w:lvl w:ilvl="6" w:tentative="0">
      <w:start w:val="0"/>
      <w:numFmt w:val="bullet"/>
      <w:lvlText w:val="•"/>
      <w:lvlJc w:val="left"/>
      <w:pPr>
        <w:ind w:left="2894" w:hanging="283"/>
      </w:pPr>
      <w:rPr>
        <w:rFonts w:hint="default"/>
        <w:lang w:val="en-US" w:eastAsia="zh-CN" w:bidi="ar-SA"/>
      </w:rPr>
    </w:lvl>
    <w:lvl w:ilvl="7" w:tentative="0">
      <w:start w:val="0"/>
      <w:numFmt w:val="bullet"/>
      <w:lvlText w:val="•"/>
      <w:lvlJc w:val="left"/>
      <w:pPr>
        <w:ind w:left="3359" w:hanging="283"/>
      </w:pPr>
      <w:rPr>
        <w:rFonts w:hint="default"/>
        <w:lang w:val="en-US" w:eastAsia="zh-CN" w:bidi="ar-SA"/>
      </w:rPr>
    </w:lvl>
    <w:lvl w:ilvl="8" w:tentative="0">
      <w:start w:val="0"/>
      <w:numFmt w:val="bullet"/>
      <w:lvlText w:val="•"/>
      <w:lvlJc w:val="left"/>
      <w:pPr>
        <w:ind w:left="3825" w:hanging="283"/>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docVars>
    <w:docVar w:name="commondata" w:val="eyJoZGlkIjoiMzQ1NWNiOTZhMDQ5YmJiYWMzZmNhZjQ5YzJlZjI1NzUifQ=="/>
  </w:docVars>
  <w:rsids>
    <w:rsidRoot w:val="002B577C"/>
    <w:rsid w:val="000B2A14"/>
    <w:rsid w:val="00257546"/>
    <w:rsid w:val="002B577C"/>
    <w:rsid w:val="00415BC8"/>
    <w:rsid w:val="00C0736C"/>
    <w:rsid w:val="00C27798"/>
    <w:rsid w:val="00EE2344"/>
    <w:rsid w:val="00F72D5E"/>
    <w:rsid w:val="1731735C"/>
    <w:rsid w:val="2CE35C75"/>
    <w:rsid w:val="631A7E0B"/>
    <w:rsid w:val="693F3B84"/>
    <w:rsid w:val="704B114A"/>
    <w:rsid w:val="768A0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直接连接符 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zh-CN" w:bidi="ar-SA"/>
    </w:rPr>
  </w:style>
  <w:style w:type="paragraph" w:styleId="5">
    <w:name w:val="heading 1"/>
    <w:basedOn w:val="1"/>
    <w:next w:val="1"/>
    <w:qFormat/>
    <w:uiPriority w:val="1"/>
    <w:pPr>
      <w:spacing w:line="494" w:lineRule="exact"/>
      <w:ind w:left="763"/>
      <w:outlineLvl w:val="0"/>
    </w:pPr>
    <w:rPr>
      <w:rFonts w:ascii="微软雅黑" w:hAnsi="微软雅黑" w:eastAsia="微软雅黑" w:cs="微软雅黑"/>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1"/>
    <w:rPr>
      <w:sz w:val="32"/>
      <w:szCs w:val="32"/>
    </w:rPr>
  </w:style>
  <w:style w:type="paragraph" w:styleId="7">
    <w:name w:val="Balloon Text"/>
    <w:basedOn w:val="1"/>
    <w:link w:val="15"/>
    <w:qFormat/>
    <w:uiPriority w:val="0"/>
    <w:rPr>
      <w:sz w:val="18"/>
      <w:szCs w:val="18"/>
    </w:rPr>
  </w:style>
  <w:style w:type="paragraph" w:styleId="8">
    <w:name w:val="Title"/>
    <w:basedOn w:val="1"/>
    <w:qFormat/>
    <w:uiPriority w:val="1"/>
    <w:pPr>
      <w:ind w:left="518"/>
    </w:pPr>
    <w:rPr>
      <w:rFonts w:ascii="微软雅黑" w:hAnsi="微软雅黑" w:eastAsia="微软雅黑" w:cs="微软雅黑"/>
      <w:b/>
      <w:bCs/>
      <w:sz w:val="44"/>
      <w:szCs w:val="44"/>
    </w:rPr>
  </w:style>
  <w:style w:type="character" w:styleId="11">
    <w:name w:val="Hyperlink"/>
    <w:basedOn w:val="10"/>
    <w:uiPriority w:val="0"/>
    <w:rPr>
      <w:color w:val="0000FF"/>
      <w:u w:val="single"/>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20" w:hanging="323"/>
    </w:pPr>
  </w:style>
  <w:style w:type="paragraph" w:customStyle="1" w:styleId="14">
    <w:name w:val="Table Paragraph"/>
    <w:basedOn w:val="1"/>
    <w:qFormat/>
    <w:uiPriority w:val="1"/>
  </w:style>
  <w:style w:type="character" w:customStyle="1" w:styleId="15">
    <w:name w:val="批注框文本 Char"/>
    <w:basedOn w:val="10"/>
    <w:link w:val="7"/>
    <w:qFormat/>
    <w:uiPriority w:val="0"/>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1046"/>
    <customShpInfo spid="_x0000_s1029"/>
    <customShpInfo spid="_x0000_s1030"/>
    <customShpInfo spid="_x0000_s1028"/>
    <customShpInfo spid="_x0000_s1031"/>
    <customShpInfo spid="_x0000_s1032"/>
    <customShpInfo spid="_x0000_s1033"/>
    <customShpInfo spid="_x0000_s1034"/>
    <customShpInfo spid="_x0000_s1035"/>
    <customShpInfo spid="_x0000_s1036"/>
    <customShpInfo spid="_x0000_s1037"/>
    <customShpInfo spid="_x0000_s1039"/>
    <customShpInfo spid="_x0000_s1038"/>
    <customShpInfo spid="_x0000_s1041"/>
    <customShpInfo spid="_x0000_s1040"/>
    <customShpInfo spid="_x0000_s1043"/>
    <customShpInfo spid="_x0000_s1042"/>
    <customShpInfo spid="_x0000_s1045"/>
    <customShpInfo spid="_x0000_s10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3714</Words>
  <Characters>3795</Characters>
  <Lines>29</Lines>
  <Paragraphs>8</Paragraphs>
  <TotalTime>1</TotalTime>
  <ScaleCrop>false</ScaleCrop>
  <LinksUpToDate>false</LinksUpToDate>
  <CharactersWithSpaces>3844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2022-09-08T07:05:00Z</dcterms:created>
  <dc:creator>Administrator</dc:creator>
  <cp:lastModifiedBy>Administrator</cp:lastModifiedBy>
  <cp:lastPrinted>2022-09-13T02:45:00Z</cp:lastPrinted>
  <dcterms:modified xsi:type="dcterms:W3CDTF">2022-10-22T01:18:20Z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Office Word 2007</vt:lpwstr>
  </property>
  <property fmtid="{D5CDD505-2E9C-101B-9397-08002B2CF9AE}" pid="4" name="LastSaved">
    <vt:filetime>2022-09-08T00:00:00Z</vt:filetime>
  </property>
  <property fmtid="{D5CDD505-2E9C-101B-9397-08002B2CF9AE}" pid="5" name="KSOProductBuildVer">
    <vt:lpwstr>2052-11.1.0.12598</vt:lpwstr>
  </property>
  <property fmtid="{D5CDD505-2E9C-101B-9397-08002B2CF9AE}" pid="6" name="ICV">
    <vt:lpwstr>CC079FB70F444326A978A2F824F9A906</vt:lpwstr>
  </property>
</Properties>
</file>