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val="0"/>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color w:val="auto"/>
          <w:sz w:val="32"/>
          <w:szCs w:val="32"/>
          <w:lang w:val="en-US" w:eastAsia="zh-CN"/>
        </w:rPr>
        <w:t>冠政办发〔2023〕10号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eastAsia="楷体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b w:val="0"/>
          <w:bCs w:val="0"/>
          <w:snapToGrid w:val="0"/>
          <w:color w:val="000000" w:themeColor="text1"/>
          <w:kern w:val="0"/>
          <w:sz w:val="44"/>
          <w:szCs w:val="44"/>
          <w:lang w:val="en-US" w:eastAsia="zh-CN"/>
          <w14:textFill>
            <w14:solidFill>
              <w14:schemeClr w14:val="tx1"/>
            </w14:solidFill>
          </w14:textFill>
        </w:rPr>
      </w:pPr>
      <w:r>
        <w:rPr>
          <w:rFonts w:hint="eastAsia" w:ascii="方正大标宋简体" w:hAnsi="方正大标宋简体" w:eastAsia="方正大标宋简体" w:cs="方正大标宋简体"/>
          <w:b w:val="0"/>
          <w:bCs w:val="0"/>
          <w:snapToGrid w:val="0"/>
          <w:color w:val="000000" w:themeColor="text1"/>
          <w:kern w:val="0"/>
          <w:sz w:val="44"/>
          <w:szCs w:val="44"/>
          <w:lang w:val="en-US" w:eastAsia="zh-CN"/>
          <w14:textFill>
            <w14:solidFill>
              <w14:schemeClr w14:val="tx1"/>
            </w14:solidFill>
          </w14:textFill>
        </w:rPr>
        <w:t>冠县人民政府办公室</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方正大标宋简体" w:hAnsi="方正大标宋简体" w:eastAsia="方正大标宋简体" w:cs="方正大标宋简体"/>
          <w:b w:val="0"/>
          <w:bCs w:val="0"/>
          <w:snapToGrid w:val="0"/>
          <w:color w:val="000000" w:themeColor="text1"/>
          <w:spacing w:val="-11"/>
          <w:kern w:val="0"/>
          <w:sz w:val="44"/>
          <w:szCs w:val="44"/>
          <w:lang w:val="en-US" w:eastAsia="zh-CN"/>
          <w14:textFill>
            <w14:solidFill>
              <w14:schemeClr w14:val="tx1"/>
            </w14:solidFill>
          </w14:textFill>
        </w:rPr>
      </w:pPr>
      <w:r>
        <w:rPr>
          <w:rFonts w:hint="eastAsia" w:ascii="方正大标宋简体" w:hAnsi="方正大标宋简体" w:eastAsia="方正大标宋简体" w:cs="方正大标宋简体"/>
          <w:b w:val="0"/>
          <w:bCs w:val="0"/>
          <w:snapToGrid w:val="0"/>
          <w:color w:val="000000" w:themeColor="text1"/>
          <w:spacing w:val="-11"/>
          <w:kern w:val="0"/>
          <w:sz w:val="44"/>
          <w:szCs w:val="44"/>
          <w:lang w:val="en-US" w:eastAsia="zh-CN"/>
          <w14:textFill>
            <w14:solidFill>
              <w14:schemeClr w14:val="tx1"/>
            </w14:solidFill>
          </w14:textFill>
        </w:rPr>
        <w:t xml:space="preserve">关于印发冠县2023年法治政府建设工作计划的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b w:val="0"/>
          <w:bCs w:val="0"/>
          <w:snapToGrid w:val="0"/>
          <w:color w:val="000000" w:themeColor="text1"/>
          <w:kern w:val="0"/>
          <w:sz w:val="44"/>
          <w:szCs w:val="44"/>
          <w:lang w:val="en-US" w:eastAsia="zh-CN"/>
          <w14:textFill>
            <w14:solidFill>
              <w14:schemeClr w14:val="tx1"/>
            </w14:solidFill>
          </w14:textFill>
        </w:rPr>
      </w:pPr>
      <w:r>
        <w:rPr>
          <w:rFonts w:hint="eastAsia" w:ascii="方正大标宋简体" w:hAnsi="方正大标宋简体" w:eastAsia="方正大标宋简体" w:cs="方正大标宋简体"/>
          <w:b w:val="0"/>
          <w:bCs w:val="0"/>
          <w:snapToGrid w:val="0"/>
          <w:color w:val="000000" w:themeColor="text1"/>
          <w:kern w:val="0"/>
          <w:sz w:val="44"/>
          <w:szCs w:val="44"/>
          <w:lang w:val="en-US" w:eastAsia="zh-CN"/>
          <w14:textFill>
            <w14:solidFill>
              <w14:schemeClr w14:val="tx1"/>
            </w14:solidFill>
          </w14:textFill>
        </w:rPr>
        <w:t>通   知</w:t>
      </w:r>
    </w:p>
    <w:p>
      <w:pPr>
        <w:pStyle w:val="2"/>
        <w:keepNext w:val="0"/>
        <w:keepLines w:val="0"/>
        <w:pageBreakBefore w:val="0"/>
        <w:widowControl w:val="0"/>
        <w:overflowPunct/>
        <w:topLinePunct w:val="0"/>
        <w:bidi w:val="0"/>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各乡镇人民政府、街道办事处,县经济开发区管委会,县直各部门: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 xml:space="preserve">    《冠县2023年法治政府建设工作计划》已经县政府同意,现印发给你们，请结合实际认真贯彻执行。</w:t>
      </w:r>
    </w:p>
    <w:p>
      <w:pPr>
        <w:pStyle w:val="10"/>
        <w:keepNext w:val="0"/>
        <w:keepLines w:val="0"/>
        <w:pageBreakBefore w:val="0"/>
        <w:widowControl w:val="0"/>
        <w:shd w:val="clear" w:color="auto" w:fill="FFFFFF"/>
        <w:overflowPunct/>
        <w:topLinePunct w:val="0"/>
        <w:bidi w:val="0"/>
        <w:spacing w:before="0" w:beforeAutospacing="0" w:after="0" w:afterAutospacing="0" w:line="560" w:lineRule="exact"/>
        <w:ind w:firstLine="645"/>
        <w:jc w:val="both"/>
        <w:rPr>
          <w:rFonts w:hint="eastAsia" w:ascii="仿宋_GB2312" w:hAnsi="仿宋_GB2312" w:eastAsia="仿宋_GB2312" w:cs="仿宋_GB2312"/>
          <w:b w:val="0"/>
          <w:bCs w:val="0"/>
          <w:color w:val="auto"/>
          <w:sz w:val="32"/>
          <w:szCs w:val="32"/>
          <w:highlight w:val="none"/>
        </w:rPr>
      </w:pPr>
    </w:p>
    <w:p>
      <w:pPr>
        <w:pStyle w:val="10"/>
        <w:keepNext w:val="0"/>
        <w:keepLines w:val="0"/>
        <w:pageBreakBefore w:val="0"/>
        <w:widowControl w:val="0"/>
        <w:shd w:val="clear" w:color="auto" w:fill="FFFFFF"/>
        <w:overflowPunct/>
        <w:topLinePunct w:val="0"/>
        <w:bidi w:val="0"/>
        <w:spacing w:before="0" w:beforeAutospacing="0" w:after="0" w:afterAutospacing="0" w:line="560" w:lineRule="exact"/>
        <w:ind w:firstLine="645"/>
        <w:jc w:val="both"/>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shd w:val="clear" w:color="auto" w:fill="FFFFFF"/>
        </w:rPr>
        <w:t> </w:t>
      </w:r>
    </w:p>
    <w:p>
      <w:pPr>
        <w:pStyle w:val="1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2523" w:firstLine="2102" w:firstLineChars="657"/>
        <w:jc w:val="left"/>
        <w:textAlignment w:val="auto"/>
        <w:rPr>
          <w:rFonts w:hint="eastAsia" w:ascii="仿宋_GB2312" w:hAnsi="仿宋_GB2312" w:eastAsia="仿宋_GB2312" w:cs="仿宋_GB2312"/>
          <w:b w:val="0"/>
          <w:bCs w:val="0"/>
          <w:color w:val="auto"/>
          <w:sz w:val="32"/>
          <w:szCs w:val="32"/>
          <w:highlight w:val="none"/>
          <w:shd w:val="clear" w:color="auto" w:fill="FFFFFF"/>
        </w:rPr>
      </w:pPr>
      <w:r>
        <w:rPr>
          <w:rFonts w:hint="eastAsia" w:ascii="仿宋_GB2312" w:hAnsi="仿宋_GB2312" w:eastAsia="仿宋_GB2312" w:cs="仿宋_GB2312"/>
          <w:b w:val="0"/>
          <w:bCs w:val="0"/>
          <w:color w:val="auto"/>
          <w:sz w:val="32"/>
          <w:szCs w:val="32"/>
          <w:highlight w:val="none"/>
          <w:shd w:val="clear" w:color="auto" w:fill="FFFFFF"/>
        </w:rPr>
        <w:t>冠县人民政府办公室</w:t>
      </w:r>
    </w:p>
    <w:p>
      <w:pPr>
        <w:pStyle w:val="10"/>
        <w:keepNext w:val="0"/>
        <w:keepLines w:val="0"/>
        <w:pageBreakBefore w:val="0"/>
        <w:widowControl w:val="0"/>
        <w:shd w:val="clear" w:color="auto" w:fill="FFFFFF"/>
        <w:wordWrap w:val="0"/>
        <w:overflowPunct/>
        <w:topLinePunct w:val="0"/>
        <w:bidi w:val="0"/>
        <w:spacing w:before="0" w:beforeAutospacing="0" w:after="0" w:afterAutospacing="0" w:line="560" w:lineRule="exact"/>
        <w:ind w:left="2520" w:firstLine="645"/>
        <w:jc w:val="center"/>
        <w:rPr>
          <w:rFonts w:hint="eastAsia" w:ascii="仿宋_GB2312" w:hAnsi="仿宋_GB2312" w:eastAsia="仿宋_GB2312" w:cs="仿宋_GB2312"/>
          <w:b w:val="0"/>
          <w:bCs w:val="0"/>
          <w:color w:val="auto"/>
          <w:sz w:val="32"/>
          <w:szCs w:val="32"/>
          <w:highlight w:val="none"/>
          <w:shd w:val="clear" w:color="auto" w:fill="FFFFFF"/>
        </w:rPr>
      </w:pPr>
      <w:r>
        <w:rPr>
          <w:rFonts w:hint="eastAsia" w:ascii="仿宋_GB2312" w:hAnsi="仿宋_GB2312" w:eastAsia="仿宋_GB2312" w:cs="仿宋_GB2312"/>
          <w:b w:val="0"/>
          <w:bCs w:val="0"/>
          <w:color w:val="auto"/>
          <w:sz w:val="32"/>
          <w:szCs w:val="32"/>
          <w:highlight w:val="none"/>
          <w:shd w:val="clear" w:color="auto" w:fill="FFFFFF"/>
          <w:lang w:val="en-US" w:eastAsia="zh-CN"/>
        </w:rPr>
        <w:t xml:space="preserve">       </w:t>
      </w:r>
      <w:r>
        <w:rPr>
          <w:rFonts w:hint="eastAsia" w:ascii="仿宋_GB2312" w:hAnsi="仿宋_GB2312" w:eastAsia="仿宋_GB2312" w:cs="仿宋_GB2312"/>
          <w:b w:val="0"/>
          <w:bCs w:val="0"/>
          <w:color w:val="auto"/>
          <w:sz w:val="32"/>
          <w:szCs w:val="32"/>
          <w:highlight w:val="none"/>
          <w:shd w:val="clear" w:color="auto" w:fill="FFFFFF"/>
        </w:rPr>
        <w:t>2023年</w:t>
      </w:r>
      <w:r>
        <w:rPr>
          <w:rFonts w:hint="eastAsia" w:ascii="仿宋_GB2312" w:hAnsi="仿宋_GB2312" w:eastAsia="仿宋_GB2312" w:cs="仿宋_GB2312"/>
          <w:b w:val="0"/>
          <w:bCs w:val="0"/>
          <w:color w:val="auto"/>
          <w:sz w:val="32"/>
          <w:szCs w:val="32"/>
          <w:highlight w:val="none"/>
          <w:shd w:val="clear" w:color="auto" w:fill="FFFFFF"/>
          <w:lang w:val="en-US" w:eastAsia="zh-CN"/>
        </w:rPr>
        <w:t>4</w:t>
      </w:r>
      <w:r>
        <w:rPr>
          <w:rFonts w:hint="eastAsia" w:ascii="仿宋_GB2312" w:hAnsi="仿宋_GB2312" w:eastAsia="仿宋_GB2312" w:cs="仿宋_GB2312"/>
          <w:b w:val="0"/>
          <w:bCs w:val="0"/>
          <w:color w:val="auto"/>
          <w:sz w:val="32"/>
          <w:szCs w:val="32"/>
          <w:highlight w:val="none"/>
          <w:shd w:val="clear" w:color="auto" w:fill="FFFFFF"/>
        </w:rPr>
        <w:t>月</w:t>
      </w:r>
      <w:r>
        <w:rPr>
          <w:rFonts w:hint="eastAsia" w:ascii="仿宋_GB2312" w:hAnsi="仿宋_GB2312" w:eastAsia="仿宋_GB2312" w:cs="仿宋_GB2312"/>
          <w:b w:val="0"/>
          <w:bCs w:val="0"/>
          <w:color w:val="auto"/>
          <w:sz w:val="32"/>
          <w:szCs w:val="32"/>
          <w:highlight w:val="none"/>
          <w:shd w:val="clear" w:color="auto" w:fill="FFFFFF"/>
          <w:lang w:val="en-US" w:eastAsia="zh-CN"/>
        </w:rPr>
        <w:t>25</w:t>
      </w:r>
      <w:r>
        <w:rPr>
          <w:rFonts w:hint="eastAsia" w:ascii="仿宋_GB2312" w:hAnsi="仿宋_GB2312" w:eastAsia="仿宋_GB2312" w:cs="仿宋_GB2312"/>
          <w:b w:val="0"/>
          <w:bCs w:val="0"/>
          <w:color w:val="auto"/>
          <w:sz w:val="32"/>
          <w:szCs w:val="32"/>
          <w:highlight w:val="none"/>
          <w:shd w:val="clear" w:color="auto" w:fill="FFFFFF"/>
        </w:rPr>
        <w:t xml:space="preserve">日    </w:t>
      </w:r>
    </w:p>
    <w:p>
      <w:pPr>
        <w:pStyle w:val="10"/>
        <w:keepNext w:val="0"/>
        <w:keepLines w:val="0"/>
        <w:pageBreakBefore w:val="0"/>
        <w:widowControl w:val="0"/>
        <w:shd w:val="clear" w:color="auto" w:fill="FFFFFF"/>
        <w:wordWrap w:val="0"/>
        <w:overflowPunct/>
        <w:topLinePunct w:val="0"/>
        <w:bidi w:val="0"/>
        <w:spacing w:before="0" w:beforeAutospacing="0" w:after="0" w:afterAutospacing="0" w:line="560" w:lineRule="exact"/>
        <w:ind w:firstLine="640" w:firstLineChars="200"/>
        <w:jc w:val="both"/>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shd w:val="clear" w:color="auto" w:fill="FFFFFF"/>
          <w:lang w:eastAsia="zh-CN"/>
        </w:rPr>
        <w:t>（</w:t>
      </w:r>
      <w:r>
        <w:rPr>
          <w:rFonts w:hint="eastAsia" w:ascii="仿宋_GB2312" w:hAnsi="仿宋_GB2312" w:eastAsia="仿宋_GB2312" w:cs="仿宋_GB2312"/>
          <w:b w:val="0"/>
          <w:bCs w:val="0"/>
          <w:color w:val="auto"/>
          <w:sz w:val="32"/>
          <w:szCs w:val="32"/>
          <w:highlight w:val="none"/>
          <w:shd w:val="clear" w:color="auto" w:fill="FFFFFF"/>
          <w:lang w:val="en-US" w:eastAsia="zh-CN"/>
        </w:rPr>
        <w:t>此件公开发布）</w:t>
      </w:r>
      <w:r>
        <w:rPr>
          <w:rFonts w:hint="eastAsia" w:ascii="仿宋_GB2312" w:hAnsi="仿宋_GB2312" w:eastAsia="仿宋_GB2312" w:cs="仿宋_GB2312"/>
          <w:b w:val="0"/>
          <w:bCs w:val="0"/>
          <w:color w:val="auto"/>
          <w:sz w:val="32"/>
          <w:szCs w:val="32"/>
          <w:highlight w:val="none"/>
          <w:shd w:val="clear" w:color="auto" w:fill="FFFFFF"/>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微软雅黑" w:eastAsia="方正小标宋简体" w:cs="Arial"/>
          <w:b w:val="0"/>
          <w:bCs w:val="0"/>
          <w:snapToGrid w:val="0"/>
          <w:color w:val="000000" w:themeColor="text1"/>
          <w:kern w:val="0"/>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b w:val="0"/>
          <w:bCs w:val="0"/>
          <w:color w:val="000000" w:themeColor="text1"/>
          <w:sz w:val="24"/>
          <w14:textFill>
            <w14:solidFill>
              <w14:schemeClr w14:val="tx1"/>
            </w14:solidFill>
          </w14:textFill>
        </w:rPr>
      </w:pPr>
      <w:r>
        <w:rPr>
          <w:rFonts w:hint="eastAsia" w:ascii="方正大标宋简体" w:hAnsi="方正大标宋简体" w:eastAsia="方正大标宋简体" w:cs="方正大标宋简体"/>
          <w:b w:val="0"/>
          <w:bCs w:val="0"/>
          <w:snapToGrid w:val="0"/>
          <w:color w:val="000000" w:themeColor="text1"/>
          <w:kern w:val="0"/>
          <w:sz w:val="44"/>
          <w:szCs w:val="44"/>
          <w:lang w:val="en-US" w:eastAsia="zh-CN"/>
          <w14:textFill>
            <w14:solidFill>
              <w14:schemeClr w14:val="tx1"/>
            </w14:solidFill>
          </w14:textFill>
        </w:rPr>
        <w:t>冠县2023年法治政府建设工作计划</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t>为深入贯彻习近平法治思想，全面推进依法行政，深入贯彻落实中共中央、国务院《法治政府建设实施纲要（2021—2025年）》和省委全面依法治省委员会《山东省贯彻落实&lt;法治政府建设实施纲要(2021—2025年)&gt;实施方案》、市委全面依法治市委员会《聊城市法治政府建设实施方案（2021—2025年》工作部署，加快构建职责明确、依法行政的政府治理体系，紧紧围绕《冠县法治政府建设实施纲要(2021-2025年)》，制定本年度法治政府建设工作计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pPr>
      <w:r>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t>一、依法全面履行政府职能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t>1.建立权责清单动态调整机制，加强权责清单审查工作力度，提升权责清单标准化规范化水平，引导部门依据权责清单履职尽责。</w:t>
      </w:r>
      <w:r>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t>（</w:t>
      </w:r>
      <w:r>
        <w:rPr>
          <w:rFonts w:hint="eastAsia" w:ascii="楷体_GB2312" w:hAnsi="黑体" w:eastAsia="楷体_GB2312"/>
          <w:b w:val="0"/>
          <w:bCs w:val="0"/>
          <w:color w:val="000000" w:themeColor="text1"/>
          <w:sz w:val="32"/>
          <w:szCs w:val="32"/>
          <w:lang w:eastAsia="zh-CN"/>
          <w14:textFill>
            <w14:solidFill>
              <w14:schemeClr w14:val="tx1"/>
            </w14:solidFill>
          </w14:textFill>
        </w:rPr>
        <w:t>牵头</w:t>
      </w:r>
      <w:r>
        <w:rPr>
          <w:rFonts w:hint="eastAsia" w:ascii="楷体_GB2312" w:hAnsi="黑体" w:eastAsia="楷体_GB2312"/>
          <w:b w:val="0"/>
          <w:bCs w:val="0"/>
          <w:color w:val="000000" w:themeColor="text1"/>
          <w:sz w:val="32"/>
          <w:szCs w:val="32"/>
          <w14:textFill>
            <w14:solidFill>
              <w14:schemeClr w14:val="tx1"/>
            </w14:solidFill>
          </w14:textFill>
        </w:rPr>
        <w:t>单位：</w:t>
      </w:r>
      <w:r>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t>县委编办）</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t>2.强化数智赋能，联合市行政审批局打造市县联动“云审批中心”，推进建设项目审批事项在工建系统应进必进、审批上云，审批成果即时共享，数据信息全面互联。</w:t>
      </w:r>
      <w:r>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t>（</w:t>
      </w:r>
      <w:r>
        <w:rPr>
          <w:rFonts w:hint="eastAsia" w:ascii="楷体_GB2312" w:hAnsi="黑体" w:eastAsia="楷体_GB2312"/>
          <w:b w:val="0"/>
          <w:bCs w:val="0"/>
          <w:color w:val="000000" w:themeColor="text1"/>
          <w:sz w:val="32"/>
          <w:szCs w:val="32"/>
          <w:lang w:eastAsia="zh-CN"/>
          <w14:textFill>
            <w14:solidFill>
              <w14:schemeClr w14:val="tx1"/>
            </w14:solidFill>
          </w14:textFill>
        </w:rPr>
        <w:t>牵头</w:t>
      </w:r>
      <w:r>
        <w:rPr>
          <w:rFonts w:hint="eastAsia" w:ascii="楷体_GB2312" w:hAnsi="黑体" w:eastAsia="楷体_GB2312"/>
          <w:b w:val="0"/>
          <w:bCs w:val="0"/>
          <w:color w:val="000000" w:themeColor="text1"/>
          <w:sz w:val="32"/>
          <w:szCs w:val="32"/>
          <w14:textFill>
            <w14:solidFill>
              <w14:schemeClr w14:val="tx1"/>
            </w14:solidFill>
          </w14:textFill>
        </w:rPr>
        <w:t>单位</w:t>
      </w:r>
      <w:r>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t>：县行政审批局）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t>3.持续推进“证照分离”改革，确保直接取消审批事项不再审批，审批改备案事项实行备案，告知承诺事项当场办结，优化审批事项，精简材料、压减时限，全面推进“双告知”落实落细，持续推动电子证照广泛应用。</w:t>
      </w:r>
      <w:r>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t>（</w:t>
      </w:r>
      <w:r>
        <w:rPr>
          <w:rFonts w:hint="eastAsia" w:ascii="楷体_GB2312" w:hAnsi="黑体" w:eastAsia="楷体_GB2312"/>
          <w:b w:val="0"/>
          <w:bCs w:val="0"/>
          <w:color w:val="000000" w:themeColor="text1"/>
          <w:sz w:val="32"/>
          <w:szCs w:val="32"/>
          <w:lang w:eastAsia="zh-CN"/>
          <w14:textFill>
            <w14:solidFill>
              <w14:schemeClr w14:val="tx1"/>
            </w14:solidFill>
          </w14:textFill>
        </w:rPr>
        <w:t>牵头</w:t>
      </w:r>
      <w:r>
        <w:rPr>
          <w:rFonts w:hint="eastAsia" w:ascii="楷体_GB2312" w:hAnsi="黑体" w:eastAsia="楷体_GB2312"/>
          <w:b w:val="0"/>
          <w:bCs w:val="0"/>
          <w:color w:val="000000" w:themeColor="text1"/>
          <w:sz w:val="32"/>
          <w:szCs w:val="32"/>
          <w14:textFill>
            <w14:solidFill>
              <w14:schemeClr w14:val="tx1"/>
            </w14:solidFill>
          </w14:textFill>
        </w:rPr>
        <w:t>单位</w:t>
      </w:r>
      <w:r>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t>：县行政审批局）</w:t>
      </w:r>
    </w:p>
    <w:p>
      <w:pPr>
        <w:pStyle w:val="10"/>
        <w:keepNext w:val="0"/>
        <w:keepLines w:val="0"/>
        <w:pageBreakBefore w:val="0"/>
        <w:widowControl w:val="0"/>
        <w:kinsoku/>
        <w:wordWrap/>
        <w:overflowPunct/>
        <w:topLinePunct w:val="0"/>
        <w:bidi w:val="0"/>
        <w:spacing w:before="0" w:beforeAutospacing="0" w:after="0" w:afterAutospacing="0" w:line="600" w:lineRule="exact"/>
        <w:ind w:firstLine="640" w:firstLineChars="200"/>
        <w:jc w:val="both"/>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pPr>
      <w:r>
        <w:rPr>
          <w:rFonts w:hint="eastAsia" w:ascii="仿宋_GB2312" w:eastAsia="仿宋_GB2312" w:hAnsiTheme="minorEastAsia"/>
          <w:b w:val="0"/>
          <w:bCs w:val="0"/>
          <w:color w:val="000000" w:themeColor="text1"/>
          <w:sz w:val="32"/>
          <w:szCs w:val="32"/>
          <w14:textFill>
            <w14:solidFill>
              <w14:schemeClr w14:val="tx1"/>
            </w14:solidFill>
          </w14:textFill>
        </w:rPr>
        <w:t>4.以优化企业全生命周期集成服务体系为引领，不断丰富企业开办“4012”品牌内涵，夯实准营领域集成改革，强化退出阶段制度创新，探索推进涉企证照信息集成化。</w:t>
      </w:r>
      <w:r>
        <w:rPr>
          <w:rFonts w:hint="eastAsia" w:ascii="楷体_GB2312" w:hAnsi="黑体" w:eastAsia="楷体_GB2312"/>
          <w:b w:val="0"/>
          <w:bCs w:val="0"/>
          <w:color w:val="000000" w:themeColor="text1"/>
          <w:sz w:val="32"/>
          <w:szCs w:val="32"/>
          <w14:textFill>
            <w14:solidFill>
              <w14:schemeClr w14:val="tx1"/>
            </w14:solidFill>
          </w14:textFill>
        </w:rPr>
        <w:t>（</w:t>
      </w:r>
      <w:r>
        <w:rPr>
          <w:rFonts w:hint="eastAsia" w:ascii="楷体_GB2312" w:hAnsi="黑体" w:eastAsia="楷体_GB2312"/>
          <w:b w:val="0"/>
          <w:bCs w:val="0"/>
          <w:color w:val="000000" w:themeColor="text1"/>
          <w:sz w:val="32"/>
          <w:szCs w:val="32"/>
          <w:lang w:eastAsia="zh-CN"/>
          <w14:textFill>
            <w14:solidFill>
              <w14:schemeClr w14:val="tx1"/>
            </w14:solidFill>
          </w14:textFill>
        </w:rPr>
        <w:t>牵头</w:t>
      </w:r>
      <w:r>
        <w:rPr>
          <w:rFonts w:hint="eastAsia" w:ascii="楷体_GB2312" w:hAnsi="黑体" w:eastAsia="楷体_GB2312"/>
          <w:b w:val="0"/>
          <w:bCs w:val="0"/>
          <w:color w:val="000000" w:themeColor="text1"/>
          <w:sz w:val="32"/>
          <w:szCs w:val="32"/>
          <w14:textFill>
            <w14:solidFill>
              <w14:schemeClr w14:val="tx1"/>
            </w14:solidFill>
          </w14:textFill>
        </w:rPr>
        <w:t>单位：</w:t>
      </w:r>
      <w:r>
        <w:rPr>
          <w:rFonts w:hint="eastAsia" w:ascii="楷体_GB2312" w:hAnsi="黑体" w:eastAsia="楷体_GB2312"/>
          <w:b w:val="0"/>
          <w:bCs w:val="0"/>
          <w:color w:val="000000" w:themeColor="text1"/>
          <w:sz w:val="32"/>
          <w:szCs w:val="32"/>
          <w:lang w:val="en-US" w:eastAsia="zh-CN"/>
          <w14:textFill>
            <w14:solidFill>
              <w14:schemeClr w14:val="tx1"/>
            </w14:solidFill>
          </w14:textFill>
        </w:rPr>
        <w:t>县</w:t>
      </w:r>
      <w:r>
        <w:rPr>
          <w:rFonts w:hint="eastAsia" w:ascii="楷体_GB2312" w:hAnsi="黑体" w:eastAsia="楷体_GB2312"/>
          <w:b w:val="0"/>
          <w:bCs w:val="0"/>
          <w:color w:val="000000" w:themeColor="text1"/>
          <w:sz w:val="32"/>
          <w:szCs w:val="32"/>
          <w14:textFill>
            <w14:solidFill>
              <w14:schemeClr w14:val="tx1"/>
            </w14:solidFill>
          </w14:textFill>
        </w:rPr>
        <w:t>行政审批局）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5.持续推进政务服务事项标准化，优化事项实施清单及办事指南，建立和完善审管联动工作联席会议制度，升级“一件事一次办”，提升跨域通办服务效能，打响“冠通办”政务服务品牌。</w:t>
      </w:r>
      <w:r>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t>（</w:t>
      </w:r>
      <w:r>
        <w:rPr>
          <w:rFonts w:hint="eastAsia" w:ascii="楷体_GB2312" w:hAnsi="黑体" w:eastAsia="楷体_GB2312"/>
          <w:b w:val="0"/>
          <w:bCs w:val="0"/>
          <w:color w:val="000000" w:themeColor="text1"/>
          <w:sz w:val="32"/>
          <w:szCs w:val="32"/>
          <w:lang w:eastAsia="zh-CN"/>
          <w14:textFill>
            <w14:solidFill>
              <w14:schemeClr w14:val="tx1"/>
            </w14:solidFill>
          </w14:textFill>
        </w:rPr>
        <w:t>牵头</w:t>
      </w:r>
      <w:r>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t>单位：县政府办公室、县行政审批局）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6.持续推进“互联网+监管”平台数据归集，定期监控平台数据，督促问题部门及时整改提升，确保部门监管事项覆盖率和监管业务及时率达到100%。</w:t>
      </w:r>
      <w:r>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t>（</w:t>
      </w:r>
      <w:r>
        <w:rPr>
          <w:rFonts w:hint="eastAsia" w:ascii="楷体_GB2312" w:hAnsi="黑体" w:eastAsia="楷体_GB2312"/>
          <w:b w:val="0"/>
          <w:bCs w:val="0"/>
          <w:color w:val="000000" w:themeColor="text1"/>
          <w:sz w:val="32"/>
          <w:szCs w:val="32"/>
          <w:lang w:eastAsia="zh-CN"/>
          <w14:textFill>
            <w14:solidFill>
              <w14:schemeClr w14:val="tx1"/>
            </w14:solidFill>
          </w14:textFill>
        </w:rPr>
        <w:t>牵头</w:t>
      </w:r>
      <w:r>
        <w:rPr>
          <w:rFonts w:hint="eastAsia" w:ascii="楷体_GB2312" w:hAnsi="黑体" w:eastAsia="楷体_GB2312" w:cs="宋体"/>
          <w:b w:val="0"/>
          <w:bCs w:val="0"/>
          <w:color w:val="000000" w:themeColor="text1"/>
          <w:kern w:val="0"/>
          <w:sz w:val="32"/>
          <w:szCs w:val="32"/>
          <w:lang w:val="en-US" w:eastAsia="zh-CN" w:bidi="ar-SA"/>
          <w14:textFill>
            <w14:solidFill>
              <w14:schemeClr w14:val="tx1"/>
            </w14:solidFill>
          </w14:textFill>
        </w:rPr>
        <w:t>单位：县政府办公室）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7.全面落实外商投资准入前国民待遇加负面清单管理制度，扎实开展与外商投资法不一致的规范性文件专项清理。</w:t>
      </w:r>
      <w:r>
        <w:rPr>
          <w:rFonts w:hint="eastAsia" w:ascii="楷体_GB2312" w:hAnsi="Times New Roman" w:eastAsia="楷体_GB2312" w:cs="Times New Roman"/>
          <w:b w:val="0"/>
          <w:bCs w:val="0"/>
          <w:color w:val="000000" w:themeColor="text1"/>
          <w:sz w:val="32"/>
          <w:szCs w:val="32"/>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牵头</w:t>
      </w:r>
      <w:r>
        <w:rPr>
          <w:rFonts w:hint="eastAsia" w:ascii="楷体_GB2312" w:hAnsi="Times New Roman" w:eastAsia="楷体_GB2312" w:cs="Times New Roman"/>
          <w:b w:val="0"/>
          <w:bCs w:val="0"/>
          <w:color w:val="000000" w:themeColor="text1"/>
          <w:sz w:val="32"/>
          <w:szCs w:val="32"/>
          <w14:textFill>
            <w14:solidFill>
              <w14:schemeClr w14:val="tx1"/>
            </w14:solidFill>
          </w14:textFill>
        </w:rPr>
        <w:t>单位：县商务投资促进局</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黑体" w:eastAsia="楷体_GB2312"/>
          <w:b w:val="0"/>
          <w:bCs w:val="0"/>
          <w:color w:val="000000" w:themeColor="text1"/>
          <w:sz w:val="32"/>
          <w:szCs w:val="32"/>
          <w:lang w:val="en-US" w:eastAsia="zh-CN"/>
          <w14:textFill>
            <w14:solidFill>
              <w14:schemeClr w14:val="tx1"/>
            </w14:solidFill>
          </w14:textFill>
        </w:rPr>
        <w:t>县</w:t>
      </w:r>
      <w:r>
        <w:rPr>
          <w:rFonts w:hint="eastAsia" w:ascii="楷体_GB2312" w:hAnsi="黑体" w:eastAsia="楷体_GB2312"/>
          <w:b w:val="0"/>
          <w:bCs w:val="0"/>
          <w:color w:val="000000" w:themeColor="text1"/>
          <w:sz w:val="32"/>
          <w:szCs w:val="32"/>
          <w14:textFill>
            <w14:solidFill>
              <w14:schemeClr w14:val="tx1"/>
            </w14:solidFill>
          </w14:textFill>
        </w:rPr>
        <w:t>行政审批局、</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14:textFill>
            <w14:solidFill>
              <w14:schemeClr w14:val="tx1"/>
            </w14:solidFill>
          </w14:textFill>
        </w:rPr>
        <w:t>发展改革</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局</w:t>
      </w:r>
      <w:r>
        <w:rPr>
          <w:rFonts w:hint="eastAsia" w:ascii="楷体_GB2312" w:hAnsi="Times New Roman" w:eastAsia="楷体_GB2312" w:cs="Times New Roman"/>
          <w:b w:val="0"/>
          <w:bCs w:val="0"/>
          <w:color w:val="000000" w:themeColor="text1"/>
          <w:sz w:val="32"/>
          <w:szCs w:val="32"/>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14:textFill>
            <w14:solidFill>
              <w14:schemeClr w14:val="tx1"/>
            </w14:solidFill>
          </w14:textFill>
        </w:rPr>
        <w:t>司法局）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pPr>
      <w:r>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t>二、完善依法行政制度体系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8.依法制定行政规范性文件，严格执行行政规范性文件统一登记、统一编制登记号、统一公布“三统一”制度, 全面落实</w:t>
      </w:r>
      <w:r>
        <w:rPr>
          <w:rFonts w:hint="eastAsia" w:ascii="仿宋_GB2312" w:hAnsi="仿宋_GB2312" w:eastAsia="仿宋_GB2312" w:cs="仿宋_GB2312"/>
          <w:b w:val="0"/>
          <w:bCs w:val="0"/>
          <w:color w:val="000000" w:themeColor="text1"/>
          <w:sz w:val="32"/>
          <w:szCs w:val="32"/>
          <w14:textFill>
            <w14:solidFill>
              <w14:schemeClr w14:val="tx1"/>
            </w14:solidFill>
          </w14:textFill>
        </w:rPr>
        <w:t>行政规范性文件合法性审核机制和备案审查制度，落实行政规范性文件评估制度，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落实</w:t>
      </w:r>
      <w:r>
        <w:rPr>
          <w:rFonts w:hint="eastAsia" w:ascii="仿宋_GB2312" w:hAnsi="仿宋_GB2312" w:eastAsia="仿宋_GB2312" w:cs="仿宋_GB2312"/>
          <w:b w:val="0"/>
          <w:bCs w:val="0"/>
          <w:color w:val="000000" w:themeColor="text1"/>
          <w:sz w:val="32"/>
          <w:szCs w:val="32"/>
          <w14:textFill>
            <w14:solidFill>
              <w14:schemeClr w14:val="tx1"/>
            </w14:solidFill>
          </w14:textFill>
        </w:rPr>
        <w:t>行政规范性文件动态清理工作机制。</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（牵头单位：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政府办公室、</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司法局）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pPr>
      <w:r>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t>三、完善行政决策制度机制</w:t>
      </w:r>
    </w:p>
    <w:p>
      <w:pPr>
        <w:keepNext w:val="0"/>
        <w:keepLines w:val="0"/>
        <w:pageBreakBefore w:val="0"/>
        <w:widowControl w:val="0"/>
        <w:kinsoku/>
        <w:wordWrap/>
        <w:overflowPunct/>
        <w:topLinePunct w:val="0"/>
        <w:autoSpaceDE/>
        <w:autoSpaceDN/>
        <w:bidi w:val="0"/>
        <w:adjustRightInd/>
        <w:snapToGrid/>
        <w:spacing w:line="600" w:lineRule="exact"/>
        <w:ind w:right="100" w:firstLine="640" w:firstLineChars="200"/>
        <w:jc w:val="both"/>
        <w:textAlignment w:val="auto"/>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32"/>
          <w:szCs w:val="32"/>
          <w14:textFill>
            <w14:solidFill>
              <w14:schemeClr w14:val="tx1"/>
            </w14:solidFill>
          </w14:textFill>
        </w:rPr>
        <w:t>.编制《</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冠县人民</w:t>
      </w:r>
      <w:r>
        <w:rPr>
          <w:rFonts w:hint="eastAsia" w:ascii="仿宋_GB2312" w:hAnsi="仿宋_GB2312" w:eastAsia="仿宋_GB2312" w:cs="仿宋_GB2312"/>
          <w:b w:val="0"/>
          <w:bCs w:val="0"/>
          <w:color w:val="000000" w:themeColor="text1"/>
          <w:sz w:val="32"/>
          <w:szCs w:val="32"/>
          <w14:textFill>
            <w14:solidFill>
              <w14:schemeClr w14:val="tx1"/>
            </w14:solidFill>
          </w14:textFill>
        </w:rPr>
        <w:t>政府2023</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年度</w:t>
      </w:r>
      <w:r>
        <w:rPr>
          <w:rFonts w:hint="eastAsia" w:ascii="仿宋_GB2312" w:hAnsi="仿宋_GB2312" w:eastAsia="仿宋_GB2312" w:cs="仿宋_GB2312"/>
          <w:b w:val="0"/>
          <w:bCs w:val="0"/>
          <w:color w:val="000000" w:themeColor="text1"/>
          <w:sz w:val="32"/>
          <w:szCs w:val="32"/>
          <w14:textFill>
            <w14:solidFill>
              <w14:schemeClr w14:val="tx1"/>
            </w14:solidFill>
          </w14:textFill>
        </w:rPr>
        <w:t>重大行政决策</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事项</w:t>
      </w:r>
      <w:r>
        <w:rPr>
          <w:rFonts w:hint="eastAsia" w:ascii="仿宋_GB2312" w:hAnsi="仿宋_GB2312" w:eastAsia="仿宋_GB2312" w:cs="仿宋_GB2312"/>
          <w:b w:val="0"/>
          <w:bCs w:val="0"/>
          <w:color w:val="000000" w:themeColor="text1"/>
          <w:sz w:val="32"/>
          <w:szCs w:val="32"/>
          <w14:textFill>
            <w14:solidFill>
              <w14:schemeClr w14:val="tx1"/>
            </w14:solidFill>
          </w14:textFill>
        </w:rPr>
        <w:t>目录》，依法组织法律顾问参与重大行政决策合法性审查，深入推进乡镇(街道)重大决策合法性审查工作</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持续推进</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合法性审查全覆盖冠县“五一”模式</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（牵头单位：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司法局）</w:t>
      </w:r>
    </w:p>
    <w:p>
      <w:pPr>
        <w:keepNext w:val="0"/>
        <w:keepLines w:val="0"/>
        <w:pageBreakBefore w:val="0"/>
        <w:widowControl w:val="0"/>
        <w:kinsoku/>
        <w:wordWrap/>
        <w:overflowPunct/>
        <w:topLinePunct w:val="0"/>
        <w:autoSpaceDE/>
        <w:autoSpaceDN/>
        <w:bidi w:val="0"/>
        <w:adjustRightInd/>
        <w:snapToGrid/>
        <w:spacing w:line="600" w:lineRule="exact"/>
        <w:ind w:right="100" w:firstLine="640" w:firstLineChars="200"/>
        <w:jc w:val="both"/>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重大行政</w:t>
      </w:r>
      <w:r>
        <w:rPr>
          <w:rFonts w:hint="eastAsia" w:ascii="仿宋_GB2312" w:hAnsi="仿宋_GB2312" w:eastAsia="仿宋_GB2312" w:cs="仿宋_GB2312"/>
          <w:b w:val="0"/>
          <w:bCs w:val="0"/>
          <w:color w:val="000000" w:themeColor="text1"/>
          <w:sz w:val="32"/>
          <w:szCs w:val="32"/>
          <w14:textFill>
            <w14:solidFill>
              <w14:schemeClr w14:val="tx1"/>
            </w14:solidFill>
          </w14:textFill>
        </w:rPr>
        <w:t>决策执行单位要依法全面、及时、准确执行重大行政决策，及时向决策机关报告决策执行情况，未经法定程序不得随意变更或停止执行。</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牵头</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单位：各决策执行单位）</w:t>
      </w:r>
    </w:p>
    <w:p>
      <w:pPr>
        <w:keepNext w:val="0"/>
        <w:keepLines w:val="0"/>
        <w:pageBreakBefore w:val="0"/>
        <w:widowControl w:val="0"/>
        <w:kinsoku/>
        <w:wordWrap/>
        <w:overflowPunct/>
        <w:topLinePunct w:val="0"/>
        <w:autoSpaceDE/>
        <w:autoSpaceDN/>
        <w:bidi w:val="0"/>
        <w:adjustRightInd/>
        <w:snapToGrid/>
        <w:spacing w:line="600" w:lineRule="exact"/>
        <w:ind w:right="100" w:firstLine="640" w:firstLineChars="200"/>
        <w:jc w:val="both"/>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1</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14:textFill>
            <w14:solidFill>
              <w14:schemeClr w14:val="tx1"/>
            </w14:solidFill>
          </w14:textFill>
        </w:rPr>
        <w:t>.把重大经济事项决策、执行及效果情况，作为领导干部经济责任审计的重点内容，作为对政府部门党组（党委</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巡察的重要内容，推动完善决策制度、规范决策程序，促进依法民主科学决策。</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牵头</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审计局、</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委巡察办）</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pPr>
      <w:r>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t>四、严格规范公正文明执法</w:t>
      </w:r>
    </w:p>
    <w:p>
      <w:pPr>
        <w:keepNext w:val="0"/>
        <w:keepLines w:val="0"/>
        <w:pageBreakBefore w:val="0"/>
        <w:widowControl w:val="0"/>
        <w:kinsoku/>
        <w:wordWrap/>
        <w:overflowPunct/>
        <w:topLinePunct w:val="0"/>
        <w:autoSpaceDE/>
        <w:autoSpaceDN/>
        <w:bidi w:val="0"/>
        <w:adjustRightInd/>
        <w:snapToGrid/>
        <w:spacing w:line="600" w:lineRule="exact"/>
        <w:ind w:right="100" w:firstLine="640" w:firstLineChars="200"/>
        <w:jc w:val="both"/>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1</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楷体_GB2312" w:eastAsia="仿宋_GB2312" w:cs="楷体_GB2312"/>
          <w:b w:val="0"/>
          <w:bCs w:val="0"/>
          <w:color w:val="000000" w:themeColor="text1"/>
          <w:sz w:val="32"/>
          <w:szCs w:val="32"/>
          <w14:textFill>
            <w14:solidFill>
              <w14:schemeClr w14:val="tx1"/>
            </w14:solidFill>
          </w14:textFill>
        </w:rPr>
        <w:t>加强行业监管与综合行政执法部门协作配合，梳理监管执法涉及的行政检查职责，</w:t>
      </w:r>
      <w:r>
        <w:rPr>
          <w:rFonts w:hint="eastAsia" w:ascii="仿宋_GB2312" w:hAnsi="楷体_GB2312" w:eastAsia="仿宋_GB2312" w:cs="楷体_GB2312"/>
          <w:b w:val="0"/>
          <w:bCs w:val="0"/>
          <w:color w:val="000000" w:themeColor="text1"/>
          <w:sz w:val="32"/>
          <w:szCs w:val="32"/>
          <w:lang w:val="en-US" w:eastAsia="zh-CN"/>
          <w14:textFill>
            <w14:solidFill>
              <w14:schemeClr w14:val="tx1"/>
            </w14:solidFill>
          </w14:textFill>
        </w:rPr>
        <w:t>落实</w:t>
      </w:r>
      <w:r>
        <w:rPr>
          <w:rFonts w:hint="eastAsia" w:ascii="仿宋_GB2312" w:hAnsi="楷体_GB2312" w:eastAsia="仿宋_GB2312" w:cs="楷体_GB2312"/>
          <w:b w:val="0"/>
          <w:bCs w:val="0"/>
          <w:color w:val="000000" w:themeColor="text1"/>
          <w:sz w:val="32"/>
          <w:szCs w:val="32"/>
          <w14:textFill>
            <w14:solidFill>
              <w14:schemeClr w14:val="tx1"/>
            </w14:solidFill>
          </w14:textFill>
        </w:rPr>
        <w:t>协调配合机制，科学划分部门内设机构与执法队伍间职责分工。</w:t>
      </w:r>
      <w:r>
        <w:rPr>
          <w:rFonts w:hint="eastAsia" w:ascii="楷体_GB2312" w:hAnsi="Times New Roman" w:eastAsia="楷体_GB2312" w:cs="Times New Roman"/>
          <w:b w:val="0"/>
          <w:bCs w:val="0"/>
          <w:color w:val="000000" w:themeColor="text1"/>
          <w:sz w:val="32"/>
          <w:szCs w:val="32"/>
          <w14:textFill>
            <w14:solidFill>
              <w14:schemeClr w14:val="tx1"/>
            </w14:solidFill>
          </w14:textFill>
        </w:rPr>
        <w:t>（牵头单位：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14:textFill>
            <w14:solidFill>
              <w14:schemeClr w14:val="tx1"/>
            </w14:solidFill>
          </w14:textFill>
        </w:rPr>
        <w:t>委编办</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司法局</w:t>
      </w:r>
      <w:r>
        <w:rPr>
          <w:rFonts w:hint="eastAsia" w:ascii="楷体_GB2312" w:hAnsi="Times New Roman" w:eastAsia="楷体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b w:val="0"/>
          <w:bCs w:val="0"/>
          <w:color w:val="000000" w:themeColor="text1"/>
          <w:sz w:val="32"/>
          <w:szCs w:val="32"/>
          <w14:textFill>
            <w14:solidFill>
              <w14:schemeClr w14:val="tx1"/>
            </w14:solidFill>
          </w14:textFill>
        </w:rPr>
        <w:t>.加强执法监督机构及队伍建设，探索加强镇街行政执法监督机构建设，开展专项监督活动，创新执法监督方式，规范使用聊城市行政处罚与行政强制网上运行系统，推动“不罚轻罚”清单持续落实。</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14:textFill>
            <w14:solidFill>
              <w14:schemeClr w14:val="tx1"/>
            </w14:solidFill>
          </w14:textFill>
        </w:rPr>
        <w:t>牵头单位：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司法局）</w:t>
      </w:r>
    </w:p>
    <w:p>
      <w:pPr>
        <w:keepNext w:val="0"/>
        <w:keepLines w:val="0"/>
        <w:pageBreakBefore w:val="0"/>
        <w:widowControl w:val="0"/>
        <w:kinsoku/>
        <w:wordWrap/>
        <w:overflowPunct/>
        <w:topLinePunct w:val="0"/>
        <w:autoSpaceDE/>
        <w:autoSpaceDN/>
        <w:bidi w:val="0"/>
        <w:adjustRightInd/>
        <w:snapToGrid/>
        <w:spacing w:line="600" w:lineRule="exact"/>
        <w:ind w:right="160" w:firstLine="640" w:firstLineChars="200"/>
        <w:jc w:val="both"/>
        <w:textAlignment w:val="auto"/>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1</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14:textFill>
            <w14:solidFill>
              <w14:schemeClr w14:val="tx1"/>
            </w14:solidFill>
          </w14:textFill>
        </w:rPr>
        <w:t>.严格规范公正文明执法，</w:t>
      </w:r>
      <w:r>
        <w:rPr>
          <w:rFonts w:hint="eastAsia" w:ascii="仿宋_GB2312" w:hAnsi="楷体_GB2312" w:eastAsia="仿宋_GB2312" w:cs="楷体_GB2312"/>
          <w:b w:val="0"/>
          <w:bCs w:val="0"/>
          <w:color w:val="000000" w:themeColor="text1"/>
          <w:sz w:val="32"/>
          <w:szCs w:val="32"/>
          <w14:textFill>
            <w14:solidFill>
              <w14:schemeClr w14:val="tx1"/>
            </w14:solidFill>
          </w14:textFill>
        </w:rPr>
        <w:t>开展整治“重复检查、多头执法、随意处罚”攻坚行动，</w:t>
      </w:r>
      <w:r>
        <w:rPr>
          <w:rFonts w:hint="eastAsia" w:ascii="仿宋_GB2312" w:hAnsi="仿宋_GB2312" w:eastAsia="仿宋_GB2312" w:cs="仿宋_GB2312"/>
          <w:b w:val="0"/>
          <w:bCs w:val="0"/>
          <w:color w:val="000000" w:themeColor="text1"/>
          <w:sz w:val="32"/>
          <w:szCs w:val="32"/>
          <w14:textFill>
            <w14:solidFill>
              <w14:schemeClr w14:val="tx1"/>
            </w14:solidFill>
          </w14:textFill>
        </w:rPr>
        <w:t>严格落实</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行政</w:t>
      </w:r>
      <w:r>
        <w:rPr>
          <w:rFonts w:hint="eastAsia" w:ascii="仿宋_GB2312" w:hAnsi="仿宋_GB2312" w:eastAsia="仿宋_GB2312" w:cs="仿宋_GB2312"/>
          <w:b w:val="0"/>
          <w:bCs w:val="0"/>
          <w:color w:val="000000" w:themeColor="text1"/>
          <w:sz w:val="32"/>
          <w:szCs w:val="32"/>
          <w14:textFill>
            <w14:solidFill>
              <w14:schemeClr w14:val="tx1"/>
            </w14:solidFill>
          </w14:textFill>
        </w:rPr>
        <w:t>执法人员持证上岗和资格管理制度，规范各执法部门行政裁量权。</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14:textFill>
            <w14:solidFill>
              <w14:schemeClr w14:val="tx1"/>
            </w14:solidFill>
          </w14:textFill>
        </w:rPr>
        <w:t>牵头单位：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司法局）</w:t>
      </w:r>
    </w:p>
    <w:p>
      <w:pPr>
        <w:keepNext w:val="0"/>
        <w:keepLines w:val="0"/>
        <w:pageBreakBefore w:val="0"/>
        <w:widowControl w:val="0"/>
        <w:kinsoku/>
        <w:wordWrap/>
        <w:overflowPunct/>
        <w:topLinePunct w:val="0"/>
        <w:autoSpaceDE/>
        <w:autoSpaceDN/>
        <w:bidi w:val="0"/>
        <w:adjustRightInd/>
        <w:snapToGrid/>
        <w:spacing w:line="600" w:lineRule="exact"/>
        <w:ind w:right="160" w:firstLine="640" w:firstLineChars="200"/>
        <w:jc w:val="both"/>
        <w:textAlignment w:val="auto"/>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1</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14:textFill>
            <w14:solidFill>
              <w14:schemeClr w14:val="tx1"/>
            </w14:solidFill>
          </w14:textFill>
        </w:rPr>
        <w:t>.围绕危险化学品、道路交通、城镇燃气、自建房、工商贸、消防、九小场所等重点行业领域，研究制定专项整治方案，深入开展隐患排查治理，严厉查处安全生产</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和消防</w:t>
      </w:r>
      <w:r>
        <w:rPr>
          <w:rFonts w:hint="eastAsia" w:ascii="仿宋_GB2312" w:hAnsi="仿宋_GB2312" w:eastAsia="仿宋_GB2312" w:cs="仿宋_GB2312"/>
          <w:b w:val="0"/>
          <w:bCs w:val="0"/>
          <w:color w:val="000000" w:themeColor="text1"/>
          <w:sz w:val="32"/>
          <w:szCs w:val="32"/>
          <w14:textFill>
            <w14:solidFill>
              <w14:schemeClr w14:val="tx1"/>
            </w14:solidFill>
          </w14:textFill>
        </w:rPr>
        <w:t>违法违规行为。</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14:textFill>
            <w14:solidFill>
              <w14:schemeClr w14:val="tx1"/>
            </w14:solidFill>
          </w14:textFill>
        </w:rPr>
        <w:t>牵头</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应急局、</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公安局、</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住</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城乡建设局、</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交通运输局、</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县综合行政执法局</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消防</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救援大队</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1</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14:textFill>
            <w14:solidFill>
              <w14:schemeClr w14:val="tx1"/>
            </w14:solidFill>
          </w14:textFill>
        </w:rPr>
        <w:t>.加强医保基金监管规范化建设，强化基金监管智能化应用，严格依法依规查处违法违规使用基金行为，严厉打击欺诈骗保</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违法行为</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14:textFill>
            <w14:solidFill>
              <w14:schemeClr w14:val="tx1"/>
            </w14:solidFill>
          </w14:textFill>
        </w:rPr>
        <w:t>牵头</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医保局）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b w:val="0"/>
          <w:bCs w:val="0"/>
          <w:color w:val="000000" w:themeColor="text1"/>
          <w:sz w:val="32"/>
          <w:szCs w:val="32"/>
          <w14:textFill>
            <w14:solidFill>
              <w14:schemeClr w14:val="tx1"/>
            </w14:solidFill>
          </w14:textFill>
        </w:rPr>
        <w:t>.落实文化市场综合行政执法事项目录清单，强化对文化、出版、旅游、广播等重点领域专项治理，严厉打击侵权盗版行为、低俗出版物和非法有害少儿出版物等</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违法行为</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牵头</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文化和旅游局、</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县综合行政执法局</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18</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楷体_GB2312" w:eastAsia="仿宋_GB2312" w:cs="楷体_GB2312"/>
          <w:b w:val="0"/>
          <w:bCs w:val="0"/>
          <w:color w:val="000000" w:themeColor="text1"/>
          <w:sz w:val="32"/>
          <w:szCs w:val="32"/>
          <w14:textFill>
            <w14:solidFill>
              <w14:schemeClr w14:val="tx1"/>
            </w14:solidFill>
          </w14:textFill>
        </w:rPr>
        <w:t>积极探索水行政执法网格化管理</w:t>
      </w:r>
      <w:r>
        <w:rPr>
          <w:rFonts w:hint="eastAsia" w:ascii="仿宋_GB2312" w:hAnsi="仿宋_GB2312" w:eastAsia="仿宋_GB2312" w:cs="仿宋_GB2312"/>
          <w:b w:val="0"/>
          <w:bCs w:val="0"/>
          <w:color w:val="000000" w:themeColor="text1"/>
          <w:sz w:val="32"/>
          <w:szCs w:val="32"/>
          <w14:textFill>
            <w14:solidFill>
              <w14:schemeClr w14:val="tx1"/>
            </w14:solidFill>
          </w14:textFill>
        </w:rPr>
        <w:t>，强化</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落实</w:t>
      </w:r>
      <w:r>
        <w:rPr>
          <w:rFonts w:hint="eastAsia" w:ascii="仿宋_GB2312" w:hAnsi="仿宋_GB2312" w:eastAsia="仿宋_GB2312" w:cs="仿宋_GB2312"/>
          <w:b w:val="0"/>
          <w:bCs w:val="0"/>
          <w:color w:val="000000" w:themeColor="text1"/>
          <w:sz w:val="32"/>
          <w:szCs w:val="32"/>
          <w14:textFill>
            <w14:solidFill>
              <w14:schemeClr w14:val="tx1"/>
            </w14:solidFill>
          </w14:textFill>
        </w:rPr>
        <w:t>行业监管与综合执法部门协作</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配合机制</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加强整治</w:t>
      </w:r>
      <w:r>
        <w:rPr>
          <w:rFonts w:hint="eastAsia" w:ascii="仿宋_GB2312" w:hAnsi="仿宋_GB2312" w:eastAsia="仿宋_GB2312" w:cs="仿宋_GB2312"/>
          <w:b w:val="0"/>
          <w:bCs w:val="0"/>
          <w:color w:val="000000" w:themeColor="text1"/>
          <w:sz w:val="32"/>
          <w:szCs w:val="32"/>
          <w14:textFill>
            <w14:solidFill>
              <w14:schemeClr w14:val="tx1"/>
            </w14:solidFill>
          </w14:textFill>
        </w:rPr>
        <w:t>违规取用地下水行为。</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牵头</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水利局、</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县综合行政执法局</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bidi w:val="0"/>
        <w:spacing w:line="600" w:lineRule="exact"/>
        <w:ind w:firstLine="640" w:firstLineChars="200"/>
        <w:rPr>
          <w:rFonts w:hint="default" w:ascii="楷体_GB2312" w:eastAsia="楷体_GB2312" w:cs="仿宋_GB2312"/>
          <w:b w:val="0"/>
          <w:bCs w:val="0"/>
          <w:color w:val="000000" w:themeColor="text1"/>
          <w:sz w:val="32"/>
          <w:szCs w:val="32"/>
          <w:lang w:val="en-US" w:eastAsia="zh-CN"/>
          <w14:textFill>
            <w14:solidFill>
              <w14:schemeClr w14:val="tx1"/>
            </w14:solidFill>
          </w14:textFill>
        </w:rPr>
      </w:pPr>
      <w:r>
        <w:rPr>
          <w:rFonts w:hint="eastAsia" w:ascii="仿宋_GB2312" w:hAnsi="楷体_GB2312" w:eastAsia="仿宋_GB2312" w:cs="楷体_GB2312"/>
          <w:b w:val="0"/>
          <w:bCs w:val="0"/>
          <w:color w:val="000000" w:themeColor="text1"/>
          <w:sz w:val="32"/>
          <w:szCs w:val="32"/>
          <w:lang w:val="en-US" w:eastAsia="zh-CN"/>
          <w14:textFill>
            <w14:solidFill>
              <w14:schemeClr w14:val="tx1"/>
            </w14:solidFill>
          </w14:textFill>
        </w:rPr>
        <w:t>19.加大知识产权监管执法力度，开展打击侵犯知识产权专项行动，严厉整治侵权违法行为。加大涉企收费整治力度，加强对中介机构、交通物流、水电气暖等重点领域的监督检查。</w:t>
      </w:r>
      <w:r>
        <w:rPr>
          <w:rFonts w:hint="eastAsia" w:ascii="楷体_GB2312" w:eastAsia="楷体_GB2312" w:cs="仿宋_GB2312"/>
          <w:b w:val="0"/>
          <w:bCs w:val="0"/>
          <w:color w:val="000000" w:themeColor="text1"/>
          <w:sz w:val="32"/>
          <w:szCs w:val="32"/>
          <w:lang w:val="en-US" w:eastAsia="zh-CN"/>
          <w14:textFill>
            <w14:solidFill>
              <w14:schemeClr w14:val="tx1"/>
            </w14:solidFill>
          </w14:textFill>
        </w:rPr>
        <w:t>（牵头单位：县市场监管局、</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县综合行政执法局</w:t>
      </w:r>
      <w:r>
        <w:rPr>
          <w:rFonts w:hint="eastAsia" w:ascii="楷体_GB2312" w:eastAsia="楷体_GB2312" w:cs="仿宋_GB2312"/>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bidi w:val="0"/>
        <w:spacing w:line="600" w:lineRule="exact"/>
        <w:ind w:firstLine="640" w:firstLineChars="20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楷体_GB2312" w:eastAsia="仿宋_GB2312" w:cs="楷体_GB2312"/>
          <w:b w:val="0"/>
          <w:bCs w:val="0"/>
          <w:color w:val="000000" w:themeColor="text1"/>
          <w:sz w:val="32"/>
          <w:szCs w:val="32"/>
          <w14:textFill>
            <w14:solidFill>
              <w14:schemeClr w14:val="tx1"/>
            </w14:solidFill>
          </w14:textFill>
        </w:rPr>
        <w:t>2</w:t>
      </w:r>
      <w:r>
        <w:rPr>
          <w:rFonts w:hint="eastAsia" w:ascii="仿宋_GB2312" w:hAnsi="楷体_GB2312" w:eastAsia="仿宋_GB2312" w:cs="楷体_GB2312"/>
          <w:b w:val="0"/>
          <w:bCs w:val="0"/>
          <w:color w:val="000000" w:themeColor="text1"/>
          <w:sz w:val="32"/>
          <w:szCs w:val="32"/>
          <w:lang w:val="en-US" w:eastAsia="zh-CN"/>
          <w14:textFill>
            <w14:solidFill>
              <w14:schemeClr w14:val="tx1"/>
            </w14:solidFill>
          </w14:textFill>
        </w:rPr>
        <w:t>0</w:t>
      </w:r>
      <w:r>
        <w:rPr>
          <w:rFonts w:hint="eastAsia" w:ascii="仿宋_GB2312" w:hAnsi="楷体_GB2312" w:eastAsia="仿宋_GB2312" w:cs="楷体_GB2312"/>
          <w:b w:val="0"/>
          <w:bCs w:val="0"/>
          <w:color w:val="000000" w:themeColor="text1"/>
          <w:sz w:val="32"/>
          <w:szCs w:val="32"/>
          <w14:textFill>
            <w14:solidFill>
              <w14:schemeClr w14:val="tx1"/>
            </w14:solidFill>
          </w14:textFill>
        </w:rPr>
        <w:t>.健全卫生监督执法工作体系，加强卫生监督执法人员能力建设，加大对群众关心的社会热点和难点领域的个案监督检查力度，</w:t>
      </w:r>
      <w:r>
        <w:rPr>
          <w:rFonts w:hint="eastAsia" w:ascii="仿宋_GB2312" w:hAnsi="楷体_GB2312" w:eastAsia="仿宋_GB2312" w:cs="楷体_GB2312"/>
          <w:b w:val="0"/>
          <w:bCs w:val="0"/>
          <w:color w:val="000000" w:themeColor="text1"/>
          <w:sz w:val="32"/>
          <w:szCs w:val="32"/>
          <w:lang w:val="en-US" w:eastAsia="zh-CN"/>
          <w14:textFill>
            <w14:solidFill>
              <w14:schemeClr w14:val="tx1"/>
            </w14:solidFill>
          </w14:textFill>
        </w:rPr>
        <w:t>采取</w:t>
      </w:r>
      <w:r>
        <w:rPr>
          <w:rFonts w:hint="eastAsia" w:ascii="仿宋_GB2312" w:hAnsi="楷体_GB2312" w:eastAsia="仿宋_GB2312" w:cs="楷体_GB2312"/>
          <w:b w:val="0"/>
          <w:bCs w:val="0"/>
          <w:color w:val="000000" w:themeColor="text1"/>
          <w:sz w:val="32"/>
          <w:szCs w:val="32"/>
          <w14:textFill>
            <w14:solidFill>
              <w14:schemeClr w14:val="tx1"/>
            </w14:solidFill>
          </w14:textFill>
        </w:rPr>
        <w:t>日常巡查和专项督查相结合，实现监督执法协作联动、精准高效。</w:t>
      </w:r>
      <w:r>
        <w:rPr>
          <w:rFonts w:hint="eastAsia" w:ascii="楷体_GB2312" w:eastAsia="楷体_GB2312" w:cs="仿宋_GB2312"/>
          <w:b w:val="0"/>
          <w:bCs w:val="0"/>
          <w:color w:val="000000" w:themeColor="text1"/>
          <w:sz w:val="32"/>
          <w:szCs w:val="32"/>
          <w14:textFill>
            <w14:solidFill>
              <w14:schemeClr w14:val="tx1"/>
            </w14:solidFill>
          </w14:textFill>
        </w:rPr>
        <w:t>（</w:t>
      </w:r>
      <w:r>
        <w:rPr>
          <w:rFonts w:hint="eastAsia" w:ascii="楷体_GB2312" w:eastAsia="楷体_GB2312" w:cs="仿宋_GB2312"/>
          <w:b w:val="0"/>
          <w:bCs w:val="0"/>
          <w:color w:val="000000" w:themeColor="text1"/>
          <w:sz w:val="32"/>
          <w:szCs w:val="32"/>
          <w:lang w:eastAsia="zh-CN"/>
          <w14:textFill>
            <w14:solidFill>
              <w14:schemeClr w14:val="tx1"/>
            </w14:solidFill>
          </w14:textFill>
        </w:rPr>
        <w:t>牵头</w:t>
      </w:r>
      <w:r>
        <w:rPr>
          <w:rFonts w:hint="eastAsia" w:ascii="楷体_GB2312" w:eastAsia="楷体_GB2312" w:cs="仿宋_GB2312"/>
          <w:b w:val="0"/>
          <w:bCs w:val="0"/>
          <w:color w:val="000000" w:themeColor="text1"/>
          <w:sz w:val="32"/>
          <w:szCs w:val="32"/>
          <w14:textFill>
            <w14:solidFill>
              <w14:schemeClr w14:val="tx1"/>
            </w14:solidFill>
          </w14:textFill>
        </w:rPr>
        <w:t>单位：</w:t>
      </w:r>
      <w:r>
        <w:rPr>
          <w:rFonts w:hint="eastAsia" w:ascii="楷体_GB2312" w:eastAsia="楷体_GB2312" w:cs="仿宋_GB2312"/>
          <w:b w:val="0"/>
          <w:bCs w:val="0"/>
          <w:color w:val="000000" w:themeColor="text1"/>
          <w:sz w:val="32"/>
          <w:szCs w:val="32"/>
          <w:lang w:val="en-US" w:eastAsia="zh-CN"/>
          <w14:textFill>
            <w14:solidFill>
              <w14:schemeClr w14:val="tx1"/>
            </w14:solidFill>
          </w14:textFill>
        </w:rPr>
        <w:t>县</w:t>
      </w:r>
      <w:r>
        <w:rPr>
          <w:rFonts w:hint="eastAsia" w:ascii="楷体_GB2312" w:eastAsia="楷体_GB2312" w:cs="仿宋_GB2312"/>
          <w:b w:val="0"/>
          <w:bCs w:val="0"/>
          <w:color w:val="000000" w:themeColor="text1"/>
          <w:sz w:val="32"/>
          <w:szCs w:val="32"/>
          <w14:textFill>
            <w14:solidFill>
              <w14:schemeClr w14:val="tx1"/>
            </w14:solidFill>
          </w14:textFill>
        </w:rPr>
        <w:t>卫生健康</w:t>
      </w:r>
      <w:r>
        <w:rPr>
          <w:rFonts w:hint="eastAsia" w:ascii="楷体_GB2312" w:eastAsia="楷体_GB2312" w:cs="仿宋_GB2312"/>
          <w:b w:val="0"/>
          <w:bCs w:val="0"/>
          <w:color w:val="000000" w:themeColor="text1"/>
          <w:sz w:val="32"/>
          <w:szCs w:val="32"/>
          <w:lang w:val="en-US" w:eastAsia="zh-CN"/>
          <w14:textFill>
            <w14:solidFill>
              <w14:schemeClr w14:val="tx1"/>
            </w14:solidFill>
          </w14:textFill>
        </w:rPr>
        <w:t>局、</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县综合行政执法局</w:t>
      </w:r>
      <w:r>
        <w:rPr>
          <w:rFonts w:hint="eastAsia" w:ascii="楷体_GB2312" w:eastAsia="楷体_GB2312" w:cs="仿宋_GB2312"/>
          <w:b w:val="0"/>
          <w:bCs w:val="0"/>
          <w:color w:val="000000" w:themeColor="text1"/>
          <w:sz w:val="32"/>
          <w:szCs w:val="32"/>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b w:val="0"/>
          <w:bCs w:val="0"/>
          <w:color w:val="000000" w:themeColor="text1"/>
          <w:sz w:val="32"/>
          <w:szCs w:val="32"/>
          <w14:textFill>
            <w14:solidFill>
              <w14:schemeClr w14:val="tx1"/>
            </w14:solidFill>
          </w14:textFill>
        </w:rPr>
        <w:t>健全完善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公安领域</w:t>
      </w:r>
      <w:r>
        <w:rPr>
          <w:rFonts w:hint="eastAsia" w:ascii="仿宋_GB2312" w:hAnsi="仿宋_GB2312" w:eastAsia="仿宋_GB2312" w:cs="仿宋_GB2312"/>
          <w:b w:val="0"/>
          <w:bCs w:val="0"/>
          <w:color w:val="000000" w:themeColor="text1"/>
          <w:sz w:val="32"/>
          <w:szCs w:val="32"/>
          <w14:textFill>
            <w14:solidFill>
              <w14:schemeClr w14:val="tx1"/>
            </w14:solidFill>
          </w14:textFill>
        </w:rPr>
        <w:t>执法质量考评机制，优化考评标准办法，发挥执法质量考评工作“指挥棒”作用。</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落实</w:t>
      </w:r>
      <w:r>
        <w:rPr>
          <w:rFonts w:hint="eastAsia" w:ascii="仿宋_GB2312" w:hAnsi="仿宋_GB2312" w:eastAsia="仿宋_GB2312" w:cs="仿宋_GB2312"/>
          <w:b w:val="0"/>
          <w:bCs w:val="0"/>
          <w:color w:val="000000" w:themeColor="text1"/>
          <w:sz w:val="32"/>
          <w:szCs w:val="32"/>
          <w14:textFill>
            <w14:solidFill>
              <w14:schemeClr w14:val="tx1"/>
            </w14:solidFill>
          </w14:textFill>
        </w:rPr>
        <w:t>以执法质量、执法效率和执法效果为基本内容的执法绩效考评机制，探索实行执法办案积分制考核模式。</w:t>
      </w:r>
      <w:r>
        <w:rPr>
          <w:rFonts w:hint="eastAsia" w:ascii="楷体_GB2312" w:eastAsia="楷体_GB2312" w:cs="仿宋_GB2312"/>
          <w:b w:val="0"/>
          <w:bCs w:val="0"/>
          <w:color w:val="000000" w:themeColor="text1"/>
          <w:sz w:val="32"/>
          <w:szCs w:val="32"/>
          <w:lang w:val="en-US" w:eastAsia="zh-CN"/>
          <w14:textFill>
            <w14:solidFill>
              <w14:schemeClr w14:val="tx1"/>
            </w14:solidFill>
          </w14:textFill>
        </w:rPr>
        <w:t>（牵头单位：县公安局）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.及时建议行政机关移送相关线索，主动应用“两法衔接”信息共享平台，推进信息共享机制化、案件移送标准化和程序规范化。</w:t>
      </w:r>
      <w:r>
        <w:rPr>
          <w:rFonts w:hint="eastAsia" w:ascii="楷体_GB2312" w:eastAsia="楷体_GB2312" w:cs="仿宋_GB2312"/>
          <w:b w:val="0"/>
          <w:bCs w:val="0"/>
          <w:color w:val="000000" w:themeColor="text1"/>
          <w:sz w:val="32"/>
          <w:szCs w:val="32"/>
          <w:lang w:val="en-US" w:eastAsia="zh-CN"/>
          <w14:textFill>
            <w14:solidFill>
              <w14:schemeClr w14:val="tx1"/>
            </w14:solidFill>
          </w14:textFill>
        </w:rPr>
        <w:t>（牵头单位：县检察院）</w:t>
      </w:r>
    </w:p>
    <w:p>
      <w:pPr>
        <w:keepNext w:val="0"/>
        <w:keepLines w:val="0"/>
        <w:pageBreakBefore w:val="0"/>
        <w:widowControl w:val="0"/>
        <w:kinsoku/>
        <w:wordWrap/>
        <w:overflowPunct/>
        <w:topLinePunct w:val="0"/>
        <w:autoSpaceDE/>
        <w:autoSpaceDN/>
        <w:bidi w:val="0"/>
        <w:adjustRightInd/>
        <w:snapToGrid/>
        <w:spacing w:line="600" w:lineRule="exact"/>
        <w:ind w:right="160" w:firstLine="640" w:firstLineChars="200"/>
        <w:jc w:val="both"/>
        <w:textAlignment w:val="auto"/>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pPr>
      <w:r>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t>五、完善应急管理制度机制</w:t>
      </w:r>
    </w:p>
    <w:p>
      <w:pPr>
        <w:keepNext w:val="0"/>
        <w:keepLines w:val="0"/>
        <w:pageBreakBefore w:val="0"/>
        <w:widowControl w:val="0"/>
        <w:kinsoku/>
        <w:wordWrap/>
        <w:overflowPunct/>
        <w:topLinePunct w:val="0"/>
        <w:autoSpaceDE/>
        <w:autoSpaceDN/>
        <w:bidi w:val="0"/>
        <w:adjustRightInd/>
        <w:snapToGrid/>
        <w:spacing w:line="600" w:lineRule="exact"/>
        <w:ind w:right="160" w:firstLine="640" w:firstLineChars="200"/>
        <w:jc w:val="both"/>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14:textFill>
            <w14:solidFill>
              <w14:schemeClr w14:val="tx1"/>
            </w14:solidFill>
          </w14:textFill>
        </w:rPr>
        <w:t>.制定202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14:textFill>
            <w14:solidFill>
              <w14:schemeClr w14:val="tx1"/>
            </w14:solidFill>
          </w14:textFill>
        </w:rPr>
        <w:t>年度应急演练计划，采取多种方式开展应急演练，加强专业救援队伍和社会应急力量建设，提高灾害事故应急处置能力，全面做好应急救援准备。</w:t>
      </w:r>
      <w:r>
        <w:rPr>
          <w:rFonts w:hint="eastAsia" w:ascii="楷体_GB2312" w:eastAsia="楷体_GB2312" w:cs="仿宋_GB2312"/>
          <w:b w:val="0"/>
          <w:bCs w:val="0"/>
          <w:color w:val="000000" w:themeColor="text1"/>
          <w:sz w:val="32"/>
          <w:szCs w:val="32"/>
          <w:lang w:val="en-US" w:eastAsia="zh-CN"/>
          <w14:textFill>
            <w14:solidFill>
              <w14:schemeClr w14:val="tx1"/>
            </w14:solidFill>
          </w14:textFill>
        </w:rPr>
        <w:t>（牵头单位：县应急局）</w:t>
      </w:r>
    </w:p>
    <w:p>
      <w:pPr>
        <w:keepNext w:val="0"/>
        <w:keepLines w:val="0"/>
        <w:pageBreakBefore w:val="0"/>
        <w:widowControl w:val="0"/>
        <w:kinsoku/>
        <w:wordWrap/>
        <w:overflowPunct/>
        <w:topLinePunct w:val="0"/>
        <w:autoSpaceDE/>
        <w:autoSpaceDN/>
        <w:bidi w:val="0"/>
        <w:adjustRightInd/>
        <w:snapToGrid/>
        <w:spacing w:line="600" w:lineRule="exact"/>
        <w:ind w:right="160" w:firstLine="640" w:firstLineChars="200"/>
        <w:jc w:val="both"/>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14:textFill>
            <w14:solidFill>
              <w14:schemeClr w14:val="tx1"/>
            </w14:solidFill>
          </w14:textFill>
        </w:rPr>
        <w:t>.依托省自然灾害监测预警系统和市应急指挥系统，实现对自然灾害风险的动态评估、科学研判和精准预警。配合省</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市</w:t>
      </w:r>
      <w:r>
        <w:rPr>
          <w:rFonts w:hint="eastAsia" w:ascii="仿宋_GB2312" w:hAnsi="仿宋_GB2312" w:eastAsia="仿宋_GB2312" w:cs="仿宋_GB2312"/>
          <w:b w:val="0"/>
          <w:bCs w:val="0"/>
          <w:color w:val="000000" w:themeColor="text1"/>
          <w:sz w:val="32"/>
          <w:szCs w:val="32"/>
          <w14:textFill>
            <w14:solidFill>
              <w14:schemeClr w14:val="tx1"/>
            </w14:solidFill>
          </w14:textFill>
        </w:rPr>
        <w:t>普查办做好自然灾害风险区划评估划分，推动全</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b w:val="0"/>
          <w:bCs w:val="0"/>
          <w:color w:val="000000" w:themeColor="text1"/>
          <w:sz w:val="32"/>
          <w:szCs w:val="32"/>
          <w14:textFill>
            <w14:solidFill>
              <w14:schemeClr w14:val="tx1"/>
            </w14:solidFill>
          </w14:textFill>
        </w:rPr>
        <w:t>灾害综合风险普查重点隐患治理。</w:t>
      </w:r>
      <w:r>
        <w:rPr>
          <w:rFonts w:hint="eastAsia" w:ascii="楷体_GB2312" w:eastAsia="楷体_GB2312" w:cs="仿宋_GB2312"/>
          <w:b w:val="0"/>
          <w:bCs w:val="0"/>
          <w:color w:val="000000" w:themeColor="text1"/>
          <w:sz w:val="32"/>
          <w:szCs w:val="32"/>
          <w:lang w:val="en-US" w:eastAsia="zh-CN"/>
          <w14:textFill>
            <w14:solidFill>
              <w14:schemeClr w14:val="tx1"/>
            </w14:solidFill>
          </w14:textFill>
        </w:rPr>
        <w:t>（牵头单位：县应急局，县自然资源和规划局、县水利局、县农业农村局、县大数据局、县气象局、县地震监测中心）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建立县级专业应急救援队伍。指</w:t>
      </w:r>
      <w:r>
        <w:rPr>
          <w:rFonts w:hint="eastAsia" w:ascii="仿宋_GB2312" w:hAnsi="仿宋_GB2312" w:eastAsia="仿宋_GB2312" w:cs="仿宋_GB2312"/>
          <w:b w:val="0"/>
          <w:bCs w:val="0"/>
          <w:color w:val="000000" w:themeColor="text1"/>
          <w:sz w:val="32"/>
          <w:szCs w:val="32"/>
          <w14:textFill>
            <w14:solidFill>
              <w14:schemeClr w14:val="tx1"/>
            </w14:solidFill>
          </w14:textFill>
        </w:rPr>
        <w:t>导各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乡镇（街道）、经济开发区</w:t>
      </w:r>
      <w:r>
        <w:rPr>
          <w:rFonts w:hint="eastAsia" w:ascii="仿宋_GB2312" w:hAnsi="仿宋_GB2312" w:eastAsia="仿宋_GB2312" w:cs="仿宋_GB2312"/>
          <w:b w:val="0"/>
          <w:bCs w:val="0"/>
          <w:color w:val="000000" w:themeColor="text1"/>
          <w:sz w:val="32"/>
          <w:szCs w:val="32"/>
          <w14:textFill>
            <w14:solidFill>
              <w14:schemeClr w14:val="tx1"/>
            </w14:solidFill>
          </w14:textFill>
        </w:rPr>
        <w:t>立足行业领域风险特点，</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加强应急体系建设</w:t>
      </w:r>
      <w:r>
        <w:rPr>
          <w:rFonts w:hint="eastAsia" w:ascii="仿宋_GB2312" w:hAnsi="仿宋_GB2312" w:eastAsia="仿宋_GB2312" w:cs="仿宋_GB2312"/>
          <w:b w:val="0"/>
          <w:bCs w:val="0"/>
          <w:color w:val="000000" w:themeColor="text1"/>
          <w:sz w:val="32"/>
          <w:szCs w:val="32"/>
          <w14:textFill>
            <w14:solidFill>
              <w14:schemeClr w14:val="tx1"/>
            </w14:solidFill>
          </w14:textFill>
        </w:rPr>
        <w:t>，进一步提升基层自救互救能力和先期应急处置能力。</w:t>
      </w:r>
      <w:r>
        <w:rPr>
          <w:rFonts w:hint="eastAsia" w:ascii="楷体_GB2312" w:eastAsia="楷体_GB2312" w:cs="仿宋_GB2312"/>
          <w:b w:val="0"/>
          <w:bCs w:val="0"/>
          <w:color w:val="000000" w:themeColor="text1"/>
          <w:sz w:val="32"/>
          <w:szCs w:val="32"/>
          <w:lang w:val="en-US" w:eastAsia="zh-CN"/>
          <w14:textFill>
            <w14:solidFill>
              <w14:schemeClr w14:val="tx1"/>
            </w14:solidFill>
          </w14:textFill>
        </w:rPr>
        <w:t>（牵头单位：县应急局、县住房城乡建设局、县交通运输局）</w:t>
      </w:r>
    </w:p>
    <w:p>
      <w:pPr>
        <w:pStyle w:val="11"/>
        <w:keepNext w:val="0"/>
        <w:keepLines w:val="0"/>
        <w:pageBreakBefore w:val="0"/>
        <w:widowControl w:val="0"/>
        <w:kinsoku/>
        <w:wordWrap/>
        <w:overflowPunct/>
        <w:topLinePunct w:val="0"/>
        <w:bidi w:val="0"/>
        <w:spacing w:line="600" w:lineRule="exact"/>
        <w:ind w:firstLine="680" w:firstLineChars="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编制</w:t>
      </w:r>
      <w:r>
        <w:rPr>
          <w:rFonts w:hint="eastAsia" w:ascii="仿宋_GB2312" w:hAnsi="仿宋_GB2312" w:cs="仿宋_GB2312"/>
          <w:b w:val="0"/>
          <w:bCs w:val="0"/>
          <w:color w:val="000000" w:themeColor="text1"/>
          <w:w w:val="99"/>
          <w:sz w:val="32"/>
          <w:szCs w:val="32"/>
          <w:lang w:val="en-US" w:eastAsia="zh-CN"/>
          <w14:textFill>
            <w14:solidFill>
              <w14:schemeClr w14:val="tx1"/>
            </w14:solidFill>
          </w14:textFill>
        </w:rPr>
        <w:t>2023</w:t>
      </w:r>
      <w:r>
        <w:rPr>
          <w:rFonts w:hint="eastAsia" w:ascii="仿宋_GB2312" w:hAnsi="仿宋_GB2312" w:eastAsia="仿宋_GB2312" w:cs="仿宋_GB2312"/>
          <w:b w:val="0"/>
          <w:bCs w:val="0"/>
          <w:color w:val="000000" w:themeColor="text1"/>
          <w:w w:val="99"/>
          <w:sz w:val="32"/>
          <w:szCs w:val="32"/>
          <w14:textFill>
            <w14:solidFill>
              <w14:schemeClr w14:val="tx1"/>
            </w14:solidFill>
          </w14:textFill>
        </w:rPr>
        <w:t>年度</w:t>
      </w:r>
      <w:r>
        <w:rPr>
          <w:rFonts w:hint="eastAsia" w:ascii="仿宋_GB2312" w:hAnsi="仿宋_GB2312" w:cs="仿宋_GB2312"/>
          <w:b w:val="0"/>
          <w:bCs w:val="0"/>
          <w:color w:val="000000" w:themeColor="text1"/>
          <w:w w:val="99"/>
          <w:sz w:val="32"/>
          <w:szCs w:val="32"/>
          <w:lang w:val="en-US" w:eastAsia="zh-CN"/>
          <w14:textFill>
            <w14:solidFill>
              <w14:schemeClr w14:val="tx1"/>
            </w14:solidFill>
          </w14:textFill>
        </w:rPr>
        <w:t>冠县</w:t>
      </w:r>
      <w:r>
        <w:rPr>
          <w:rFonts w:hint="eastAsia" w:ascii="仿宋_GB2312" w:hAnsi="仿宋_GB2312" w:eastAsia="仿宋_GB2312" w:cs="仿宋_GB2312"/>
          <w:b w:val="0"/>
          <w:bCs w:val="0"/>
          <w:color w:val="000000" w:themeColor="text1"/>
          <w:w w:val="99"/>
          <w:sz w:val="32"/>
          <w:szCs w:val="32"/>
          <w14:textFill>
            <w14:solidFill>
              <w14:schemeClr w14:val="tx1"/>
            </w14:solidFill>
          </w14:textFill>
        </w:rPr>
        <w:t>地质灾害防治方案，</w:t>
      </w:r>
      <w:r>
        <w:rPr>
          <w:rFonts w:hint="eastAsia" w:ascii="仿宋_GB2312" w:hAnsi="仿宋_GB2312" w:cs="仿宋_GB2312"/>
          <w:b w:val="0"/>
          <w:bCs w:val="0"/>
          <w:color w:val="000000" w:themeColor="text1"/>
          <w14:textFill>
            <w14:solidFill>
              <w14:schemeClr w14:val="tx1"/>
            </w14:solidFill>
          </w14:textFill>
        </w:rPr>
        <w:t>开展林业有害生物防治检疫和森林草地防火巡护、火源管理、防火设施建设等工作，推动国有林场开展防火宣传教育、防火监测预警、督促检查等工作</w:t>
      </w:r>
      <w:r>
        <w:rPr>
          <w:rFonts w:hint="eastAsia" w:ascii="仿宋_GB2312" w:hAnsi="仿宋_GB2312" w:cs="仿宋_GB2312"/>
          <w:b w:val="0"/>
          <w:bCs w:val="0"/>
          <w:color w:val="000000" w:themeColor="text1"/>
          <w:lang w:eastAsia="zh-CN"/>
          <w14:textFill>
            <w14:solidFill>
              <w14:schemeClr w14:val="tx1"/>
            </w14:solidFill>
          </w14:textFill>
        </w:rPr>
        <w:t>。</w:t>
      </w:r>
      <w:r>
        <w:rPr>
          <w:rFonts w:hint="eastAsia" w:ascii="楷体_GB2312" w:hAnsi="仿宋_GB2312" w:eastAsia="楷体_GB2312" w:cs="仿宋_GB2312"/>
          <w:b w:val="0"/>
          <w:bCs w:val="0"/>
          <w:color w:val="000000" w:themeColor="text1"/>
          <w:lang w:eastAsia="zh-CN"/>
          <w14:textFill>
            <w14:solidFill>
              <w14:schemeClr w14:val="tx1"/>
            </w14:solidFill>
          </w14:textFill>
        </w:rPr>
        <w:t>（牵头单位：</w:t>
      </w:r>
      <w:r>
        <w:rPr>
          <w:rFonts w:hint="eastAsia" w:ascii="楷体_GB2312" w:hAnsi="仿宋_GB2312" w:eastAsia="楷体_GB2312" w:cs="仿宋_GB2312"/>
          <w:b w:val="0"/>
          <w:bCs w:val="0"/>
          <w:color w:val="000000" w:themeColor="text1"/>
          <w:lang w:val="en-US" w:eastAsia="zh-CN"/>
          <w14:textFill>
            <w14:solidFill>
              <w14:schemeClr w14:val="tx1"/>
            </w14:solidFill>
          </w14:textFill>
        </w:rPr>
        <w:t>县林业局、县</w:t>
      </w:r>
      <w:r>
        <w:rPr>
          <w:rFonts w:hint="eastAsia" w:ascii="楷体_GB2312" w:hAnsi="仿宋_GB2312" w:eastAsia="楷体_GB2312" w:cs="仿宋_GB2312"/>
          <w:b w:val="0"/>
          <w:bCs w:val="0"/>
          <w:color w:val="000000" w:themeColor="text1"/>
          <w:lang w:eastAsia="zh-CN"/>
          <w14:textFill>
            <w14:solidFill>
              <w14:schemeClr w14:val="tx1"/>
            </w14:solidFill>
          </w14:textFill>
        </w:rPr>
        <w:t>自然资源和规划局）</w:t>
      </w:r>
    </w:p>
    <w:p>
      <w:pPr>
        <w:keepNext w:val="0"/>
        <w:keepLines w:val="0"/>
        <w:pageBreakBefore w:val="0"/>
        <w:widowControl w:val="0"/>
        <w:kinsoku/>
        <w:wordWrap/>
        <w:overflowPunct/>
        <w:topLinePunct w:val="0"/>
        <w:autoSpaceDE/>
        <w:autoSpaceDN/>
        <w:bidi w:val="0"/>
        <w:adjustRightInd/>
        <w:snapToGrid/>
        <w:spacing w:line="600" w:lineRule="exact"/>
        <w:ind w:right="160" w:firstLine="640" w:firstLineChars="200"/>
        <w:jc w:val="both"/>
        <w:textAlignment w:val="auto"/>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pPr>
      <w:r>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t>六、预防调处化解矛盾纠纷</w:t>
      </w:r>
    </w:p>
    <w:p>
      <w:pPr>
        <w:keepNext w:val="0"/>
        <w:keepLines w:val="0"/>
        <w:pageBreakBefore w:val="0"/>
        <w:widowControl w:val="0"/>
        <w:kinsoku/>
        <w:wordWrap/>
        <w:overflowPunct/>
        <w:topLinePunct w:val="0"/>
        <w:autoSpaceDE/>
        <w:autoSpaceDN/>
        <w:bidi w:val="0"/>
        <w:adjustRightInd/>
        <w:snapToGrid/>
        <w:spacing w:line="600" w:lineRule="exact"/>
        <w:ind w:right="160" w:firstLine="640" w:firstLineChars="200"/>
        <w:jc w:val="both"/>
        <w:textAlignment w:val="auto"/>
        <w:rPr>
          <w:rFonts w:hint="eastAsia" w:ascii="楷体_GB2312" w:hAnsi="仿宋_GB2312" w:eastAsia="楷体_GB2312" w:cs="仿宋_GB2312"/>
          <w:b w:val="0"/>
          <w:bCs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32"/>
          <w:szCs w:val="32"/>
          <w14:textFill>
            <w14:solidFill>
              <w14:schemeClr w14:val="tx1"/>
            </w14:solidFill>
          </w14:textFill>
        </w:rPr>
        <w:t>.建立健全《信访工作条例》配套制度，严格落实首办责任制，依法治理重复信访，健全信访活动中违法行为依法处置工作联动和沟通协调机制，发挥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b w:val="0"/>
          <w:bCs w:val="0"/>
          <w:color w:val="000000" w:themeColor="text1"/>
          <w:sz w:val="32"/>
          <w:szCs w:val="32"/>
          <w14:textFill>
            <w14:solidFill>
              <w14:schemeClr w14:val="tx1"/>
            </w14:solidFill>
          </w14:textFill>
        </w:rPr>
        <w:t>信访领域“两代表一委员”工作室作用，进一步拓宽第三方参与信访问题化解的制度化渠道。</w:t>
      </w:r>
      <w:r>
        <w:rPr>
          <w:rFonts w:hint="eastAsia" w:ascii="楷体_GB2312" w:hAnsi="仿宋_GB2312" w:eastAsia="楷体_GB2312" w:cs="仿宋_GB2312"/>
          <w:b w:val="0"/>
          <w:bCs w:val="0"/>
          <w:color w:val="000000" w:themeColor="text1"/>
          <w:kern w:val="0"/>
          <w:sz w:val="32"/>
          <w:szCs w:val="32"/>
          <w:lang w:val="en-US" w:eastAsia="zh-CN" w:bidi="ar-SA"/>
          <w14:textFill>
            <w14:solidFill>
              <w14:schemeClr w14:val="tx1"/>
            </w14:solidFill>
          </w14:textFill>
        </w:rPr>
        <w:t>（牵头单位：县信访局）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14:textFill>
            <w14:solidFill>
              <w14:schemeClr w14:val="tx1"/>
            </w14:solidFill>
          </w14:textFill>
        </w:rPr>
        <w:t>.加强行政调解工作,</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待</w:t>
      </w:r>
      <w:r>
        <w:rPr>
          <w:rFonts w:hint="eastAsia" w:ascii="仿宋_GB2312" w:hAnsi="仿宋_GB2312" w:eastAsia="仿宋_GB2312" w:cs="仿宋_GB2312"/>
          <w:b w:val="0"/>
          <w:bCs w:val="0"/>
          <w:color w:val="000000" w:themeColor="text1"/>
          <w:sz w:val="32"/>
          <w:szCs w:val="32"/>
          <w14:textFill>
            <w14:solidFill>
              <w14:schemeClr w14:val="tx1"/>
            </w14:solidFill>
          </w14:textFill>
        </w:rPr>
        <w:t>《山东省行政调解工作办法》</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出台后加强落实</w:t>
      </w:r>
      <w:r>
        <w:rPr>
          <w:rFonts w:hint="eastAsia" w:ascii="仿宋_GB2312" w:hAnsi="仿宋_GB2312" w:eastAsia="仿宋_GB2312" w:cs="仿宋_GB2312"/>
          <w:b w:val="0"/>
          <w:bCs w:val="0"/>
          <w:color w:val="000000" w:themeColor="text1"/>
          <w:sz w:val="32"/>
          <w:szCs w:val="32"/>
          <w14:textFill>
            <w14:solidFill>
              <w14:schemeClr w14:val="tx1"/>
            </w14:solidFill>
          </w14:textFill>
        </w:rPr>
        <w:t>，指导</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b w:val="0"/>
          <w:bCs w:val="0"/>
          <w:color w:val="000000" w:themeColor="text1"/>
          <w:sz w:val="32"/>
          <w:szCs w:val="32"/>
          <w14:textFill>
            <w14:solidFill>
              <w14:schemeClr w14:val="tx1"/>
            </w14:solidFill>
          </w14:textFill>
        </w:rPr>
        <w:t>公安局、</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县综合行政执法局</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b w:val="0"/>
          <w:bCs w:val="0"/>
          <w:color w:val="000000" w:themeColor="text1"/>
          <w:sz w:val="32"/>
          <w:szCs w:val="32"/>
          <w14:textFill>
            <w14:solidFill>
              <w14:schemeClr w14:val="tx1"/>
            </w14:solidFill>
          </w14:textFill>
        </w:rPr>
        <w:t>市场监管局、</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b w:val="0"/>
          <w:bCs w:val="0"/>
          <w:color w:val="000000" w:themeColor="text1"/>
          <w:sz w:val="32"/>
          <w:szCs w:val="32"/>
          <w14:textFill>
            <w14:solidFill>
              <w14:schemeClr w14:val="tx1"/>
            </w14:solidFill>
          </w14:textFill>
        </w:rPr>
        <w:t>交通运输局等部门设立行政调解组织，持续推动派出所设</w:t>
      </w:r>
      <w:r>
        <w:rPr>
          <w:rFonts w:hint="eastAsia" w:ascii="仿宋_GB2312" w:hAnsi="仿宋_GB2312" w:eastAsia="仿宋_GB2312" w:cs="仿宋_GB2312"/>
          <w:b w:val="0"/>
          <w:bCs w:val="0"/>
          <w:color w:val="000000" w:themeColor="text1"/>
          <w:w w:val="99"/>
          <w:sz w:val="32"/>
          <w:szCs w:val="32"/>
          <w14:textFill>
            <w14:solidFill>
              <w14:schemeClr w14:val="tx1"/>
            </w14:solidFill>
          </w14:textFill>
        </w:rPr>
        <w:t>立“人民调解室”或“警调室”，依法及时妥善化解矛盾纠纷。</w:t>
      </w:r>
      <w:r>
        <w:rPr>
          <w:rFonts w:hint="eastAsia" w:ascii="楷体_GB2312" w:hAnsi="仿宋_GB2312" w:eastAsia="楷体_GB2312" w:cs="仿宋_GB2312"/>
          <w:b w:val="0"/>
          <w:bCs w:val="0"/>
          <w:color w:val="000000" w:themeColor="text1"/>
          <w:kern w:val="0"/>
          <w:sz w:val="32"/>
          <w:szCs w:val="32"/>
          <w:lang w:val="en-US" w:eastAsia="zh-CN" w:bidi="ar-SA"/>
          <w14:textFill>
            <w14:solidFill>
              <w14:schemeClr w14:val="tx1"/>
            </w14:solidFill>
          </w14:textFill>
        </w:rPr>
        <w:t>（牵头单位：县司法局）</w:t>
      </w:r>
    </w:p>
    <w:p>
      <w:pPr>
        <w:pStyle w:val="11"/>
        <w:keepNext w:val="0"/>
        <w:keepLines w:val="0"/>
        <w:pageBreakBefore w:val="0"/>
        <w:widowControl w:val="0"/>
        <w:kinsoku/>
        <w:wordWrap/>
        <w:overflowPunct/>
        <w:topLinePunct w:val="0"/>
        <w:bidi w:val="0"/>
        <w:spacing w:line="600" w:lineRule="exact"/>
        <w:ind w:firstLine="680" w:firstLineChars="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cs="仿宋_GB2312"/>
          <w:b w:val="0"/>
          <w:bCs w:val="0"/>
          <w:color w:val="000000" w:themeColor="text1"/>
          <w:lang w:val="en-US" w:eastAsia="zh-CN"/>
          <w14:textFill>
            <w14:solidFill>
              <w14:schemeClr w14:val="tx1"/>
            </w14:solidFill>
          </w14:textFill>
        </w:rPr>
        <w:t>29</w:t>
      </w:r>
      <w:r>
        <w:rPr>
          <w:rFonts w:hint="eastAsia" w:ascii="仿宋_GB2312" w:hAnsi="仿宋_GB2312" w:cs="仿宋_GB2312"/>
          <w:b w:val="0"/>
          <w:bCs w:val="0"/>
          <w:color w:val="000000" w:themeColor="text1"/>
          <w14:textFill>
            <w14:solidFill>
              <w14:schemeClr w14:val="tx1"/>
            </w14:solidFill>
          </w14:textFill>
        </w:rPr>
        <w:t>.规范行政复议案件办理流程，坚持存疑受理、繁简分流，及时开展行政复议决定履行监督。加强和规范行政应诉工作，确保行政机关负责人出庭应诉100%</w:t>
      </w:r>
      <w:r>
        <w:rPr>
          <w:rFonts w:hint="eastAsia" w:ascii="仿宋_GB2312" w:hAnsi="仿宋_GB2312" w:cs="仿宋_GB2312"/>
          <w:b w:val="0"/>
          <w:bCs w:val="0"/>
          <w:color w:val="000000" w:themeColor="text1"/>
          <w:lang w:eastAsia="zh-CN"/>
          <w14:textFill>
            <w14:solidFill>
              <w14:schemeClr w14:val="tx1"/>
            </w14:solidFill>
          </w14:textFill>
        </w:rPr>
        <w:t>。</w:t>
      </w:r>
      <w:r>
        <w:rPr>
          <w:rFonts w:hint="eastAsia" w:ascii="仿宋_GB2312" w:hAnsi="仿宋_GB2312" w:cs="仿宋_GB2312"/>
          <w:b w:val="0"/>
          <w:bCs w:val="0"/>
          <w:color w:val="000000" w:themeColor="text1"/>
          <w14:textFill>
            <w14:solidFill>
              <w14:schemeClr w14:val="tx1"/>
            </w14:solidFill>
          </w14:textFill>
        </w:rPr>
        <w:t>部署开展全</w:t>
      </w:r>
      <w:r>
        <w:rPr>
          <w:rFonts w:hint="eastAsia" w:ascii="仿宋_GB2312" w:hAnsi="仿宋_GB2312" w:cs="仿宋_GB2312"/>
          <w:b w:val="0"/>
          <w:bCs w:val="0"/>
          <w:color w:val="000000" w:themeColor="text1"/>
          <w:lang w:val="en-US" w:eastAsia="zh-CN"/>
          <w14:textFill>
            <w14:solidFill>
              <w14:schemeClr w14:val="tx1"/>
            </w14:solidFill>
          </w14:textFill>
        </w:rPr>
        <w:t>县</w:t>
      </w:r>
      <w:r>
        <w:rPr>
          <w:rFonts w:hint="eastAsia" w:ascii="仿宋_GB2312" w:hAnsi="仿宋_GB2312" w:cs="仿宋_GB2312"/>
          <w:b w:val="0"/>
          <w:bCs w:val="0"/>
          <w:color w:val="000000" w:themeColor="text1"/>
          <w14:textFill>
            <w14:solidFill>
              <w14:schemeClr w14:val="tx1"/>
            </w14:solidFill>
          </w14:textFill>
        </w:rPr>
        <w:t>各级国家工作人员旁听庭审活动。</w:t>
      </w:r>
      <w:r>
        <w:rPr>
          <w:rFonts w:hint="eastAsia" w:ascii="楷体_GB2312" w:hAnsi="仿宋_GB2312" w:eastAsia="楷体_GB2312" w:cs="仿宋_GB2312"/>
          <w:b w:val="0"/>
          <w:bCs w:val="0"/>
          <w:color w:val="000000" w:themeColor="text1"/>
          <w14:textFill>
            <w14:solidFill>
              <w14:schemeClr w14:val="tx1"/>
            </w14:solidFill>
          </w14:textFill>
        </w:rPr>
        <w:t>（牵头单位：</w:t>
      </w:r>
      <w:r>
        <w:rPr>
          <w:rFonts w:hint="eastAsia" w:ascii="楷体_GB2312" w:hAnsi="仿宋_GB2312" w:eastAsia="楷体_GB2312" w:cs="仿宋_GB2312"/>
          <w:b w:val="0"/>
          <w:bCs w:val="0"/>
          <w:color w:val="000000" w:themeColor="text1"/>
          <w:lang w:val="en-US" w:eastAsia="zh-CN"/>
          <w14:textFill>
            <w14:solidFill>
              <w14:schemeClr w14:val="tx1"/>
            </w14:solidFill>
          </w14:textFill>
        </w:rPr>
        <w:t>县</w:t>
      </w:r>
      <w:r>
        <w:rPr>
          <w:rFonts w:hint="eastAsia" w:ascii="楷体_GB2312" w:hAnsi="仿宋_GB2312" w:eastAsia="楷体_GB2312" w:cs="仿宋_GB2312"/>
          <w:b w:val="0"/>
          <w:bCs w:val="0"/>
          <w:color w:val="000000" w:themeColor="text1"/>
          <w14:textFill>
            <w14:solidFill>
              <w14:schemeClr w14:val="tx1"/>
            </w14:solidFill>
          </w14:textFill>
        </w:rPr>
        <w:t>司法局）</w:t>
      </w:r>
    </w:p>
    <w:p>
      <w:pPr>
        <w:keepNext w:val="0"/>
        <w:keepLines w:val="0"/>
        <w:pageBreakBefore w:val="0"/>
        <w:widowControl w:val="0"/>
        <w:kinsoku/>
        <w:wordWrap/>
        <w:overflowPunct/>
        <w:topLinePunct w:val="0"/>
        <w:autoSpaceDE/>
        <w:autoSpaceDN/>
        <w:bidi w:val="0"/>
        <w:adjustRightInd/>
        <w:snapToGrid/>
        <w:spacing w:line="600" w:lineRule="exact"/>
        <w:ind w:right="160" w:firstLine="640" w:firstLineChars="200"/>
        <w:jc w:val="both"/>
        <w:textAlignment w:val="auto"/>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pPr>
      <w:r>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t>七、依法规范行政权力运行</w:t>
      </w:r>
    </w:p>
    <w:p>
      <w:pPr>
        <w:keepNext w:val="0"/>
        <w:keepLines w:val="0"/>
        <w:pageBreakBefore w:val="0"/>
        <w:widowControl w:val="0"/>
        <w:kinsoku/>
        <w:wordWrap/>
        <w:overflowPunct/>
        <w:topLinePunct w:val="0"/>
        <w:bidi w:val="0"/>
        <w:spacing w:line="600" w:lineRule="exact"/>
        <w:ind w:right="26" w:firstLine="640" w:firstLineChars="200"/>
        <w:jc w:val="both"/>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3</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.研究制定进一步加强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冠县</w:t>
      </w:r>
      <w:r>
        <w:rPr>
          <w:rFonts w:hint="eastAsia" w:ascii="仿宋_GB2312" w:hAnsi="仿宋_GB2312" w:eastAsia="仿宋_GB2312" w:cs="仿宋_GB2312"/>
          <w:b w:val="0"/>
          <w:bCs w:val="0"/>
          <w:color w:val="000000" w:themeColor="text1"/>
          <w:sz w:val="32"/>
          <w:szCs w:val="32"/>
          <w14:textFill>
            <w14:solidFill>
              <w14:schemeClr w14:val="tx1"/>
            </w14:solidFill>
          </w14:textFill>
        </w:rPr>
        <w:t>财会监督的实施意见，从健全财会监督体系、完善财会监督工作机制、加大重点领域财会监督力度等方面提出具体措施，充分发挥财政、财务、会计领域的监督职能作用。</w:t>
      </w:r>
      <w:r>
        <w:rPr>
          <w:rFonts w:hint="eastAsia" w:ascii="楷体_GB2312" w:hAnsi="仿宋_GB2312" w:eastAsia="楷体_GB2312" w:cs="仿宋_GB2312"/>
          <w:b w:val="0"/>
          <w:bCs w:val="0"/>
          <w:color w:val="000000" w:themeColor="text1"/>
          <w:kern w:val="0"/>
          <w:sz w:val="32"/>
          <w:szCs w:val="32"/>
          <w:lang w:val="en-US" w:eastAsia="zh-CN" w:bidi="ar-SA"/>
          <w14:textFill>
            <w14:solidFill>
              <w14:schemeClr w14:val="tx1"/>
            </w14:solidFill>
          </w14:textFill>
        </w:rPr>
        <w:t>（牵头单位：县财政局）</w:t>
      </w:r>
    </w:p>
    <w:p>
      <w:pPr>
        <w:keepNext w:val="0"/>
        <w:keepLines w:val="0"/>
        <w:pageBreakBefore w:val="0"/>
        <w:widowControl w:val="0"/>
        <w:kinsoku/>
        <w:wordWrap/>
        <w:overflowPunct/>
        <w:topLinePunct w:val="0"/>
        <w:bidi w:val="0"/>
        <w:spacing w:line="600" w:lineRule="exact"/>
        <w:ind w:firstLine="640" w:firstLineChars="20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31</w:t>
      </w:r>
      <w:r>
        <w:rPr>
          <w:rFonts w:hint="eastAsia" w:ascii="仿宋_GB2312" w:hAnsi="仿宋_GB2312" w:eastAsia="仿宋_GB2312" w:cs="仿宋_GB2312"/>
          <w:b w:val="0"/>
          <w:bCs w:val="0"/>
          <w:color w:val="000000" w:themeColor="text1"/>
          <w:sz w:val="32"/>
          <w:szCs w:val="32"/>
          <w14:textFill>
            <w14:solidFill>
              <w14:schemeClr w14:val="tx1"/>
            </w14:solidFill>
          </w14:textFill>
        </w:rPr>
        <w:t>.围绕</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办案发现</w:t>
      </w:r>
      <w:r>
        <w:rPr>
          <w:rFonts w:hint="eastAsia" w:ascii="仿宋_GB2312" w:hAnsi="仿宋_GB2312" w:eastAsia="仿宋_GB2312" w:cs="仿宋_GB2312"/>
          <w:b w:val="0"/>
          <w:bCs w:val="0"/>
          <w:color w:val="000000" w:themeColor="text1"/>
          <w:sz w:val="32"/>
          <w:szCs w:val="32"/>
          <w14:textFill>
            <w14:solidFill>
              <w14:schemeClr w14:val="tx1"/>
            </w14:solidFill>
          </w14:textFill>
        </w:rPr>
        <w:t>的突出问题，制发社会治理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类</w:t>
      </w:r>
      <w:r>
        <w:rPr>
          <w:rFonts w:hint="eastAsia" w:ascii="仿宋_GB2312" w:hAnsi="仿宋_GB2312" w:eastAsia="仿宋_GB2312" w:cs="仿宋_GB2312"/>
          <w:b w:val="0"/>
          <w:bCs w:val="0"/>
          <w:color w:val="000000" w:themeColor="text1"/>
          <w:sz w:val="32"/>
          <w:szCs w:val="32"/>
          <w14:textFill>
            <w14:solidFill>
              <w14:schemeClr w14:val="tx1"/>
            </w14:solidFill>
          </w14:textFill>
        </w:rPr>
        <w:t>检察建议，细化跟踪落实机制，以“我管”促“都管”，促进依法行政、规范执法。</w:t>
      </w:r>
      <w:r>
        <w:rPr>
          <w:rFonts w:hint="eastAsia" w:ascii="楷体_GB2312" w:hAnsi="仿宋_GB2312" w:eastAsia="楷体_GB2312" w:cs="仿宋_GB2312"/>
          <w:b w:val="0"/>
          <w:bCs w:val="0"/>
          <w:color w:val="000000" w:themeColor="text1"/>
          <w:kern w:val="0"/>
          <w:sz w:val="32"/>
          <w:szCs w:val="32"/>
          <w:lang w:val="en-US" w:eastAsia="zh-CN" w:bidi="ar-SA"/>
          <w14:textFill>
            <w14:solidFill>
              <w14:schemeClr w14:val="tx1"/>
            </w14:solidFill>
          </w14:textFill>
        </w:rPr>
        <w:t>（牵头单位：县检察院）</w:t>
      </w:r>
    </w:p>
    <w:p>
      <w:pPr>
        <w:keepNext w:val="0"/>
        <w:keepLines w:val="0"/>
        <w:pageBreakBefore w:val="0"/>
        <w:widowControl w:val="0"/>
        <w:kinsoku/>
        <w:wordWrap/>
        <w:overflowPunct/>
        <w:topLinePunct w:val="0"/>
        <w:bidi w:val="0"/>
        <w:spacing w:line="600" w:lineRule="exact"/>
        <w:ind w:firstLine="640" w:firstLineChars="200"/>
        <w:rPr>
          <w:rFonts w:ascii="楷体_GB2312" w:hAnsi="黑体" w:eastAsia="楷体_GB2312" w:cs="黑体"/>
          <w:b w:val="0"/>
          <w:bCs w:val="0"/>
          <w:color w:val="000000" w:themeColor="text1"/>
          <w:sz w:val="32"/>
          <w:szCs w:val="32"/>
          <w14:textFill>
            <w14:solidFill>
              <w14:schemeClr w14:val="tx1"/>
            </w14:solidFill>
          </w14:textFill>
        </w:rPr>
      </w:pPr>
      <w:r>
        <w:rPr>
          <w:rFonts w:hint="eastAsia" w:ascii="仿宋_GB2312" w:hAnsi="黑体" w:eastAsia="仿宋_GB2312" w:cs="黑体"/>
          <w:b w:val="0"/>
          <w:bCs w:val="0"/>
          <w:color w:val="000000" w:themeColor="text1"/>
          <w:sz w:val="32"/>
          <w:szCs w:val="32"/>
          <w14:textFill>
            <w14:solidFill>
              <w14:schemeClr w14:val="tx1"/>
            </w14:solidFill>
          </w14:textFill>
        </w:rPr>
        <w:t>3</w:t>
      </w:r>
      <w:r>
        <w:rPr>
          <w:rFonts w:hint="eastAsia" w:ascii="仿宋_GB2312" w:hAnsi="黑体" w:eastAsia="仿宋_GB2312" w:cs="黑体"/>
          <w:b w:val="0"/>
          <w:bCs w:val="0"/>
          <w:color w:val="000000" w:themeColor="text1"/>
          <w:sz w:val="32"/>
          <w:szCs w:val="32"/>
          <w:lang w:val="en-US" w:eastAsia="zh-CN"/>
          <w14:textFill>
            <w14:solidFill>
              <w14:schemeClr w14:val="tx1"/>
            </w14:solidFill>
          </w14:textFill>
        </w:rPr>
        <w:t>2</w:t>
      </w:r>
      <w:r>
        <w:rPr>
          <w:rFonts w:hint="eastAsia" w:ascii="仿宋_GB2312" w:hAnsi="黑体" w:eastAsia="仿宋_GB2312" w:cs="黑体"/>
          <w:b w:val="0"/>
          <w:bCs w:val="0"/>
          <w:color w:val="000000" w:themeColor="text1"/>
          <w:sz w:val="32"/>
          <w:szCs w:val="32"/>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14:textFill>
            <w14:solidFill>
              <w14:schemeClr w14:val="tx1"/>
            </w14:solidFill>
          </w14:textFill>
        </w:rPr>
        <w:t>不断优化政府网站建设，全面推进决策、执行、管理、服务、结果全过程公开</w:t>
      </w:r>
      <w:r>
        <w:rPr>
          <w:rFonts w:ascii="Times New Roman" w:hAnsi="Times New Roman" w:eastAsia="仿宋_GB2312" w:cs="Times New Roman"/>
          <w:b w:val="0"/>
          <w:bCs w:val="0"/>
          <w:color w:val="000000" w:themeColor="text1"/>
          <w:sz w:val="32"/>
          <w:szCs w:val="32"/>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14:textFill>
            <w14:solidFill>
              <w14:schemeClr w14:val="tx1"/>
            </w14:solidFill>
          </w14:textFill>
        </w:rPr>
        <w:t>持续</w:t>
      </w:r>
      <w:r>
        <w:rPr>
          <w:rFonts w:ascii="Times New Roman" w:hAnsi="Times New Roman" w:eastAsia="仿宋_GB2312" w:cs="Times New Roman"/>
          <w:b w:val="0"/>
          <w:bCs w:val="0"/>
          <w:color w:val="000000" w:themeColor="text1"/>
          <w:sz w:val="32"/>
          <w:szCs w:val="32"/>
          <w14:textFill>
            <w14:solidFill>
              <w14:schemeClr w14:val="tx1"/>
            </w14:solidFill>
          </w14:textFill>
        </w:rPr>
        <w:t>推进依申请公开标准化规范化建设</w:t>
      </w:r>
      <w:r>
        <w:rPr>
          <w:rFonts w:hint="eastAsia" w:ascii="Times New Roman" w:hAnsi="Times New Roman" w:eastAsia="仿宋_GB2312" w:cs="Times New Roman"/>
          <w:b w:val="0"/>
          <w:bCs w:val="0"/>
          <w:color w:val="000000" w:themeColor="text1"/>
          <w:sz w:val="32"/>
          <w:szCs w:val="32"/>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建立</w:t>
      </w:r>
      <w:r>
        <w:rPr>
          <w:rFonts w:hint="eastAsia" w:ascii="Times New Roman" w:hAnsi="Times New Roman" w:eastAsia="仿宋_GB2312" w:cs="Times New Roman"/>
          <w:b w:val="0"/>
          <w:bCs w:val="0"/>
          <w:color w:val="000000" w:themeColor="text1"/>
          <w:sz w:val="32"/>
          <w:szCs w:val="32"/>
          <w14:textFill>
            <w14:solidFill>
              <w14:schemeClr w14:val="tx1"/>
            </w14:solidFill>
          </w14:textFill>
        </w:rPr>
        <w:t>健全</w:t>
      </w:r>
      <w:r>
        <w:rPr>
          <w:rFonts w:ascii="Times New Roman" w:hAnsi="Times New Roman" w:eastAsia="仿宋_GB2312" w:cs="Times New Roman"/>
          <w:b w:val="0"/>
          <w:bCs w:val="0"/>
          <w:color w:val="000000" w:themeColor="text1"/>
          <w:sz w:val="32"/>
          <w:szCs w:val="32"/>
          <w14:textFill>
            <w14:solidFill>
              <w14:schemeClr w14:val="tx1"/>
            </w14:solidFill>
          </w14:textFill>
        </w:rPr>
        <w:t>公共企事业单位信息公开制度</w:t>
      </w:r>
      <w:r>
        <w:rPr>
          <w:rFonts w:hint="eastAsia" w:ascii="Times New Roman" w:hAnsi="Times New Roman" w:eastAsia="仿宋_GB2312" w:cs="Times New Roman"/>
          <w:b w:val="0"/>
          <w:bCs w:val="0"/>
          <w:color w:val="000000" w:themeColor="text1"/>
          <w:sz w:val="32"/>
          <w:szCs w:val="32"/>
          <w14:textFill>
            <w14:solidFill>
              <w14:schemeClr w14:val="tx1"/>
            </w14:solidFill>
          </w14:textFill>
        </w:rPr>
        <w:t>。</w:t>
      </w:r>
      <w:r>
        <w:rPr>
          <w:rFonts w:ascii="Times New Roman" w:hAnsi="Times New Roman" w:eastAsia="仿宋_GB2312" w:cs="Times New Roman"/>
          <w:b w:val="0"/>
          <w:bCs w:val="0"/>
          <w:color w:val="000000" w:themeColor="text1"/>
          <w:sz w:val="32"/>
          <w:szCs w:val="32"/>
          <w14:textFill>
            <w14:solidFill>
              <w14:schemeClr w14:val="tx1"/>
            </w14:solidFill>
          </w14:textFill>
        </w:rPr>
        <w:t>理顺政务新媒体监管机制</w:t>
      </w:r>
      <w:r>
        <w:rPr>
          <w:rFonts w:hint="eastAsia" w:ascii="Times New Roman" w:hAnsi="Times New Roman" w:eastAsia="仿宋_GB2312" w:cs="Times New Roman"/>
          <w:b w:val="0"/>
          <w:bCs w:val="0"/>
          <w:color w:val="000000" w:themeColor="text1"/>
          <w:sz w:val="32"/>
          <w:szCs w:val="32"/>
          <w14:textFill>
            <w14:solidFill>
              <w14:schemeClr w14:val="tx1"/>
            </w14:solidFill>
          </w14:textFill>
        </w:rPr>
        <w:t>。</w:t>
      </w:r>
      <w:r>
        <w:rPr>
          <w:rFonts w:ascii="Times New Roman" w:hAnsi="Times New Roman" w:eastAsia="仿宋_GB2312" w:cs="Times New Roman"/>
          <w:b w:val="0"/>
          <w:bCs w:val="0"/>
          <w:color w:val="000000" w:themeColor="text1"/>
          <w:sz w:val="32"/>
          <w:szCs w:val="32"/>
          <w14:textFill>
            <w14:solidFill>
              <w14:schemeClr w14:val="tx1"/>
            </w14:solidFill>
          </w14:textFill>
        </w:rPr>
        <w:t>开展政府开放月、</w:t>
      </w:r>
      <w:r>
        <w:rPr>
          <w:rFonts w:hint="eastAsia" w:ascii="Times New Roman" w:hAnsi="Times New Roman" w:eastAsia="仿宋_GB2312" w:cs="Times New Roman"/>
          <w:b w:val="0"/>
          <w:bCs w:val="0"/>
          <w:color w:val="000000" w:themeColor="text1"/>
          <w:sz w:val="32"/>
          <w:szCs w:val="32"/>
          <w14:textFill>
            <w14:solidFill>
              <w14:schemeClr w14:val="tx1"/>
            </w14:solidFill>
          </w14:textFill>
        </w:rPr>
        <w:t>市民代表列席</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县</w:t>
      </w:r>
      <w:r>
        <w:rPr>
          <w:rFonts w:hint="eastAsia" w:ascii="Times New Roman" w:hAnsi="Times New Roman" w:eastAsia="仿宋_GB2312" w:cs="Times New Roman"/>
          <w:b w:val="0"/>
          <w:bCs w:val="0"/>
          <w:color w:val="000000" w:themeColor="text1"/>
          <w:sz w:val="32"/>
          <w:szCs w:val="32"/>
          <w14:textFill>
            <w14:solidFill>
              <w14:schemeClr w14:val="tx1"/>
            </w14:solidFill>
          </w14:textFill>
        </w:rPr>
        <w:t>政府常务会议</w:t>
      </w:r>
      <w:r>
        <w:rPr>
          <w:rFonts w:ascii="Times New Roman" w:hAnsi="Times New Roman" w:eastAsia="仿宋_GB2312" w:cs="Times New Roman"/>
          <w:b w:val="0"/>
          <w:bCs w:val="0"/>
          <w:color w:val="000000" w:themeColor="text1"/>
          <w:sz w:val="32"/>
          <w:szCs w:val="32"/>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14:textFill>
            <w14:solidFill>
              <w14:schemeClr w14:val="tx1"/>
            </w14:solidFill>
          </w14:textFill>
        </w:rPr>
        <w:t>居民公开议事日、</w:t>
      </w:r>
      <w:r>
        <w:rPr>
          <w:rFonts w:ascii="Times New Roman" w:hAnsi="Times New Roman" w:eastAsia="仿宋_GB2312" w:cs="Times New Roman"/>
          <w:b w:val="0"/>
          <w:bCs w:val="0"/>
          <w:color w:val="000000" w:themeColor="text1"/>
          <w:sz w:val="32"/>
          <w:szCs w:val="32"/>
          <w14:textFill>
            <w14:solidFill>
              <w14:schemeClr w14:val="tx1"/>
            </w14:solidFill>
          </w14:textFill>
        </w:rPr>
        <w:t>民生实事看进展等一系列政务公开创新活动，</w:t>
      </w:r>
      <w:r>
        <w:rPr>
          <w:rFonts w:hint="eastAsia" w:ascii="仿宋_GB2312" w:hAnsi="仿宋_GB2312" w:eastAsia="仿宋_GB2312" w:cs="仿宋_GB2312"/>
          <w:b w:val="0"/>
          <w:bCs w:val="0"/>
          <w:color w:val="000000" w:themeColor="text1"/>
          <w:sz w:val="32"/>
          <w:szCs w:val="32"/>
          <w14:textFill>
            <w14:solidFill>
              <w14:schemeClr w14:val="tx1"/>
            </w14:solidFill>
          </w14:textFill>
        </w:rPr>
        <w:t>进一步擦亮政务公开</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冠县</w:t>
      </w:r>
      <w:r>
        <w:rPr>
          <w:rFonts w:hint="eastAsia" w:ascii="仿宋_GB2312" w:hAnsi="仿宋_GB2312" w:eastAsia="仿宋_GB2312" w:cs="仿宋_GB2312"/>
          <w:b w:val="0"/>
          <w:bCs w:val="0"/>
          <w:color w:val="000000" w:themeColor="text1"/>
          <w:sz w:val="32"/>
          <w:szCs w:val="32"/>
          <w14:textFill>
            <w14:solidFill>
              <w14:schemeClr w14:val="tx1"/>
            </w14:solidFill>
          </w14:textFill>
        </w:rPr>
        <w:t>品牌。</w:t>
      </w:r>
      <w:r>
        <w:rPr>
          <w:rFonts w:hint="eastAsia" w:ascii="楷体_GB2312" w:hAnsi="Times New Roman" w:eastAsia="楷体_GB2312" w:cs="Times New Roman"/>
          <w:b w:val="0"/>
          <w:bCs w:val="0"/>
          <w:color w:val="000000" w:themeColor="text1"/>
          <w:sz w:val="32"/>
          <w:szCs w:val="32"/>
          <w14:textFill>
            <w14:solidFill>
              <w14:schemeClr w14:val="tx1"/>
            </w14:solidFill>
          </w14:textFill>
        </w:rPr>
        <w:t>（牵头单位</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14:textFill>
            <w14:solidFill>
              <w14:schemeClr w14:val="tx1"/>
            </w14:solidFill>
          </w14:textFill>
        </w:rPr>
        <w:t>政府办公室）</w:t>
      </w:r>
    </w:p>
    <w:p>
      <w:pPr>
        <w:keepNext w:val="0"/>
        <w:keepLines w:val="0"/>
        <w:pageBreakBefore w:val="0"/>
        <w:widowControl w:val="0"/>
        <w:kinsoku/>
        <w:wordWrap/>
        <w:overflowPunct/>
        <w:topLinePunct w:val="0"/>
        <w:bidi w:val="0"/>
        <w:spacing w:line="600" w:lineRule="exact"/>
        <w:ind w:firstLine="640" w:firstLineChars="200"/>
        <w:rPr>
          <w:rFonts w:hint="eastAsia" w:ascii="楷体_GB2312" w:hAnsi="Times New Roman" w:eastAsia="楷体_GB2312" w:cs="Times New Roman"/>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33</w:t>
      </w:r>
      <w:r>
        <w:rPr>
          <w:rFonts w:hint="eastAsia" w:ascii="仿宋_GB2312" w:hAnsi="仿宋_GB2312" w:eastAsia="仿宋_GB2312" w:cs="仿宋_GB2312"/>
          <w:b w:val="0"/>
          <w:bCs w:val="0"/>
          <w:color w:val="000000" w:themeColor="text1"/>
          <w:sz w:val="32"/>
          <w:szCs w:val="32"/>
          <w14:textFill>
            <w14:solidFill>
              <w14:schemeClr w14:val="tx1"/>
            </w14:solidFill>
          </w14:textFill>
        </w:rPr>
        <w:t>.开展好政策跟踪审计、财政审计、领导干部自然资源资产离任（任中）审计、固定资产（政府）投资审计、领导干部经济责任审计、重点民生资金和乡村振兴审计、国企审计等。</w:t>
      </w:r>
      <w:r>
        <w:rPr>
          <w:rFonts w:hint="eastAsia" w:ascii="楷体_GB2312" w:hAnsi="Times New Roman" w:eastAsia="楷体_GB2312" w:cs="Times New Roman"/>
          <w:b w:val="0"/>
          <w:bCs w:val="0"/>
          <w:color w:val="000000" w:themeColor="text1"/>
          <w:sz w:val="32"/>
          <w:szCs w:val="32"/>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牵头</w:t>
      </w:r>
      <w:r>
        <w:rPr>
          <w:rFonts w:hint="eastAsia" w:ascii="楷体_GB2312" w:hAnsi="Times New Roman" w:eastAsia="楷体_GB2312" w:cs="Times New Roman"/>
          <w:b w:val="0"/>
          <w:bCs w:val="0"/>
          <w:color w:val="000000" w:themeColor="text1"/>
          <w:sz w:val="32"/>
          <w:szCs w:val="32"/>
          <w14:textFill>
            <w14:solidFill>
              <w14:schemeClr w14:val="tx1"/>
            </w14:solidFill>
          </w14:textFill>
        </w:rPr>
        <w:t>单位：</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县</w:t>
      </w:r>
      <w:r>
        <w:rPr>
          <w:rFonts w:hint="eastAsia" w:ascii="楷体_GB2312" w:hAnsi="Times New Roman" w:eastAsia="楷体_GB2312" w:cs="Times New Roman"/>
          <w:b w:val="0"/>
          <w:bCs w:val="0"/>
          <w:color w:val="000000" w:themeColor="text1"/>
          <w:sz w:val="32"/>
          <w:szCs w:val="32"/>
          <w14:textFill>
            <w14:solidFill>
              <w14:schemeClr w14:val="tx1"/>
            </w14:solidFill>
          </w14:textFill>
        </w:rPr>
        <w:t>审计局）</w:t>
      </w:r>
    </w:p>
    <w:p>
      <w:pPr>
        <w:keepNext w:val="0"/>
        <w:keepLines w:val="0"/>
        <w:pageBreakBefore w:val="0"/>
        <w:widowControl w:val="0"/>
        <w:kinsoku/>
        <w:wordWrap/>
        <w:overflowPunct/>
        <w:topLinePunct w:val="0"/>
        <w:bidi w:val="0"/>
        <w:spacing w:line="600" w:lineRule="exact"/>
        <w:ind w:firstLine="640" w:firstLineChars="20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34.协调督促</w:t>
      </w:r>
      <w:r>
        <w:rPr>
          <w:rFonts w:hint="eastAsia" w:ascii="仿宋_GB2312" w:hAnsi="仿宋_GB2312" w:eastAsia="仿宋_GB2312" w:cs="仿宋_GB2312"/>
          <w:b w:val="0"/>
          <w:bCs w:val="0"/>
          <w:color w:val="000000" w:themeColor="text1"/>
          <w:sz w:val="32"/>
          <w:szCs w:val="32"/>
          <w14:textFill>
            <w14:solidFill>
              <w14:schemeClr w14:val="tx1"/>
            </w14:solidFill>
          </w14:textFill>
        </w:rPr>
        <w:t>市场监管、税收管理、进出口、生态环保、劳动保障、医疗保障、医药招采、知识产权保护</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等领域主管部门，按照各部门上级文件要求，建立健全各自行业信用评价制度或贯彻落实本部门上级行业信用评价制度，加快实施具体领域信用分级分类监管。</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（牵头单位：县发展改革局）</w:t>
      </w:r>
    </w:p>
    <w:p>
      <w:pPr>
        <w:keepNext w:val="0"/>
        <w:keepLines w:val="0"/>
        <w:pageBreakBefore w:val="0"/>
        <w:widowControl w:val="0"/>
        <w:kinsoku/>
        <w:wordWrap/>
        <w:overflowPunct/>
        <w:topLinePunct w:val="0"/>
        <w:autoSpaceDE/>
        <w:autoSpaceDN/>
        <w:bidi w:val="0"/>
        <w:adjustRightInd/>
        <w:snapToGrid/>
        <w:spacing w:line="600" w:lineRule="exact"/>
        <w:ind w:right="160" w:firstLine="640" w:firstLineChars="200"/>
        <w:jc w:val="both"/>
        <w:textAlignment w:val="auto"/>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pPr>
      <w:r>
        <w:rPr>
          <w:rFonts w:hint="eastAsia" w:ascii="黑体" w:hAnsi="黑体" w:eastAsia="黑体" w:cs="Arial"/>
          <w:b w:val="0"/>
          <w:bCs w:val="0"/>
          <w:snapToGrid w:val="0"/>
          <w:color w:val="000000" w:themeColor="text1"/>
          <w:kern w:val="0"/>
          <w:sz w:val="32"/>
          <w:szCs w:val="32"/>
          <w:lang w:val="en-US" w:eastAsia="zh-CN"/>
          <w14:textFill>
            <w14:solidFill>
              <w14:schemeClr w14:val="tx1"/>
            </w14:solidFill>
          </w14:textFill>
        </w:rPr>
        <w:t>八、推进数字法治政府建设</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35.大力推广“爱山东”APP应用工作，提升各级各部门为民服务水平，为企业和群众办事提供更多的便利。2023年“爱山东”APP 冠县分厅接入服务事项突破125项。</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（牵头单位：县</w:t>
      </w:r>
      <w:r>
        <w:rPr>
          <w:rFonts w:hint="eastAsia" w:ascii="楷体_GB2312" w:hAnsi="Times New Roman" w:eastAsia="楷体_GB2312" w:cs="Times New Roman"/>
          <w:b w:val="0"/>
          <w:bCs w:val="0"/>
          <w:color w:val="000000" w:themeColor="text1"/>
          <w:sz w:val="32"/>
          <w:szCs w:val="32"/>
          <w14:textFill>
            <w14:solidFill>
              <w14:schemeClr w14:val="tx1"/>
            </w14:solidFill>
          </w14:textFill>
        </w:rPr>
        <w:t>政府办公室</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大数据局</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36.落实推动一体化大数据平台县级节点优化提升建设，建成我县一体化大数据平台县级节点，接入国家、省、市各项数据，提升数据联通能力。</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（牵头单位：县</w:t>
      </w:r>
      <w:r>
        <w:rPr>
          <w:rFonts w:hint="eastAsia" w:ascii="楷体_GB2312" w:hAnsi="Times New Roman" w:eastAsia="楷体_GB2312" w:cs="Times New Roman"/>
          <w:b w:val="0"/>
          <w:bCs w:val="0"/>
          <w:color w:val="000000" w:themeColor="text1"/>
          <w:sz w:val="32"/>
          <w:szCs w:val="32"/>
          <w14:textFill>
            <w14:solidFill>
              <w14:schemeClr w14:val="tx1"/>
            </w14:solidFill>
          </w14:textFill>
        </w:rPr>
        <w:t>政府办公室</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大数据局</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37.持续推进“无证明城市”建设，加快推进电子证照使用，在依法保护国家安全、商业秘密、自然人隐私和个人信息的同时，推进政府和公共服务机构数据开放共享。</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（牵头单位：县</w:t>
      </w:r>
      <w:r>
        <w:rPr>
          <w:rFonts w:hint="eastAsia" w:ascii="楷体_GB2312" w:hAnsi="Times New Roman" w:eastAsia="楷体_GB2312" w:cs="Times New Roman"/>
          <w:b w:val="0"/>
          <w:bCs w:val="0"/>
          <w:color w:val="000000" w:themeColor="text1"/>
          <w:sz w:val="32"/>
          <w:szCs w:val="32"/>
          <w14:textFill>
            <w14:solidFill>
              <w14:schemeClr w14:val="tx1"/>
            </w14:solidFill>
          </w14:textFill>
        </w:rPr>
        <w:t>政府办公室</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r>
        <w:rPr>
          <w:rFonts w:hint="eastAsia" w:ascii="楷体_GB2312" w:hAnsi="Times New Roman" w:eastAsia="楷体_GB2312" w:cs="Times New Roman"/>
          <w:b w:val="0"/>
          <w:bCs w:val="0"/>
          <w:color w:val="000000" w:themeColor="text1"/>
          <w:sz w:val="32"/>
          <w:szCs w:val="32"/>
          <w:lang w:val="en-US" w:eastAsia="zh-CN"/>
          <w14:textFill>
            <w14:solidFill>
              <w14:schemeClr w14:val="tx1"/>
            </w14:solidFill>
          </w14:textFill>
        </w:rPr>
        <w:t>大数据局</w:t>
      </w:r>
      <w:r>
        <w:rPr>
          <w:rFonts w:hint="eastAsia" w:ascii="楷体_GB2312" w:hAnsi="Times New Roman" w:eastAsia="楷体_GB2312"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九、加强法治政府建设领导</w:t>
      </w:r>
    </w:p>
    <w:p>
      <w:pPr>
        <w:keepNext w:val="0"/>
        <w:keepLines w:val="0"/>
        <w:pageBreakBefore w:val="0"/>
        <w:widowControl w:val="0"/>
        <w:kinsoku/>
        <w:wordWrap/>
        <w:overflowPunct/>
        <w:topLinePunct w:val="0"/>
        <w:bidi w:val="0"/>
        <w:spacing w:line="600" w:lineRule="exact"/>
        <w:ind w:firstLine="640" w:firstLineChars="200"/>
        <w:rPr>
          <w:rFonts w:ascii="仿宋_GB2312" w:eastAsia="仿宋_GB2312"/>
          <w:b w:val="0"/>
          <w:bCs w:val="0"/>
          <w:color w:val="000000" w:themeColor="text1"/>
          <w:sz w:val="32"/>
          <w:szCs w:val="32"/>
          <w14:textFill>
            <w14:solidFill>
              <w14:schemeClr w14:val="tx1"/>
            </w14:solidFill>
          </w14:textFill>
        </w:rPr>
      </w:pPr>
      <w:r>
        <w:rPr>
          <w:rFonts w:hint="eastAsia" w:ascii="仿宋_GB2312" w:eastAsia="仿宋_GB2312"/>
          <w:b w:val="0"/>
          <w:bCs w:val="0"/>
          <w:color w:val="000000" w:themeColor="text1"/>
          <w:sz w:val="32"/>
          <w:szCs w:val="32"/>
          <w:lang w:val="en-US" w:eastAsia="zh-CN"/>
          <w14:textFill>
            <w14:solidFill>
              <w14:schemeClr w14:val="tx1"/>
            </w14:solidFill>
          </w14:textFill>
        </w:rPr>
        <w:t>38</w:t>
      </w:r>
      <w:r>
        <w:rPr>
          <w:rFonts w:hint="eastAsia" w:ascii="仿宋_GB2312" w:eastAsia="仿宋_GB2312"/>
          <w:b w:val="0"/>
          <w:bCs w:val="0"/>
          <w:color w:val="000000" w:themeColor="text1"/>
          <w:sz w:val="32"/>
          <w:szCs w:val="32"/>
          <w14:textFill>
            <w14:solidFill>
              <w14:schemeClr w14:val="tx1"/>
            </w14:solidFill>
          </w14:textFill>
        </w:rPr>
        <w:t>.坚持把习近平法治思想作为党委（党组）</w:t>
      </w:r>
      <w:r>
        <w:rPr>
          <w:rFonts w:ascii="仿宋_GB2312" w:hAnsi="宋体" w:eastAsia="仿宋_GB2312" w:cs="仿宋_GB2312"/>
          <w:i w:val="0"/>
          <w:iCs w:val="0"/>
          <w:caps w:val="0"/>
          <w:color w:val="000000"/>
          <w:spacing w:val="0"/>
          <w:sz w:val="31"/>
          <w:szCs w:val="31"/>
        </w:rPr>
        <w:t>理论学习中心组</w:t>
      </w:r>
      <w:bookmarkStart w:id="0" w:name="_GoBack"/>
      <w:bookmarkEnd w:id="0"/>
      <w:r>
        <w:rPr>
          <w:rFonts w:hint="eastAsia" w:ascii="仿宋_GB2312" w:eastAsia="仿宋_GB2312"/>
          <w:b w:val="0"/>
          <w:bCs w:val="0"/>
          <w:color w:val="000000" w:themeColor="text1"/>
          <w:sz w:val="32"/>
          <w:szCs w:val="32"/>
          <w14:textFill>
            <w14:solidFill>
              <w14:schemeClr w14:val="tx1"/>
            </w14:solidFill>
          </w14:textFill>
        </w:rPr>
        <w:t>学习的重点内容、党校的重点课程，作为领导干部日常学法、法治培训、年度考核的必学必训必考内容，把法治素养和依法履职情况</w:t>
      </w:r>
      <w:r>
        <w:rPr>
          <w:rFonts w:hint="eastAsia" w:ascii="仿宋_GB2312" w:eastAsia="仿宋_GB2312" w:cs="仿宋_GB2312"/>
          <w:b w:val="0"/>
          <w:bCs w:val="0"/>
          <w:color w:val="000000" w:themeColor="text1"/>
          <w:sz w:val="31"/>
          <w:szCs w:val="31"/>
          <w14:textFill>
            <w14:solidFill>
              <w14:schemeClr w14:val="tx1"/>
            </w14:solidFill>
          </w14:textFill>
        </w:rPr>
        <w:t>作为考核评价领导干部的重要内容。</w:t>
      </w:r>
      <w:r>
        <w:rPr>
          <w:rFonts w:hint="eastAsia" w:ascii="仿宋_GB2312" w:hAnsi="仿宋_GB2312" w:eastAsia="仿宋_GB2312" w:cs="仿宋_GB2312"/>
          <w:b w:val="0"/>
          <w:bCs w:val="0"/>
          <w:color w:val="000000" w:themeColor="text1"/>
          <w:sz w:val="32"/>
          <w:szCs w:val="32"/>
          <w14:textFill>
            <w14:solidFill>
              <w14:schemeClr w14:val="tx1"/>
            </w14:solidFill>
          </w14:textFill>
        </w:rPr>
        <w:t>将法治教育纳入公务员初任培训、任职培训的必训内容，组织新录用公务员宪法宣誓。</w:t>
      </w:r>
      <w:r>
        <w:rPr>
          <w:rFonts w:hint="eastAsia" w:ascii="仿宋_GB2312" w:eastAsia="仿宋_GB2312" w:cs="仿宋_GB2312"/>
          <w:b w:val="0"/>
          <w:bCs w:val="0"/>
          <w:color w:val="000000" w:themeColor="text1"/>
          <w:sz w:val="31"/>
          <w:szCs w:val="31"/>
          <w14:textFill>
            <w14:solidFill>
              <w14:schemeClr w14:val="tx1"/>
            </w14:solidFill>
          </w14:textFill>
        </w:rPr>
        <w:t>推行精细化学法、差异化考法、精准化讲法、一体化述法“四化”新模式。</w:t>
      </w:r>
      <w:r>
        <w:rPr>
          <w:rFonts w:hint="eastAsia" w:ascii="楷体_GB2312" w:eastAsia="楷体_GB2312"/>
          <w:b w:val="0"/>
          <w:bCs w:val="0"/>
          <w:color w:val="000000" w:themeColor="text1"/>
          <w:sz w:val="32"/>
          <w:szCs w:val="32"/>
          <w14:textFill>
            <w14:solidFill>
              <w14:schemeClr w14:val="tx1"/>
            </w14:solidFill>
          </w14:textFill>
        </w:rPr>
        <w:t>（</w:t>
      </w:r>
      <w:r>
        <w:rPr>
          <w:rFonts w:hint="eastAsia" w:ascii="楷体_GB2312" w:eastAsia="楷体_GB2312"/>
          <w:b w:val="0"/>
          <w:bCs w:val="0"/>
          <w:color w:val="000000" w:themeColor="text1"/>
          <w:sz w:val="32"/>
          <w:szCs w:val="32"/>
          <w:lang w:eastAsia="zh-CN"/>
          <w14:textFill>
            <w14:solidFill>
              <w14:schemeClr w14:val="tx1"/>
            </w14:solidFill>
          </w14:textFill>
        </w:rPr>
        <w:t>牵头</w:t>
      </w:r>
      <w:r>
        <w:rPr>
          <w:rFonts w:hint="eastAsia" w:ascii="楷体_GB2312" w:eastAsia="楷体_GB2312"/>
          <w:b w:val="0"/>
          <w:bCs w:val="0"/>
          <w:color w:val="000000" w:themeColor="text1"/>
          <w:sz w:val="32"/>
          <w:szCs w:val="32"/>
          <w14:textFill>
            <w14:solidFill>
              <w14:schemeClr w14:val="tx1"/>
            </w14:solidFill>
          </w14:textFill>
        </w:rPr>
        <w:t>单位：</w:t>
      </w:r>
      <w:r>
        <w:rPr>
          <w:rFonts w:hint="eastAsia" w:ascii="楷体_GB2312" w:eastAsia="楷体_GB2312"/>
          <w:b w:val="0"/>
          <w:bCs w:val="0"/>
          <w:color w:val="000000" w:themeColor="text1"/>
          <w:sz w:val="32"/>
          <w:szCs w:val="32"/>
          <w:lang w:val="en-US" w:eastAsia="zh-CN"/>
          <w14:textFill>
            <w14:solidFill>
              <w14:schemeClr w14:val="tx1"/>
            </w14:solidFill>
          </w14:textFill>
        </w:rPr>
        <w:t>县</w:t>
      </w:r>
      <w:r>
        <w:rPr>
          <w:rFonts w:hint="eastAsia" w:ascii="楷体_GB2312" w:eastAsia="楷体_GB2312"/>
          <w:b w:val="0"/>
          <w:bCs w:val="0"/>
          <w:color w:val="000000" w:themeColor="text1"/>
          <w:sz w:val="32"/>
          <w:szCs w:val="32"/>
          <w14:textFill>
            <w14:solidFill>
              <w14:schemeClr w14:val="tx1"/>
            </w14:solidFill>
          </w14:textFill>
        </w:rPr>
        <w:t>委依法治</w:t>
      </w:r>
      <w:r>
        <w:rPr>
          <w:rFonts w:hint="eastAsia" w:ascii="楷体_GB2312" w:eastAsia="楷体_GB2312"/>
          <w:b w:val="0"/>
          <w:bCs w:val="0"/>
          <w:color w:val="000000" w:themeColor="text1"/>
          <w:sz w:val="32"/>
          <w:szCs w:val="32"/>
          <w:lang w:val="en-US" w:eastAsia="zh-CN"/>
          <w14:textFill>
            <w14:solidFill>
              <w14:schemeClr w14:val="tx1"/>
            </w14:solidFill>
          </w14:textFill>
        </w:rPr>
        <w:t>县</w:t>
      </w:r>
      <w:r>
        <w:rPr>
          <w:rFonts w:hint="eastAsia" w:ascii="楷体_GB2312" w:eastAsia="楷体_GB2312"/>
          <w:b w:val="0"/>
          <w:bCs w:val="0"/>
          <w:color w:val="000000" w:themeColor="text1"/>
          <w:sz w:val="32"/>
          <w:szCs w:val="32"/>
          <w14:textFill>
            <w14:solidFill>
              <w14:schemeClr w14:val="tx1"/>
            </w14:solidFill>
          </w14:textFill>
        </w:rPr>
        <w:t>办、</w:t>
      </w:r>
      <w:r>
        <w:rPr>
          <w:rFonts w:hint="eastAsia" w:ascii="楷体_GB2312" w:eastAsia="楷体_GB2312"/>
          <w:b w:val="0"/>
          <w:bCs w:val="0"/>
          <w:color w:val="000000" w:themeColor="text1"/>
          <w:sz w:val="32"/>
          <w:szCs w:val="32"/>
          <w:lang w:val="en-US" w:eastAsia="zh-CN"/>
          <w14:textFill>
            <w14:solidFill>
              <w14:schemeClr w14:val="tx1"/>
            </w14:solidFill>
          </w14:textFill>
        </w:rPr>
        <w:t>县委</w:t>
      </w:r>
      <w:r>
        <w:rPr>
          <w:rFonts w:hint="eastAsia" w:ascii="楷体_GB2312" w:eastAsia="楷体_GB2312"/>
          <w:b w:val="0"/>
          <w:bCs w:val="0"/>
          <w:color w:val="000000" w:themeColor="text1"/>
          <w:sz w:val="32"/>
          <w:szCs w:val="32"/>
          <w14:textFill>
            <w14:solidFill>
              <w14:schemeClr w14:val="tx1"/>
            </w14:solidFill>
          </w14:textFill>
        </w:rPr>
        <w:t>组织部、</w:t>
      </w:r>
      <w:r>
        <w:rPr>
          <w:rFonts w:hint="eastAsia" w:ascii="楷体_GB2312" w:eastAsia="楷体_GB2312"/>
          <w:b w:val="0"/>
          <w:bCs w:val="0"/>
          <w:color w:val="000000" w:themeColor="text1"/>
          <w:sz w:val="32"/>
          <w:szCs w:val="32"/>
          <w:lang w:val="en-US" w:eastAsia="zh-CN"/>
          <w14:textFill>
            <w14:solidFill>
              <w14:schemeClr w14:val="tx1"/>
            </w14:solidFill>
          </w14:textFill>
        </w:rPr>
        <w:t>县委</w:t>
      </w:r>
      <w:r>
        <w:rPr>
          <w:rFonts w:hint="eastAsia" w:ascii="楷体_GB2312" w:eastAsia="楷体_GB2312"/>
          <w:b w:val="0"/>
          <w:bCs w:val="0"/>
          <w:color w:val="000000" w:themeColor="text1"/>
          <w:sz w:val="32"/>
          <w:szCs w:val="32"/>
          <w14:textFill>
            <w14:solidFill>
              <w14:schemeClr w14:val="tx1"/>
            </w14:solidFill>
          </w14:textFill>
        </w:rPr>
        <w:t>宣传部、</w:t>
      </w:r>
      <w:r>
        <w:rPr>
          <w:rFonts w:hint="eastAsia" w:ascii="楷体_GB2312" w:eastAsia="楷体_GB2312"/>
          <w:b w:val="0"/>
          <w:bCs w:val="0"/>
          <w:color w:val="000000" w:themeColor="text1"/>
          <w:sz w:val="32"/>
          <w:szCs w:val="32"/>
          <w:lang w:val="en-US" w:eastAsia="zh-CN"/>
          <w14:textFill>
            <w14:solidFill>
              <w14:schemeClr w14:val="tx1"/>
            </w14:solidFill>
          </w14:textFill>
        </w:rPr>
        <w:t>县</w:t>
      </w:r>
      <w:r>
        <w:rPr>
          <w:rFonts w:hint="eastAsia" w:ascii="楷体_GB2312" w:eastAsia="楷体_GB2312"/>
          <w:b w:val="0"/>
          <w:bCs w:val="0"/>
          <w:color w:val="000000" w:themeColor="text1"/>
          <w:sz w:val="32"/>
          <w:szCs w:val="32"/>
          <w14:textFill>
            <w14:solidFill>
              <w14:schemeClr w14:val="tx1"/>
            </w14:solidFill>
          </w14:textFill>
        </w:rPr>
        <w:t>司法局）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eastAsia="楷体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39.围绕学习宣传贯彻习近平法治思想、“一规划两纲要”落实、法治政府建设、法治营商环境等开展督察。建立法治督察与纪检监察监督协作配合机制。</w:t>
      </w:r>
      <w:r>
        <w:rPr>
          <w:rFonts w:hint="eastAsia" w:ascii="楷体_GB2312" w:eastAsia="楷体_GB2312"/>
          <w:b w:val="0"/>
          <w:bCs w:val="0"/>
          <w:color w:val="000000" w:themeColor="text1"/>
          <w:sz w:val="32"/>
          <w:szCs w:val="32"/>
          <w:lang w:val="en-US" w:eastAsia="zh-CN"/>
          <w14:textFill>
            <w14:solidFill>
              <w14:schemeClr w14:val="tx1"/>
            </w14:solidFill>
          </w14:textFill>
        </w:rPr>
        <w:t xml:space="preserve"> (牵头单位:县委依法治县办、县纪委监委机关)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eastAsia="楷体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40.支持基层司法所使用空余编制补充人员，着力解决基层司法行政机构人员力量短缺的问题。</w:t>
      </w:r>
      <w:r>
        <w:rPr>
          <w:rFonts w:hint="eastAsia" w:ascii="楷体_GB2312" w:eastAsia="楷体_GB2312"/>
          <w:b w:val="0"/>
          <w:bCs w:val="0"/>
          <w:color w:val="000000" w:themeColor="text1"/>
          <w:sz w:val="32"/>
          <w:szCs w:val="32"/>
          <w:lang w:val="en-US" w:eastAsia="zh-CN"/>
          <w14:textFill>
            <w14:solidFill>
              <w14:schemeClr w14:val="tx1"/>
            </w14:solidFill>
          </w14:textFill>
        </w:rPr>
        <w:t>（牵头单位：县委编办、县司法局）</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left="0" w:leftChars="0" w:right="-313" w:rightChars="-149" w:firstLine="640" w:firstLineChars="200"/>
        <w:jc w:val="both"/>
        <w:textAlignment w:val="baseline"/>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b w:val="0"/>
          <w:bCs w:val="0"/>
          <w:lang w:eastAsia="zh-CN"/>
        </w:rPr>
      </w:pPr>
    </w:p>
    <w:p>
      <w:pPr>
        <w:pStyle w:val="2"/>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pPr>
        <w:pStyle w:val="2"/>
        <w:rPr>
          <w:rFonts w:hint="eastAsia"/>
          <w:b w:val="0"/>
          <w:bCs w:val="0"/>
        </w:rPr>
      </w:pPr>
    </w:p>
    <w:p>
      <w:pPr>
        <w:rPr>
          <w:rFonts w:hint="eastAsia"/>
          <w:b w:val="0"/>
          <w:bCs w:val="0"/>
        </w:rPr>
      </w:pPr>
    </w:p>
    <w:p>
      <w:pPr>
        <w:rPr>
          <w:rFonts w:hint="eastAsia"/>
          <w:b w:val="0"/>
          <w:bCs w:val="0"/>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b w:val="0"/>
          <w:bCs w:val="0"/>
          <w:sz w:val="36"/>
          <w:szCs w:val="36"/>
        </w:rPr>
      </w:pP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仿宋_GB2312" w:hAnsi="仿宋_GB2312" w:eastAsia="仿宋_GB2312" w:cs="仿宋_GB2312"/>
          <w:b w:val="0"/>
          <w:bCs w:val="0"/>
          <w:color w:val="000000"/>
          <w:sz w:val="32"/>
          <w:szCs w:val="32"/>
          <w:lang w:val="en-US"/>
        </w:rPr>
      </w:pPr>
      <w:r>
        <w:rPr>
          <w:rFonts w:hint="default" w:ascii="Calibri" w:hAnsi="Calibri" w:eastAsia="宋体" w:cs="Times New Roman"/>
          <w:b w:val="0"/>
          <w:bCs w:val="0"/>
          <w:color w:val="000000"/>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0.5pt;height:0.05pt;width:420pt;z-index:251659264;mso-width-relative:page;mso-height-relative:page;" filled="f" stroked="t" coordsize="21600,21600" o:gfxdata="UEsDBAoAAAAAAIdO4kAAAAAAAAAAAAAAAAAEAAAAZHJzL1BLAwQUAAAACACHTuJACPRSztIAAAAF&#10;AQAADwAAAGRycy9kb3ducmV2LnhtbE2PzU7DMBCE70i8g7VIXKrWTiqhksbpAciNCwXEdRsvSUS8&#10;TmP3B56e7QmOs7Oa+abcnP2gjjTFPrCFbGFAETfB9dxaeHut5ytQMSE7HAKThW+KsKmur0osXDjx&#10;Cx23qVUSwrFAC11KY6F1bDryGBdhJBbvM0wek8ip1W7Ck4T7QefG3GmPPUtDhyM9dNR8bQ/eQqzf&#10;aV//zJqZ+Vi2gfL94/MTWnt7k5k1qETn9PcMF3xBh0qYduHALqrBwgU8yVkGibta3uegdqIz0FWp&#10;/9NXv1BLAwQUAAAACACHTuJAa4FPA/oBAAD0AwAADgAAAGRycy9lMm9Eb2MueG1srVNLjhMxEN0j&#10;cQfLe9Kd3wha6cxiwrBBEAk4QMV2d1vyT7aTTi7BBZDYwYole24zwzEou5swDJss6IW77Hp+rvdc&#10;Xl0ftSIH4YO0pqbTSUmJMMxyadqafnh/++w5JSGC4aCsETU9iUCv10+frHpXiZntrOLCEyQxoepd&#10;TbsYXVUUgXVCQ5hYJwwmG+s1RJz6tuAeemTXqpiV5VXRW8+dt0yEgKubIUlHRn8JoW0aycTGsr0W&#10;Jg6sXiiIKCl00gW6ztU2jWDxbdMEEYmqKSqNecRDMN6lsVivoGo9uE6ysQS4pIRHmjRIg4eeqTYQ&#10;gey9/IdKS+ZtsE2cMKuLQUh2BFVMy0fevOvAiawFrQ7ubHr4f7TszWHrieQ1XVBiQOOF33/6fvfx&#10;y88fn3G8//aVLJJJvQsVYm/M1o+z4LY+KT42Xqc/aiHHbOzpbKw4RsJwcTmfL8oSPWeYu5ovE2Px&#10;Z6vzIb4SVpMU1FRJk1RDBYfXIQ7Q35C0rAzpa/piOVsiIWALNnj1GGqHMoJp895gleS3Uqm0I/h2&#10;d6M8OUBqg/yNJfwFS4dsIHQDLqcSDKpOAH9pOIknhwYZfBc0laAFp0QJfEYpysgIUl2CRPXKJGqR&#10;m3TUmVwefE3RzvITXs7eedl26Ms015wy2AzZwLFxU7c9nGP88LG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I9FLO0gAAAAUBAAAPAAAAAAAAAAEAIAAAACIAAABkcnMvZG93bnJldi54bWxQSwEC&#10;FAAUAAAACACHTuJAa4FPA/oBAAD0AwAADgAAAAAAAAABACAAAAAh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b w:val="0"/>
          <w:bCs w:val="0"/>
          <w:color w:val="000000"/>
          <w:kern w:val="2"/>
          <w:sz w:val="32"/>
          <w:szCs w:val="32"/>
          <w:lang w:val="en-US" w:eastAsia="zh-CN" w:bidi="ar"/>
        </w:rPr>
        <w:t>冠县人民政府办公室              2023年4月</w:t>
      </w:r>
      <w:r>
        <w:rPr>
          <w:rFonts w:hint="eastAsia" w:ascii="仿宋_GB2312" w:hAnsi="仿宋_GB2312" w:cs="仿宋_GB2312"/>
          <w:b w:val="0"/>
          <w:bCs w:val="0"/>
          <w:color w:val="000000"/>
          <w:kern w:val="2"/>
          <w:sz w:val="32"/>
          <w:szCs w:val="32"/>
          <w:lang w:val="en-US" w:eastAsia="zh-CN" w:bidi="ar"/>
        </w:rPr>
        <w:t>25</w:t>
      </w:r>
      <w:r>
        <w:rPr>
          <w:rFonts w:hint="eastAsia" w:ascii="仿宋_GB2312" w:hAnsi="仿宋_GB2312" w:eastAsia="仿宋_GB2312" w:cs="仿宋_GB2312"/>
          <w:b w:val="0"/>
          <w:bCs w:val="0"/>
          <w:color w:val="000000"/>
          <w:kern w:val="2"/>
          <w:sz w:val="32"/>
          <w:szCs w:val="32"/>
          <w:lang w:val="en-US" w:eastAsia="zh-CN" w:bidi="ar"/>
        </w:rPr>
        <w:t>日印发</w:t>
      </w:r>
    </w:p>
    <w:p>
      <w:pPr>
        <w:pStyle w:val="12"/>
        <w:keepNext w:val="0"/>
        <w:keepLines w:val="0"/>
        <w:pageBreakBefore w:val="0"/>
        <w:widowControl w:val="0"/>
        <w:kinsoku/>
        <w:overflowPunct/>
        <w:topLinePunct w:val="0"/>
        <w:autoSpaceDE/>
        <w:autoSpaceDN/>
        <w:bidi w:val="0"/>
        <w:spacing w:line="600" w:lineRule="exact"/>
        <w:ind w:left="0" w:leftChars="0" w:firstLine="0" w:firstLineChars="0"/>
        <w:jc w:val="right"/>
        <w:textAlignment w:val="auto"/>
        <w:rPr>
          <w:rFonts w:hint="eastAsia"/>
          <w:b w:val="0"/>
          <w:bCs w:val="0"/>
          <w:lang w:eastAsia="zh-CN"/>
        </w:rPr>
      </w:pPr>
      <w:r>
        <w:rPr>
          <w:b w:val="0"/>
          <w:bCs w:val="0"/>
          <w:color w:val="000000"/>
          <w:lang w:eastAsia="zh-C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0288;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BrQ5w7+gEAAPQDAAAOAAAAZHJzL2Uyb0RvYy54bWytU02O0zAU3iNx&#10;B8t7mrShI4iazmLKsEFQCTiAazuJJf/Jz23aS3ABJHawYsme2zAcg2cnlGHYdEEWzrPf58/v+/y8&#10;uj4aTQ4ygHK2ofNZSYm03Allu4a+f3f75BklEJkVTDsrG3qSQK/Xjx+tBl/LheudFjIQJLFQD76h&#10;fYy+LgrgvTQMZs5Li8nWBcMiTkNXiMAGZDe6WJTlVTG4IHxwXALg6mZM0okxXELo2lZxuXF8b6SN&#10;I2uQmkWUBL3yQNe52raVPL5pW5CR6Iai0phHPATjXRqL9YrVXWC+V3wqgV1SwgNNhimLh56pNiwy&#10;sg/qHyqjeHDg2jjjzhSjkOwIqpiXD7x52zMvsxa0GvzZdPh/tPz1YRuIEg2tKLHM4IXfffz248Pn&#10;n98/4Xj39QupkkmDhxqxN3Ybphn4bUiKj20w6Y9ayDEbezobK4+RcFxcVtXTskTPOeauqmViLP5s&#10;9QHiS+kMSUFDtbJJNavZ4RXEEfobkpa1JUNDny8XSyRk2IItXj2GxqMMsF3eC04rcau0TjsgdLsb&#10;HciBpTbI31TCX7B0yIZBP+JyKsFY3UsmXlhB4smjQRbfBU0lGCko0RKfUYoyMjKlL0Giem0TtcxN&#10;OulMLo++pmjnxAkvZ++D6nr0ZZ5rThlshmzg1Lip2+7PMb7/WN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DP2bTRAAAABAEAAA8AAAAAAAAAAQAgAAAAIgAAAGRycy9kb3ducmV2LnhtbFBLAQIU&#10;ABQAAAAIAIdO4kBrQ5w7+gEAAPQDAAAOAAAAAAAAAAEAIAAAACA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bCs w:val="0"/>
          <w:color w:val="000000"/>
          <w:sz w:val="32"/>
          <w:szCs w:val="32"/>
          <w:lang w:eastAsia="zh-CN"/>
        </w:rPr>
        <w:t>（共印</w:t>
      </w:r>
      <w:r>
        <w:rPr>
          <w:rFonts w:hint="eastAsia" w:ascii="仿宋_GB2312" w:hAnsi="仿宋_GB2312" w:eastAsia="仿宋_GB2312" w:cs="仿宋_GB2312"/>
          <w:b w:val="0"/>
          <w:bCs w:val="0"/>
          <w:color w:val="000000"/>
          <w:sz w:val="32"/>
          <w:szCs w:val="32"/>
          <w:lang w:val="en-US" w:eastAsia="zh-CN"/>
        </w:rPr>
        <w:t>30</w:t>
      </w:r>
      <w:r>
        <w:rPr>
          <w:rFonts w:hint="eastAsia" w:ascii="仿宋_GB2312" w:hAnsi="仿宋_GB2312" w:eastAsia="仿宋_GB2312" w:cs="仿宋_GB2312"/>
          <w:b w:val="0"/>
          <w:bCs w:val="0"/>
          <w:color w:val="000000"/>
          <w:sz w:val="32"/>
          <w:szCs w:val="32"/>
          <w:lang w:eastAsia="zh-CN"/>
        </w:rPr>
        <w:t>份）</w:t>
      </w:r>
    </w:p>
    <w:sectPr>
      <w:footerReference r:id="rId5" w:type="default"/>
      <w:pgSz w:w="11906" w:h="16838"/>
      <w:pgMar w:top="1701" w:right="1701" w:bottom="1701" w:left="1701" w:header="851" w:footer="1417"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1</w:t>
                          </w:r>
                          <w:r>
                            <w:rPr>
                              <w:rFonts w:hint="eastAsia" w:ascii="宋体" w:hAnsi="宋体" w:eastAsia="宋体" w:cs="宋体"/>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1</w:t>
                    </w:r>
                    <w:r>
                      <w:rPr>
                        <w:rFonts w:hint="eastAsia" w:ascii="宋体" w:hAnsi="宋体" w:eastAsia="宋体" w:cs="宋体"/>
                        <w:sz w:val="24"/>
                        <w:szCs w:val="24"/>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2C8E09F3"/>
    <w:rsid w:val="01B54565"/>
    <w:rsid w:val="02F43C68"/>
    <w:rsid w:val="053064B8"/>
    <w:rsid w:val="09CA5EA0"/>
    <w:rsid w:val="114E2300"/>
    <w:rsid w:val="115D6F1E"/>
    <w:rsid w:val="1FE877F9"/>
    <w:rsid w:val="276002A5"/>
    <w:rsid w:val="2C8E09F3"/>
    <w:rsid w:val="321D1247"/>
    <w:rsid w:val="32CE13D9"/>
    <w:rsid w:val="34322CA2"/>
    <w:rsid w:val="3BA21765"/>
    <w:rsid w:val="3E4F0179"/>
    <w:rsid w:val="4334050D"/>
    <w:rsid w:val="4A714A31"/>
    <w:rsid w:val="52B77CF8"/>
    <w:rsid w:val="5CEA3F7C"/>
    <w:rsid w:val="5D967917"/>
    <w:rsid w:val="5FFB4B3F"/>
    <w:rsid w:val="60A07C1F"/>
    <w:rsid w:val="62F34191"/>
    <w:rsid w:val="74162C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3"/>
    <w:basedOn w:val="1"/>
    <w:next w:val="1"/>
    <w:qFormat/>
    <w:uiPriority w:val="0"/>
    <w:pPr>
      <w:jc w:val="left"/>
      <w:outlineLvl w:val="2"/>
    </w:pPr>
    <w:rPr>
      <w:rFonts w:hint="eastAsia" w:ascii="宋体" w:hAnsi="宋体" w:cs="宋体"/>
      <w:b/>
      <w:sz w:val="27"/>
      <w:szCs w:val="27"/>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rmal Indent"/>
    <w:qFormat/>
    <w:uiPriority w:val="99"/>
    <w:pPr>
      <w:widowControl w:val="0"/>
      <w:ind w:firstLine="420" w:firstLineChars="200"/>
      <w:jc w:val="both"/>
    </w:pPr>
    <w:rPr>
      <w:rFonts w:ascii="Calibri" w:hAnsi="Calibri" w:eastAsiaTheme="minorEastAsia" w:cstheme="minorBidi"/>
      <w:kern w:val="2"/>
      <w:sz w:val="21"/>
      <w:szCs w:val="24"/>
      <w:lang w:val="en-US" w:eastAsia="zh-CN" w:bidi="ar-SA"/>
    </w:rPr>
  </w:style>
  <w:style w:type="paragraph" w:styleId="4">
    <w:name w:val="Body Text"/>
    <w:basedOn w:val="1"/>
    <w:qFormat/>
    <w:uiPriority w:val="0"/>
    <w:pPr>
      <w:spacing w:after="120"/>
    </w:pPr>
  </w:style>
  <w:style w:type="paragraph" w:styleId="5">
    <w:name w:val="Body Text Indent"/>
    <w:basedOn w:val="1"/>
    <w:next w:val="3"/>
    <w:qFormat/>
    <w:uiPriority w:val="0"/>
    <w:pPr>
      <w:spacing w:after="120"/>
      <w:ind w:left="420" w:leftChars="200"/>
    </w:pPr>
  </w:style>
  <w:style w:type="paragraph" w:styleId="6">
    <w:name w:val="Block Text"/>
    <w:basedOn w:val="1"/>
    <w:qFormat/>
    <w:uiPriority w:val="0"/>
    <w:pPr>
      <w:spacing w:after="120"/>
      <w:ind w:left="1440" w:leftChars="700" w:right="1440" w:rightChars="700"/>
    </w:pPr>
  </w:style>
  <w:style w:type="paragraph" w:styleId="7">
    <w:name w:val="Plain Text"/>
    <w:basedOn w:val="1"/>
    <w:qFormat/>
    <w:uiPriority w:val="0"/>
    <w:rPr>
      <w:rFonts w:ascii="宋体" w:hAnsi="Courier New"/>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Body Text First Indent"/>
    <w:qFormat/>
    <w:uiPriority w:val="0"/>
    <w:pPr>
      <w:widowControl w:val="0"/>
      <w:ind w:firstLine="420" w:firstLineChars="100"/>
      <w:jc w:val="both"/>
    </w:pPr>
    <w:rPr>
      <w:rFonts w:ascii="Calibri" w:hAnsi="Calibri" w:eastAsia="仿宋_GB2312" w:cs="宋体"/>
      <w:kern w:val="0"/>
      <w:sz w:val="32"/>
      <w:szCs w:val="32"/>
      <w:lang w:val="en-US" w:eastAsia="zh-CN" w:bidi="ar-SA"/>
    </w:rPr>
  </w:style>
  <w:style w:type="paragraph" w:styleId="12">
    <w:name w:val="Body Text First Indent 2"/>
    <w:basedOn w:val="5"/>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4428</Words>
  <Characters>4577</Characters>
  <Lines>0</Lines>
  <Paragraphs>0</Paragraphs>
  <TotalTime>4</TotalTime>
  <ScaleCrop>false</ScaleCrop>
  <LinksUpToDate>false</LinksUpToDate>
  <CharactersWithSpaces>4615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2022-03-31T08:18:00Z</dcterms:created>
  <dc:creator>云自寒</dc:creator>
  <cp:lastModifiedBy>cookie</cp:lastModifiedBy>
  <cp:lastPrinted>2023-05-05T03:58:00Z</cp:lastPrinted>
  <dcterms:modified xsi:type="dcterms:W3CDTF">2023-05-06T09:01:57Z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EF1DB5EA571F4C5882D2265D5A023D10_13</vt:lpwstr>
  </property>
</Properties>
</file>