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宋体" w:eastAsia="仿宋_GB2312" w:cs="宋体"/>
        </w:rPr>
      </w:pPr>
    </w:p>
    <w:p>
      <w:pPr>
        <w:pageBreakBefore w:val="0"/>
        <w:widowControl w:val="0"/>
        <w:kinsoku/>
        <w:wordWrap/>
        <w:overflowPunct/>
        <w:topLinePunct w:val="0"/>
        <w:autoSpaceDE/>
        <w:autoSpaceDN/>
        <w:bidi w:val="0"/>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w:t>
      </w:r>
    </w:p>
    <w:p>
      <w:pPr>
        <w:pageBreakBefore w:val="0"/>
        <w:widowControl w:val="0"/>
        <w:kinsoku/>
        <w:wordWrap/>
        <w:overflowPunct/>
        <w:topLinePunct w:val="0"/>
        <w:autoSpaceDE/>
        <w:autoSpaceDN/>
        <w:bidi w:val="0"/>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关于印发冠县“十四五”时期“无废城市”建设实施方案的通知</w:t>
      </w:r>
    </w:p>
    <w:p>
      <w:pPr>
        <w:pageBreakBefore w:val="0"/>
        <w:widowControl w:val="0"/>
        <w:kinsoku/>
        <w:wordWrap/>
        <w:overflowPunct/>
        <w:topLinePunct w:val="0"/>
        <w:autoSpaceDE/>
        <w:autoSpaceDN/>
        <w:bidi w:val="0"/>
        <w:spacing w:line="600" w:lineRule="exact"/>
        <w:ind w:left="0" w:leftChars="0" w:firstLine="0" w:firstLineChars="0"/>
        <w:jc w:val="left"/>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spacing w:line="600"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各乡镇（街道）、经济开发区、县直各相关部门：</w:t>
      </w:r>
    </w:p>
    <w:p>
      <w:pPr>
        <w:pageBreakBefore w:val="0"/>
        <w:widowControl w:val="0"/>
        <w:kinsoku/>
        <w:wordWrap/>
        <w:overflowPunct/>
        <w:topLinePunct w:val="0"/>
        <w:autoSpaceDE/>
        <w:autoSpaceDN/>
        <w:bidi w:val="0"/>
        <w:spacing w:line="600" w:lineRule="exact"/>
        <w:ind w:firstLine="61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现将《冠县“十四五”时期“无废城市”建设实施方案》印发给你们，请认真贯彻执行</w:t>
      </w:r>
      <w:r>
        <w:rPr>
          <w:rFonts w:hint="eastAsia" w:ascii="仿宋_GB2312" w:hAnsi="仿宋_GB2312" w:cs="仿宋_GB2312"/>
          <w:sz w:val="32"/>
          <w:szCs w:val="32"/>
          <w:lang w:eastAsia="zh-CN"/>
        </w:rPr>
        <w:t>。</w:t>
      </w:r>
      <w:bookmarkStart w:id="123" w:name="_GoBack"/>
      <w:bookmarkEnd w:id="123"/>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Times New Roman" w:eastAsia="仿宋_GB2312"/>
          <w:sz w:val="32"/>
          <w:szCs w:val="32"/>
        </w:rPr>
      </w:pPr>
    </w:p>
    <w:p>
      <w:pPr>
        <w:pStyle w:val="13"/>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5033" w:firstLineChars="16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冠县人民政府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after="360" w:line="560" w:lineRule="exact"/>
        <w:ind w:firstLine="61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w:t>
      </w:r>
      <w:r>
        <w:rPr>
          <w:rFonts w:hint="eastAsia" w:ascii="仿宋_GB2312" w:hAnsi="仿宋_GB2312" w:cs="仿宋_GB2312"/>
          <w:sz w:val="32"/>
          <w:szCs w:val="32"/>
          <w:lang w:val="en-US" w:eastAsia="zh-CN"/>
        </w:rPr>
        <w:t>发布</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冠县“十四五”时期“无废城市”建设</w:t>
      </w:r>
    </w:p>
    <w:p>
      <w:pPr>
        <w:pageBreakBefore w:val="0"/>
        <w:widowControl w:val="0"/>
        <w:kinsoku/>
        <w:wordWrap/>
        <w:overflowPunct/>
        <w:topLinePunct w:val="0"/>
        <w:autoSpaceDE/>
        <w:autoSpaceDN/>
        <w:bidi w:val="0"/>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实施方案</w:t>
      </w:r>
    </w:p>
    <w:p>
      <w:pPr>
        <w:pageBreakBefore w:val="0"/>
        <w:widowControl w:val="0"/>
        <w:kinsoku/>
        <w:wordWrap/>
        <w:overflowPunct/>
        <w:topLinePunct w:val="0"/>
        <w:autoSpaceDE/>
        <w:autoSpaceDN/>
        <w:bidi w:val="0"/>
        <w:spacing w:line="600" w:lineRule="exact"/>
        <w:ind w:firstLine="0" w:firstLineChars="0"/>
        <w:jc w:val="center"/>
        <w:textAlignment w:val="auto"/>
        <w:rPr>
          <w:rFonts w:eastAsia="方正小标宋简体" w:cs="Times New Roman"/>
          <w:sz w:val="44"/>
          <w:szCs w:val="44"/>
        </w:rPr>
      </w:pPr>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为贯彻落实党的二十大精神，深入打好污染防治攻坚战，扎实推进“无废城市”建设，根据《山东省人民政府关于印发山东省“无废城市”建设工作方案的通知》（鲁政字〔2022〕130号）《聊城市人民政府关于印发聊城市“十四五”时期“无废城市”建设实施方案的通知》（聊政字〔2022〕35号）等文件要求，结合我县实际，制定本工作方案。</w:t>
      </w:r>
    </w:p>
    <w:p>
      <w:pPr>
        <w:pStyle w:val="3"/>
        <w:pageBreakBefore w:val="0"/>
        <w:widowControl w:val="0"/>
        <w:kinsoku/>
        <w:wordWrap/>
        <w:overflowPunct/>
        <w:topLinePunct w:val="0"/>
        <w:autoSpaceDE/>
        <w:autoSpaceDN/>
        <w:bidi w:val="0"/>
        <w:spacing w:line="600" w:lineRule="exact"/>
        <w:ind w:firstLine="610"/>
        <w:textAlignment w:val="auto"/>
      </w:pPr>
      <w:bookmarkStart w:id="0" w:name="_Toc111217243"/>
      <w:bookmarkStart w:id="1" w:name="_Toc121508200"/>
      <w:bookmarkStart w:id="2" w:name="_Hlk122273221"/>
      <w:r>
        <w:rPr>
          <w:rFonts w:hint="eastAsia"/>
        </w:rPr>
        <w:t>一、</w:t>
      </w:r>
      <w:r>
        <w:t>总则</w:t>
      </w:r>
      <w:bookmarkEnd w:id="0"/>
      <w:bookmarkEnd w:id="1"/>
    </w:p>
    <w:p>
      <w:pPr>
        <w:pStyle w:val="4"/>
        <w:pageBreakBefore w:val="0"/>
        <w:widowControl w:val="0"/>
        <w:kinsoku/>
        <w:wordWrap/>
        <w:overflowPunct/>
        <w:topLinePunct w:val="0"/>
        <w:autoSpaceDE/>
        <w:autoSpaceDN/>
        <w:bidi w:val="0"/>
        <w:spacing w:line="600" w:lineRule="exact"/>
        <w:ind w:firstLine="610"/>
        <w:textAlignment w:val="auto"/>
        <w:rPr>
          <w:b/>
          <w:bCs/>
        </w:rPr>
      </w:pPr>
      <w:bookmarkStart w:id="3" w:name="_Toc111217244"/>
      <w:bookmarkStart w:id="4" w:name="_Toc121508201"/>
      <w:r>
        <w:rPr>
          <w:rFonts w:hint="eastAsia"/>
          <w:b/>
          <w:bCs/>
        </w:rPr>
        <w:t>（一）</w:t>
      </w:r>
      <w:r>
        <w:rPr>
          <w:b/>
          <w:bCs/>
        </w:rPr>
        <w:t>指导思想</w:t>
      </w:r>
      <w:bookmarkEnd w:id="3"/>
      <w:bookmarkEnd w:id="4"/>
    </w:p>
    <w:p>
      <w:pPr>
        <w:pageBreakBefore w:val="0"/>
        <w:widowControl w:val="0"/>
        <w:kinsoku/>
        <w:wordWrap/>
        <w:overflowPunct/>
        <w:topLinePunct w:val="0"/>
        <w:autoSpaceDE/>
        <w:autoSpaceDN/>
        <w:bidi w:val="0"/>
        <w:spacing w:line="600" w:lineRule="exact"/>
        <w:ind w:firstLine="610"/>
        <w:textAlignment w:val="auto"/>
      </w:pPr>
      <w:r>
        <w:t>以习近平新时代中国特色社会主义思想</w:t>
      </w:r>
      <w:r>
        <w:rPr>
          <w:rFonts w:hint="eastAsia"/>
        </w:rPr>
        <w:t>和</w:t>
      </w:r>
      <w:r>
        <w:t>习近平生态文明思想为指导，</w:t>
      </w:r>
      <w:r>
        <w:rPr>
          <w:rFonts w:hint="eastAsia"/>
        </w:rPr>
        <w:t>深入贯彻党的二十大精神</w:t>
      </w:r>
      <w:r>
        <w:t>，</w:t>
      </w:r>
      <w:r>
        <w:rPr>
          <w:rFonts w:hint="eastAsia"/>
        </w:rPr>
        <w:t>筑牢</w:t>
      </w:r>
      <w:r>
        <w:rPr>
          <w:rFonts w:cs="Times New Roman"/>
        </w:rPr>
        <w:t>“绿水青山就是金山银山”理念，锚定“走在前列、全面开创”“三个走在前”</w:t>
      </w:r>
      <w:r>
        <w:rPr>
          <w:rFonts w:hint="eastAsia"/>
        </w:rPr>
        <w:t>，立足经济社会全面绿色转型，统筹产业结构调整、污染治理、生态保护，大力</w:t>
      </w:r>
      <w:r>
        <w:t>实施黄河流域生态保护和高质量发展战略</w:t>
      </w:r>
      <w:r>
        <w:rPr>
          <w:rFonts w:hint="eastAsia"/>
        </w:rPr>
        <w:t>，积极融入绿色低碳高质量发展先行区建设，协同推进降碳、减污、扩绿、增长，加快推进固体废物领域治理体系和治理能力现代化，</w:t>
      </w:r>
      <w:r>
        <w:t>为实现</w:t>
      </w:r>
      <w:r>
        <w:rPr>
          <w:rFonts w:cs="Times New Roman"/>
        </w:rPr>
        <w:t>“六个新聊城”</w:t>
      </w:r>
      <w:r>
        <w:t>的奋斗目标提供</w:t>
      </w:r>
      <w:r>
        <w:rPr>
          <w:rFonts w:hint="eastAsia"/>
        </w:rPr>
        <w:t>巨大动能和根本保障</w:t>
      </w:r>
      <w:r>
        <w:t>。</w:t>
      </w:r>
    </w:p>
    <w:bookmarkEnd w:id="2"/>
    <w:p>
      <w:pPr>
        <w:pStyle w:val="4"/>
        <w:pageBreakBefore w:val="0"/>
        <w:widowControl w:val="0"/>
        <w:kinsoku/>
        <w:wordWrap/>
        <w:overflowPunct/>
        <w:topLinePunct w:val="0"/>
        <w:autoSpaceDE/>
        <w:autoSpaceDN/>
        <w:bidi w:val="0"/>
        <w:spacing w:line="600" w:lineRule="exact"/>
        <w:ind w:firstLine="610"/>
        <w:textAlignment w:val="auto"/>
        <w:rPr>
          <w:rFonts w:hint="eastAsia" w:ascii="Times New Roman" w:hAnsi="Times New Roman" w:cs="Times New Roman"/>
          <w:b/>
          <w:bCs/>
        </w:rPr>
      </w:pPr>
      <w:bookmarkStart w:id="5" w:name="_Toc121508202"/>
      <w:r>
        <w:rPr>
          <w:rFonts w:hint="eastAsia" w:ascii="Times New Roman" w:hAnsi="Times New Roman" w:cs="Times New Roman"/>
          <w:b/>
          <w:bCs/>
        </w:rPr>
        <w:t>（二）基本原则</w:t>
      </w:r>
      <w:bookmarkEnd w:id="5"/>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6" w:name="_Toc121508203"/>
      <w:r>
        <w:rPr>
          <w:rFonts w:hint="eastAsia" w:ascii="仿宋_GB2312" w:hAnsi="仿宋_GB2312" w:eastAsia="仿宋_GB2312" w:cs="仿宋_GB2312"/>
        </w:rPr>
        <w:t>1. 顶层统筹、系统推进</w:t>
      </w:r>
      <w:bookmarkEnd w:id="6"/>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在深入打好污染防治攻坚战和碳达峰碳中和等重大战略部署下，聚焦减污降碳协同增效，坚持综合治理、系统治理、源头治理，明确目标任务，系统推进“无废城市”建设，促进固体废物减量化、资源化和无害化，提升精细化管理水平。</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7" w:name="_Toc121508204"/>
      <w:r>
        <w:rPr>
          <w:rFonts w:hint="eastAsia" w:ascii="仿宋_GB2312" w:hAnsi="仿宋_GB2312" w:eastAsia="仿宋_GB2312" w:cs="仿宋_GB2312"/>
        </w:rPr>
        <w:t>2. 问题导向、彰显特色</w:t>
      </w:r>
      <w:bookmarkEnd w:id="7"/>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结合产业特色和城市发展定位，靶向施策、重点突破，着力解决当前工业固体废物、农业固体废物、危险废物、生活垃圾、建筑垃圾、信息化监管等领域存在的突出问题，补齐短板弱项，健全固体废物污染环境防治长效机制，助力经济社会高质量发展。</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8" w:name="_Toc121508205"/>
      <w:r>
        <w:rPr>
          <w:rFonts w:hint="eastAsia" w:ascii="仿宋_GB2312" w:hAnsi="仿宋_GB2312" w:eastAsia="仿宋_GB2312" w:cs="仿宋_GB2312"/>
        </w:rPr>
        <w:t>3. 绿色引领、创新驱动</w:t>
      </w:r>
      <w:bookmarkEnd w:id="8"/>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统筹城市发展与固体废物管理，树牢“绿色生产、绿色生活”理念，推进绿色转型升级，加快制度、技术、监管手段创新，探索形成特色模式和亮点项目，形成绿色低碳的生产方式，简约适度、文明健康的生活方式和消费模式。</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9" w:name="_Toc121508206"/>
      <w:r>
        <w:rPr>
          <w:rFonts w:hint="eastAsia" w:ascii="仿宋_GB2312" w:hAnsi="仿宋_GB2312" w:eastAsia="仿宋_GB2312" w:cs="仿宋_GB2312"/>
        </w:rPr>
        <w:t xml:space="preserve">4. </w:t>
      </w:r>
      <w:bookmarkStart w:id="10" w:name="_Hlk122273385"/>
      <w:r>
        <w:rPr>
          <w:rFonts w:hint="eastAsia" w:ascii="仿宋_GB2312" w:hAnsi="仿宋_GB2312" w:eastAsia="仿宋_GB2312" w:cs="仿宋_GB2312"/>
        </w:rPr>
        <w:t>权责明确、多元共治</w:t>
      </w:r>
      <w:bookmarkEnd w:id="9"/>
      <w:bookmarkEnd w:id="10"/>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11" w:name="_Hlk122273368"/>
      <w:r>
        <w:rPr>
          <w:rFonts w:hint="eastAsia" w:ascii="仿宋_GB2312" w:hAnsi="仿宋_GB2312" w:eastAsia="仿宋_GB2312" w:cs="仿宋_GB2312"/>
        </w:rPr>
        <w:t>构建党政主导、部门协同、企业主体、社会组织和公众共同参与的工作格局</w:t>
      </w:r>
      <w:bookmarkEnd w:id="11"/>
      <w:r>
        <w:rPr>
          <w:rFonts w:hint="eastAsia" w:ascii="仿宋_GB2312" w:hAnsi="仿宋_GB2312" w:eastAsia="仿宋_GB2312" w:cs="仿宋_GB2312"/>
        </w:rPr>
        <w:t>，建立职责清晰、分工明确的管理机制，压实企业主体责任，动员全社会力量，开创“无废城市”全民参与、齐抓共管、共同建设的良好局面。</w:t>
      </w:r>
    </w:p>
    <w:p>
      <w:pPr>
        <w:pStyle w:val="4"/>
        <w:pageBreakBefore w:val="0"/>
        <w:widowControl w:val="0"/>
        <w:kinsoku/>
        <w:wordWrap/>
        <w:overflowPunct/>
        <w:topLinePunct w:val="0"/>
        <w:autoSpaceDE/>
        <w:autoSpaceDN/>
        <w:bidi w:val="0"/>
        <w:spacing w:line="600" w:lineRule="exact"/>
        <w:ind w:firstLine="610"/>
        <w:textAlignment w:val="auto"/>
        <w:rPr>
          <w:rFonts w:hint="eastAsia" w:ascii="Times New Roman" w:hAnsi="Times New Roman" w:cs="Times New Roman"/>
          <w:b/>
          <w:bCs/>
        </w:rPr>
      </w:pPr>
      <w:bookmarkStart w:id="12" w:name="_Toc121508247"/>
      <w:bookmarkStart w:id="13" w:name="_Toc121508244"/>
      <w:r>
        <w:rPr>
          <w:rFonts w:hint="eastAsia" w:ascii="Times New Roman" w:hAnsi="Times New Roman" w:cs="Times New Roman"/>
          <w:b/>
          <w:bCs/>
        </w:rPr>
        <w:t>（三）建设范围及时限</w:t>
      </w:r>
      <w:bookmarkEnd w:id="12"/>
      <w:r>
        <w:rPr>
          <w:rFonts w:hint="eastAsia" w:ascii="Times New Roman" w:hAnsi="Times New Roman" w:cs="Times New Roman"/>
          <w:b/>
          <w:bCs/>
        </w:rPr>
        <w:tab/>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14" w:name="_Toc121508248"/>
      <w:r>
        <w:rPr>
          <w:rFonts w:hint="eastAsia" w:ascii="仿宋_GB2312" w:hAnsi="仿宋_GB2312" w:eastAsia="仿宋_GB2312" w:cs="仿宋_GB2312"/>
        </w:rPr>
        <w:t>1. 建设范围</w:t>
      </w:r>
      <w:bookmarkEnd w:id="14"/>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全县行政管辖区域</w:t>
      </w:r>
      <w:r>
        <w:rPr>
          <w:rFonts w:hint="eastAsia" w:ascii="仿宋_GB2312" w:hAnsi="仿宋_GB2312" w:eastAsia="仿宋_GB2312" w:cs="仿宋_GB2312"/>
          <w:color w:val="000000" w:themeColor="text1"/>
          <w14:textFill>
            <w14:solidFill>
              <w14:schemeClr w14:val="tx1"/>
            </w14:solidFill>
          </w14:textFill>
        </w:rPr>
        <w:t>涉及18个乡镇（街道）、县经济开发区</w:t>
      </w:r>
      <w:r>
        <w:rPr>
          <w:rFonts w:hint="eastAsia" w:ascii="仿宋_GB2312" w:hAnsi="仿宋_GB2312" w:eastAsia="仿宋_GB2312" w:cs="仿宋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15" w:name="_Toc121508249"/>
      <w:r>
        <w:rPr>
          <w:rFonts w:hint="eastAsia" w:ascii="仿宋_GB2312" w:hAnsi="仿宋_GB2312" w:eastAsia="仿宋_GB2312" w:cs="仿宋_GB2312"/>
        </w:rPr>
        <w:t>2. 建设时限</w:t>
      </w:r>
      <w:bookmarkEnd w:id="15"/>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基准年：2021年。</w:t>
      </w:r>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建设阶段：2022年-2025年。</w:t>
      </w:r>
    </w:p>
    <w:p>
      <w:pPr>
        <w:pStyle w:val="3"/>
        <w:pageBreakBefore w:val="0"/>
        <w:widowControl w:val="0"/>
        <w:kinsoku/>
        <w:wordWrap/>
        <w:overflowPunct/>
        <w:topLinePunct w:val="0"/>
        <w:autoSpaceDE/>
        <w:autoSpaceDN/>
        <w:bidi w:val="0"/>
        <w:spacing w:line="600" w:lineRule="exact"/>
        <w:ind w:firstLine="610"/>
        <w:textAlignment w:val="auto"/>
      </w:pPr>
      <w:r>
        <w:rPr>
          <w:rFonts w:hint="eastAsia"/>
        </w:rPr>
        <w:t>二、</w:t>
      </w:r>
      <w:r>
        <w:t>目标与指标</w:t>
      </w:r>
      <w:bookmarkEnd w:id="13"/>
    </w:p>
    <w:p>
      <w:pPr>
        <w:pStyle w:val="4"/>
        <w:pageBreakBefore w:val="0"/>
        <w:widowControl w:val="0"/>
        <w:kinsoku/>
        <w:wordWrap/>
        <w:overflowPunct/>
        <w:topLinePunct w:val="0"/>
        <w:autoSpaceDE/>
        <w:autoSpaceDN/>
        <w:bidi w:val="0"/>
        <w:spacing w:line="600" w:lineRule="exact"/>
        <w:ind w:firstLine="610"/>
        <w:textAlignment w:val="auto"/>
        <w:rPr>
          <w:rFonts w:hint="eastAsia" w:ascii="Times New Roman" w:hAnsi="Times New Roman" w:cs="Times New Roman"/>
          <w:b/>
          <w:bCs/>
        </w:rPr>
      </w:pPr>
      <w:bookmarkStart w:id="16" w:name="_Toc121508245"/>
      <w:r>
        <w:rPr>
          <w:rFonts w:hint="eastAsia" w:ascii="Times New Roman" w:hAnsi="Times New Roman" w:cs="Times New Roman"/>
          <w:b/>
          <w:bCs/>
        </w:rPr>
        <w:t>（一）总体目标</w:t>
      </w:r>
      <w:bookmarkEnd w:id="16"/>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到2025年，全县“无废城市”建设指标体系全面达成，打造信息监管“一张网</w:t>
      </w:r>
      <w:bookmarkStart w:id="17" w:name="_Hlk111045933"/>
      <w:r>
        <w:rPr>
          <w:rFonts w:hint="eastAsia" w:ascii="仿宋_GB2312" w:hAnsi="仿宋_GB2312" w:eastAsia="仿宋_GB2312" w:cs="仿宋_GB2312"/>
        </w:rPr>
        <w:t>”。一般工业固体废物综合利用率达到</w:t>
      </w:r>
      <w:bookmarkEnd w:id="17"/>
      <w:r>
        <w:rPr>
          <w:rFonts w:hint="eastAsia" w:ascii="仿宋_GB2312" w:hAnsi="仿宋_GB2312" w:eastAsia="仿宋_GB2312" w:cs="仿宋_GB2312"/>
        </w:rPr>
        <w:t>80%以上</w:t>
      </w:r>
      <w:r>
        <w:rPr>
          <w:rFonts w:hint="eastAsia" w:ascii="仿宋_GB2312" w:hAnsi="仿宋_GB2312" w:eastAsia="仿宋_GB2312" w:cs="仿宋_GB2312"/>
          <w:color w:val="000000" w:themeColor="text1"/>
          <w14:textFill>
            <w14:solidFill>
              <w14:schemeClr w14:val="tx1"/>
            </w14:solidFill>
          </w14:textFill>
        </w:rPr>
        <w:t>；工业危</w:t>
      </w:r>
      <w:r>
        <w:rPr>
          <w:rFonts w:hint="eastAsia" w:ascii="仿宋_GB2312" w:hAnsi="仿宋_GB2312" w:eastAsia="仿宋_GB2312" w:cs="仿宋_GB2312"/>
        </w:rPr>
        <w:t>险废物利用处置率100%；基本建成生活垃圾分类处理系统，</w:t>
      </w:r>
      <w:bookmarkStart w:id="18" w:name="_Hlk111035996"/>
      <w:r>
        <w:rPr>
          <w:rFonts w:hint="eastAsia" w:ascii="仿宋_GB2312" w:hAnsi="仿宋_GB2312" w:eastAsia="仿宋_GB2312" w:cs="仿宋_GB2312"/>
        </w:rPr>
        <w:t>生活垃圾</w:t>
      </w:r>
      <w:bookmarkEnd w:id="18"/>
      <w:r>
        <w:rPr>
          <w:rFonts w:hint="eastAsia" w:ascii="仿宋_GB2312" w:hAnsi="仿宋_GB2312" w:eastAsia="仿宋_GB2312" w:cs="仿宋_GB2312"/>
        </w:rPr>
        <w:t>全量焚烧，城市生活垃圾回收利用率达35%以上；秸秆综合利用率稳定在95%以上，畜禽粪污综合利用率稳定在90%以上，农膜回收率稳定在92%以上，农药包装废弃物回收率达80%以上；新建装配式建筑占新建建筑面积比例达到45%，城镇新建民用建筑中绿色建筑占比达到100%；绿色生活和生产方式全面铺开，力争建成“无废工厂”等“无废细胞”30个以上。</w:t>
      </w:r>
    </w:p>
    <w:p>
      <w:pPr>
        <w:pStyle w:val="4"/>
        <w:pageBreakBefore w:val="0"/>
        <w:widowControl w:val="0"/>
        <w:kinsoku/>
        <w:wordWrap/>
        <w:overflowPunct/>
        <w:topLinePunct w:val="0"/>
        <w:autoSpaceDE/>
        <w:autoSpaceDN/>
        <w:bidi w:val="0"/>
        <w:spacing w:line="600" w:lineRule="exact"/>
        <w:ind w:firstLine="610"/>
        <w:textAlignment w:val="auto"/>
        <w:rPr>
          <w:rFonts w:hint="eastAsia" w:ascii="Times New Roman" w:hAnsi="Times New Roman" w:cs="Times New Roman"/>
          <w:b/>
          <w:bCs/>
        </w:rPr>
      </w:pPr>
      <w:bookmarkStart w:id="19" w:name="_Toc121508246"/>
      <w:r>
        <w:rPr>
          <w:rFonts w:hint="eastAsia" w:ascii="Times New Roman" w:hAnsi="Times New Roman" w:cs="Times New Roman"/>
          <w:b/>
          <w:bCs/>
        </w:rPr>
        <w:t>（二）指标</w:t>
      </w:r>
      <w:bookmarkEnd w:id="19"/>
      <w:r>
        <w:rPr>
          <w:rFonts w:hint="eastAsia" w:ascii="Times New Roman" w:hAnsi="Times New Roman" w:cs="Times New Roman"/>
          <w:b/>
          <w:bCs/>
        </w:rPr>
        <w:t>体系</w:t>
      </w:r>
    </w:p>
    <w:p>
      <w:pPr>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综合本地产业发展特色、产业结构、经济基础等条件，本实施方案提出了25项必选指标、23项其他指标，共48项。</w:t>
      </w:r>
      <w:bookmarkStart w:id="20" w:name="_Toc121508257"/>
    </w:p>
    <w:p>
      <w:pPr>
        <w:pStyle w:val="3"/>
        <w:pageBreakBefore w:val="0"/>
        <w:widowControl w:val="0"/>
        <w:kinsoku/>
        <w:wordWrap/>
        <w:overflowPunct/>
        <w:topLinePunct w:val="0"/>
        <w:autoSpaceDE/>
        <w:autoSpaceDN/>
        <w:bidi w:val="0"/>
        <w:spacing w:line="600" w:lineRule="exact"/>
        <w:ind w:firstLine="610"/>
        <w:textAlignment w:val="auto"/>
      </w:pPr>
      <w:r>
        <w:rPr>
          <w:rFonts w:hint="eastAsia"/>
        </w:rPr>
        <w:t>三、</w:t>
      </w:r>
      <w:r>
        <w:t>重点建设任务</w:t>
      </w:r>
      <w:bookmarkEnd w:id="20"/>
    </w:p>
    <w:p>
      <w:pPr>
        <w:pStyle w:val="4"/>
        <w:pageBreakBefore w:val="0"/>
        <w:widowControl w:val="0"/>
        <w:kinsoku/>
        <w:wordWrap/>
        <w:overflowPunct/>
        <w:topLinePunct w:val="0"/>
        <w:autoSpaceDE/>
        <w:autoSpaceDN/>
        <w:bidi w:val="0"/>
        <w:spacing w:line="600" w:lineRule="exact"/>
        <w:ind w:firstLine="610"/>
        <w:textAlignment w:val="auto"/>
        <w:rPr>
          <w:rFonts w:hint="eastAsia" w:ascii="Times New Roman" w:hAnsi="Times New Roman" w:cs="Times New Roman"/>
          <w:b/>
          <w:bCs/>
          <w:spacing w:val="-6"/>
          <w:sz w:val="32"/>
        </w:rPr>
      </w:pPr>
      <w:bookmarkStart w:id="21" w:name="_Toc111217286"/>
      <w:bookmarkStart w:id="22" w:name="_Toc113295298"/>
      <w:bookmarkStart w:id="23" w:name="_Toc121508258"/>
      <w:r>
        <w:rPr>
          <w:rFonts w:hint="eastAsia" w:ascii="Times New Roman" w:hAnsi="Times New Roman" w:cs="Times New Roman"/>
          <w:b/>
          <w:bCs/>
          <w:spacing w:val="-6"/>
          <w:sz w:val="32"/>
        </w:rPr>
        <w:t>（一）促进重点产业提质“增绿”，实现工业绿色低碳发展</w:t>
      </w:r>
      <w:bookmarkEnd w:id="21"/>
      <w:bookmarkEnd w:id="22"/>
      <w:bookmarkEnd w:id="23"/>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24" w:name="_Toc121508259"/>
      <w:bookmarkStart w:id="25" w:name="_Toc113295299"/>
      <w:r>
        <w:rPr>
          <w:rFonts w:hint="eastAsia" w:ascii="仿宋_GB2312" w:hAnsi="仿宋_GB2312" w:eastAsia="仿宋_GB2312" w:cs="仿宋_GB2312"/>
        </w:rPr>
        <w:t>1. 推动低碳发展，突出抓好源头减量</w:t>
      </w:r>
      <w:bookmarkEnd w:id="24"/>
      <w:bookmarkEnd w:id="25"/>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（1）加快产业结构绿色转型</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推动淘汰涉固体废物产生的落后产能和落后工艺，鼓励企业突破一批工业绿色转型核心关键技术，探索原料减量化与废物减量化途径。围绕金属表面处理、纺织等特色重点产业，加快提升改造。严格控制新（改、扩）建固体废物产生量大、区域难以实现有效资源化利用和无害化处置项目。</w:t>
      </w:r>
      <w:r>
        <w:rPr>
          <w:rFonts w:eastAsia="楷体_GB2312"/>
        </w:rPr>
        <w:t>（牵头单位：</w:t>
      </w:r>
      <w:r>
        <w:rPr>
          <w:rFonts w:hint="eastAsia" w:eastAsia="楷体_GB2312"/>
        </w:rPr>
        <w:t>县</w:t>
      </w:r>
      <w:r>
        <w:rPr>
          <w:rFonts w:eastAsia="楷体_GB2312"/>
        </w:rPr>
        <w:t>工业和信息化局；责任单位：</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rPr>
        <w:t>、</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县</w:t>
      </w:r>
      <w:r>
        <w:rPr>
          <w:rFonts w:eastAsia="楷体_GB2312"/>
        </w:rPr>
        <w:t>商务投资促进局</w:t>
      </w:r>
      <w:r>
        <w:rPr>
          <w:rFonts w:hint="eastAsia" w:eastAsia="楷体_GB2312"/>
        </w:rPr>
        <w:t>、县行政审批服务局，各乡镇、街道</w:t>
      </w:r>
      <w:r>
        <w:rPr>
          <w:rFonts w:eastAsia="楷体_GB2312"/>
        </w:rPr>
        <w:t>）</w:t>
      </w:r>
    </w:p>
    <w:p>
      <w:pPr>
        <w:pageBreakBefore w:val="0"/>
        <w:widowControl w:val="0"/>
        <w:kinsoku/>
        <w:wordWrap/>
        <w:overflowPunct/>
        <w:topLinePunct w:val="0"/>
        <w:autoSpaceDE/>
        <w:autoSpaceDN/>
        <w:bidi w:val="0"/>
        <w:spacing w:line="600" w:lineRule="exact"/>
        <w:ind w:firstLine="610"/>
        <w:textAlignment w:val="auto"/>
      </w:pPr>
      <w:r>
        <w:rPr>
          <w:rFonts w:hint="eastAsia"/>
        </w:rPr>
        <w:t>根据《聊城市绿色低碳循环发展规划》要求，推进产业结构、能源结构、交通运输结构进一步优化，主要污染物排放总量持续降低，碳排放强度明显降低。（</w:t>
      </w:r>
      <w:r>
        <w:rPr>
          <w:rFonts w:hint="eastAsia" w:ascii="楷体_GB2312" w:eastAsia="楷体_GB2312"/>
        </w:rPr>
        <w:t>牵头单位：</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hint="eastAsia" w:ascii="楷体_GB2312" w:eastAsia="楷体_GB2312"/>
        </w:rPr>
        <w:t>；责任单位：县工业和信息化局、县交通运输局、县生态环境分局</w:t>
      </w:r>
      <w:r>
        <w:rPr>
          <w:rFonts w:hint="eastAsia"/>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（2）推进绿色制造体系建设</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鼓励企业绿色发展，推行绿色工业设计、开发绿色产品、建设绿色工厂、发展绿色园区、打造绿色供应链。以金属表面处理、纺织等行业为重点，开展绿色工厂创建，优化工艺流程、改进技术装备、降低工业固体废物产生强度。引导推动“无废园区”“无废集团”建设。到2023年底，新增市级绿色工厂3家；到2025年底，新增省级以上绿色工厂2家。</w:t>
      </w:r>
      <w:r>
        <w:rPr>
          <w:rFonts w:eastAsia="楷体_GB2312"/>
        </w:rPr>
        <w:t>（牵头单位：</w:t>
      </w:r>
      <w:r>
        <w:rPr>
          <w:rFonts w:hint="eastAsia" w:eastAsia="楷体_GB2312"/>
        </w:rPr>
        <w:t>县</w:t>
      </w:r>
      <w:r>
        <w:rPr>
          <w:rFonts w:eastAsia="楷体_GB2312"/>
        </w:rPr>
        <w:t>工业和信息化局；责任单位：</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rPr>
        <w:t>、</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县</w:t>
      </w:r>
      <w:r>
        <w:rPr>
          <w:rFonts w:eastAsia="楷体_GB2312"/>
        </w:rPr>
        <w:t>市场监管局、</w:t>
      </w:r>
      <w:r>
        <w:rPr>
          <w:rFonts w:hint="eastAsia" w:eastAsia="楷体_GB2312"/>
        </w:rPr>
        <w:t>县</w:t>
      </w:r>
      <w:r>
        <w:rPr>
          <w:rFonts w:eastAsia="楷体_GB2312"/>
        </w:rPr>
        <w:t>商务投资促进局</w:t>
      </w:r>
      <w:r>
        <w:rPr>
          <w:rFonts w:hint="eastAsia" w:eastAsia="楷体_GB2312"/>
        </w:rPr>
        <w:t>，各乡镇</w:t>
      </w:r>
      <w:r>
        <w:rPr>
          <w:rFonts w:eastAsia="楷体_GB2312"/>
        </w:rPr>
        <w:t>、</w:t>
      </w:r>
      <w:r>
        <w:rPr>
          <w:rFonts w:hint="eastAsia" w:eastAsia="楷体_GB2312"/>
        </w:rPr>
        <w:t>街道</w:t>
      </w:r>
      <w:r>
        <w:rPr>
          <w:rFonts w:eastAsia="楷体_GB2312"/>
        </w:rPr>
        <w:t>）</w:t>
      </w:r>
      <w:r>
        <w:rPr>
          <w:rFonts w:hint="eastAsia"/>
        </w:rPr>
        <w:t>加快生态工业园区建设，将生态工业园区建设作为园区发展考核的重要内容，推动园区公共设施共建共享、能源梯级利用、资源循环利用和污染物集中安全处置等。</w:t>
      </w:r>
      <w:r>
        <w:rPr>
          <w:rFonts w:hint="eastAsia" w:eastAsia="楷体_GB2312"/>
        </w:rPr>
        <w:t>（牵头单位：县生态环境分局；责任单位：县工业和信息化局、县发展和改革局，各乡镇、街道）</w:t>
      </w:r>
      <w:r>
        <w:rPr>
          <w:rFonts w:hint="eastAsia" w:ascii="仿宋_GB2312" w:hAnsi="仿宋_GB2312" w:eastAsia="仿宋_GB2312" w:cs="仿宋_GB2312"/>
        </w:rPr>
        <w:t>推动园</w:t>
      </w:r>
      <w:bookmarkStart w:id="26" w:name="_Hlk119597456"/>
      <w:r>
        <w:rPr>
          <w:rFonts w:hint="eastAsia" w:ascii="仿宋_GB2312" w:hAnsi="仿宋_GB2312" w:eastAsia="仿宋_GB2312" w:cs="仿宋_GB2312"/>
        </w:rPr>
        <w:t>区循环化改造工作</w:t>
      </w:r>
      <w:bookmarkEnd w:id="26"/>
      <w:r>
        <w:rPr>
          <w:rFonts w:hint="eastAsia" w:ascii="仿宋_GB2312" w:hAnsi="仿宋_GB2312" w:eastAsia="仿宋_GB2312" w:cs="仿宋_GB2312"/>
        </w:rPr>
        <w:t>，到2025年具备条件的省级以上园区全部实施循环化改造。</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b/>
        </w:rPr>
      </w:pPr>
      <w:r>
        <w:rPr>
          <w:rFonts w:hint="eastAsia" w:ascii="仿宋_GB2312" w:hAnsi="仿宋_GB2312" w:eastAsia="仿宋_GB2312" w:cs="仿宋_GB2312"/>
        </w:rPr>
        <w:t>（3）促进清洁生产节能降碳</w:t>
      </w:r>
    </w:p>
    <w:p>
      <w:pPr>
        <w:pageBreakBefore w:val="0"/>
        <w:widowControl w:val="0"/>
        <w:kinsoku/>
        <w:wordWrap/>
        <w:overflowPunct/>
        <w:topLinePunct w:val="0"/>
        <w:autoSpaceDE/>
        <w:autoSpaceDN/>
        <w:bidi w:val="0"/>
        <w:spacing w:line="600" w:lineRule="exact"/>
        <w:ind w:firstLine="610"/>
        <w:textAlignment w:val="auto"/>
      </w:pPr>
      <w:r>
        <w:rPr>
          <w:rFonts w:hint="eastAsia"/>
        </w:rPr>
        <w:t>探索推行企业清洁生产审核分类管理模式</w:t>
      </w:r>
      <w:r>
        <w:t>，深入推进强制性清洁生产审核，鼓励企业开展自愿性清洁生产评价认证。</w:t>
      </w:r>
      <w:r>
        <w:rPr>
          <w:rFonts w:eastAsia="楷体_GB2312"/>
        </w:rPr>
        <w:t>（</w:t>
      </w:r>
      <w:r>
        <w:rPr>
          <w:rFonts w:hint="eastAsia" w:eastAsia="楷体_GB2312"/>
        </w:rPr>
        <w:t>牵头单位：县</w:t>
      </w:r>
      <w:r>
        <w:rPr>
          <w:rFonts w:eastAsia="楷体_GB2312"/>
        </w:rPr>
        <w:t>生态环境</w:t>
      </w:r>
      <w:r>
        <w:rPr>
          <w:rFonts w:hint="eastAsia" w:eastAsia="楷体_GB2312"/>
        </w:rPr>
        <w:t>分</w:t>
      </w:r>
      <w:r>
        <w:rPr>
          <w:rFonts w:eastAsia="楷体_GB2312"/>
        </w:rPr>
        <w:t>局</w:t>
      </w:r>
      <w:r>
        <w:rPr>
          <w:rFonts w:hint="eastAsia" w:eastAsia="楷体_GB2312"/>
        </w:rPr>
        <w:t>；责任单位：县发展和改革局、县工业和信息化局、县自然资源和规划局、县住房城乡建设局、县水利局、县农业农村局、县商务投资促进局、县市场监管局，各乡镇</w:t>
      </w:r>
      <w:r>
        <w:rPr>
          <w:rFonts w:eastAsia="楷体_GB2312"/>
        </w:rPr>
        <w:t>、</w:t>
      </w:r>
      <w:r>
        <w:rPr>
          <w:rFonts w:hint="eastAsia" w:eastAsia="楷体_GB2312"/>
        </w:rPr>
        <w:t>街道</w:t>
      </w:r>
      <w:r>
        <w:rPr>
          <w:rFonts w:eastAsia="楷体_GB2312"/>
        </w:rPr>
        <w:t>）</w:t>
      </w:r>
      <w:r>
        <w:rPr>
          <w:rFonts w:hint="eastAsia"/>
        </w:rPr>
        <w:t>开展碳达峰行动，根据《聊城市碳达峰行动方案》要求，明确重点行业碳达峰目标，推动金属表面处理、建材、电力等重点行业有序实现碳达峰。围绕能源、工业、城乡建设、交通运输等领域，探索制定辖区专项碳达峰行动方案。</w:t>
      </w:r>
      <w:r>
        <w:rPr>
          <w:rFonts w:eastAsia="楷体_GB2312"/>
        </w:rPr>
        <w:t>（</w:t>
      </w:r>
      <w:r>
        <w:rPr>
          <w:rFonts w:hint="eastAsia" w:eastAsia="楷体_GB2312"/>
        </w:rPr>
        <w:t>牵头单位：县发展和改革局；责任单位：县工业和信息化局、县住房城乡建设局、县交通运输局，各乡镇</w:t>
      </w:r>
      <w:r>
        <w:rPr>
          <w:rFonts w:eastAsia="楷体_GB2312"/>
        </w:rPr>
        <w:t>、</w:t>
      </w:r>
      <w:r>
        <w:rPr>
          <w:rFonts w:hint="eastAsia" w:eastAsia="楷体_GB2312"/>
        </w:rPr>
        <w:t>街道</w:t>
      </w:r>
      <w:r>
        <w:rPr>
          <w:rFonts w:eastAsia="楷体_GB2312"/>
        </w:rPr>
        <w:t>）</w:t>
      </w:r>
      <w:r>
        <w:t>探索低成本、工业化的碳捕捉、碳汇集、碳储存、碳利用技术使用途径，推动煤电等行业开展全流程碳减排示范工程。</w:t>
      </w:r>
      <w:r>
        <w:rPr>
          <w:rFonts w:hint="eastAsia"/>
        </w:rPr>
        <w:t>制定节能减排工作方案，鼓励工业企业开展能效对标，</w:t>
      </w:r>
      <w:r>
        <w:t>推动电力热力企业开展清洁原料和能源替代，减少燃煤炉渣、飞灰、脱硫石膏等大宗工业固体废物产生。到2025年，重点行业工业企业碳排放强度降低幅度完成</w:t>
      </w:r>
      <w:r>
        <w:rPr>
          <w:rFonts w:hint="eastAsia"/>
        </w:rPr>
        <w:t>市</w:t>
      </w:r>
      <w:r>
        <w:t>下达目标。</w:t>
      </w:r>
      <w:r>
        <w:rPr>
          <w:rFonts w:eastAsia="楷体_GB2312"/>
        </w:rPr>
        <w:t>（</w:t>
      </w:r>
      <w:r>
        <w:rPr>
          <w:rFonts w:hint="eastAsia" w:eastAsia="楷体_GB2312"/>
        </w:rPr>
        <w:t>牵头单位：县发展和改革局、县生态环境分局、县工业和信息化局</w:t>
      </w:r>
      <w:r>
        <w:rPr>
          <w:rFonts w:eastAsia="楷体_GB2312"/>
        </w:rPr>
        <w:t>；责任单位：</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27" w:name="_Toc121508260"/>
      <w:bookmarkStart w:id="28" w:name="_Toc113295300"/>
      <w:r>
        <w:rPr>
          <w:rFonts w:hint="eastAsia" w:ascii="仿宋_GB2312" w:hAnsi="仿宋_GB2312" w:eastAsia="仿宋_GB2312" w:cs="仿宋_GB2312"/>
        </w:rPr>
        <w:t>2. 强化技术攻关，推动实现高效利用</w:t>
      </w:r>
      <w:bookmarkEnd w:id="27"/>
      <w:bookmarkEnd w:id="28"/>
    </w:p>
    <w:p>
      <w:pPr>
        <w:pStyle w:val="6"/>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推动工业固体废物综合利用。</w:t>
      </w:r>
      <w:bookmarkStart w:id="29" w:name="_Hlk112794220"/>
      <w:r>
        <w:rPr>
          <w:rFonts w:hint="eastAsia" w:ascii="仿宋_GB2312" w:hAnsi="仿宋_GB2312" w:eastAsia="仿宋_GB2312" w:cs="仿宋_GB2312"/>
        </w:rPr>
        <w:t>有序引导利用粉煤灰、脱硫石膏生产绿色建材等新产品新材料，扩大工业副产石膏高值化利用规模。到2025年，大宗工业固体废物综合利用率达到100%，一般工业固体废物综合利用率保持在80%以上。</w:t>
      </w:r>
      <w:r>
        <w:rPr>
          <w:rFonts w:eastAsia="楷体_GB2312"/>
        </w:rPr>
        <w:t>（</w:t>
      </w:r>
      <w:r>
        <w:rPr>
          <w:rFonts w:hint="eastAsia" w:eastAsia="楷体_GB2312"/>
        </w:rPr>
        <w:t>牵头单位：县</w:t>
      </w:r>
      <w:r>
        <w:rPr>
          <w:rFonts w:eastAsia="楷体_GB2312"/>
        </w:rPr>
        <w:t>工业和信息化局</w:t>
      </w:r>
      <w:r>
        <w:rPr>
          <w:rFonts w:hint="eastAsia" w:eastAsia="楷体_GB2312"/>
        </w:rPr>
        <w:t>；责任单位：县生态环境分局、县</w:t>
      </w:r>
      <w:r>
        <w:rPr>
          <w:rFonts w:eastAsia="楷体_GB2312"/>
        </w:rPr>
        <w:t>住房城乡建设局、</w:t>
      </w:r>
      <w:r>
        <w:rPr>
          <w:rFonts w:hint="eastAsia" w:eastAsia="楷体_GB2312"/>
        </w:rPr>
        <w:t>县行政审批服务局、县发展和改革局，各乡镇</w:t>
      </w:r>
      <w:r>
        <w:rPr>
          <w:rFonts w:eastAsia="楷体_GB2312"/>
        </w:rPr>
        <w:t>、</w:t>
      </w:r>
      <w:r>
        <w:rPr>
          <w:rFonts w:hint="eastAsia" w:eastAsia="楷体_GB2312"/>
        </w:rPr>
        <w:t>街道</w:t>
      </w:r>
      <w:r>
        <w:rPr>
          <w:rFonts w:eastAsia="楷体_GB2312"/>
        </w:rPr>
        <w:t>）</w:t>
      </w:r>
      <w:bookmarkEnd w:id="29"/>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30" w:name="_Toc113295301"/>
      <w:bookmarkStart w:id="31" w:name="_Toc121508261"/>
      <w:r>
        <w:rPr>
          <w:rFonts w:hint="eastAsia" w:ascii="仿宋_GB2312" w:hAnsi="仿宋_GB2312" w:eastAsia="仿宋_GB2312" w:cs="仿宋_GB2312"/>
        </w:rPr>
        <w:t>3. 健全制度体系，着力提升治理能力</w:t>
      </w:r>
      <w:bookmarkEnd w:id="30"/>
      <w:bookmarkEnd w:id="31"/>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（1）规范工业固体废物分类贮存</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严格落实《一般工业固体废物管理台账制定指南（试行）》，指导产生单位按照一般工业固体废物分类表，做好台账管理工作。明确一般</w:t>
      </w:r>
      <w:bookmarkStart w:id="32" w:name="_Hlk115948785"/>
      <w:r>
        <w:rPr>
          <w:rFonts w:hint="eastAsia" w:ascii="仿宋_GB2312" w:hAnsi="仿宋_GB2312" w:eastAsia="仿宋_GB2312" w:cs="仿宋_GB2312"/>
        </w:rPr>
        <w:t>工业</w:t>
      </w:r>
      <w:bookmarkEnd w:id="32"/>
      <w:r>
        <w:rPr>
          <w:rFonts w:hint="eastAsia" w:ascii="仿宋_GB2312" w:hAnsi="仿宋_GB2312" w:eastAsia="仿宋_GB2312" w:cs="仿宋_GB2312"/>
        </w:rPr>
        <w:t>固体废物产生单位管理要求，指导企业规范分类收集贮存。加强贮存处置环节环境管理，推动建设符合国家有关标准的贮存处置设施。</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（2）保障工业固体废物利用处置</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提升一般工业固体废物利用处置能力。根据《聊城市“十四五”工业固体废物污染环境防治工作规划》，合理规划工业固体废物集中利用处置设施布局，适时推进一般工业固体废物利用处置设施建设。进一步摸清工业固体废物利用处置设施建设及运行现状，推动有条件的企业率先实现新增工业固体废物能用尽用、存量工业固体废物有序减少。</w:t>
      </w:r>
      <w:r>
        <w:rPr>
          <w:rFonts w:hint="eastAsia"/>
        </w:rPr>
        <w:t>（</w:t>
      </w:r>
      <w:r>
        <w:rPr>
          <w:rFonts w:hint="eastAsia" w:ascii="楷体_GB2312" w:eastAsia="楷体_GB2312"/>
        </w:rPr>
        <w:t>牵头单位：县工业和信息化局、县生态环境分局</w:t>
      </w:r>
      <w:r>
        <w:rPr>
          <w:rFonts w:hint="eastAsia" w:eastAsia="楷体_GB2312"/>
        </w:rPr>
        <w:t>；责任单位：各乡镇</w:t>
      </w:r>
      <w:r>
        <w:rPr>
          <w:rFonts w:eastAsia="楷体_GB2312"/>
        </w:rPr>
        <w:t>、</w:t>
      </w:r>
      <w:r>
        <w:rPr>
          <w:rFonts w:hint="eastAsia" w:eastAsia="楷体_GB2312"/>
        </w:rPr>
        <w:t>街道</w:t>
      </w:r>
      <w:r>
        <w:rPr>
          <w:rFonts w:hint="eastAsia"/>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（3）强化工业固体废物跟踪管理</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推动一般工业固体废物产生企业开展网上申报登记，实时掌握利用处置情况。到2025年，一般工业固体废物产生企业申报登记率达到90%以上，电力、化工、金属表面处理等重点行业企业实现100%申报登记。深入实施工业固体废物排污许可制度，定期对企业排污许可实施情况进行检查核实，对不如实报告的行为严肃查处。</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4"/>
        <w:pageBreakBefore w:val="0"/>
        <w:widowControl w:val="0"/>
        <w:kinsoku/>
        <w:wordWrap/>
        <w:overflowPunct/>
        <w:topLinePunct w:val="0"/>
        <w:autoSpaceDE/>
        <w:autoSpaceDN/>
        <w:bidi w:val="0"/>
        <w:spacing w:line="600" w:lineRule="exact"/>
        <w:ind w:firstLine="610"/>
        <w:textAlignment w:val="auto"/>
        <w:rPr>
          <w:rFonts w:hint="eastAsia" w:ascii="Times New Roman" w:hAnsi="Times New Roman" w:cs="Times New Roman"/>
          <w:b/>
          <w:bCs/>
          <w:spacing w:val="-6"/>
          <w:sz w:val="32"/>
        </w:rPr>
      </w:pPr>
      <w:bookmarkStart w:id="33" w:name="_Toc121508262"/>
      <w:r>
        <w:rPr>
          <w:rFonts w:hint="eastAsia" w:ascii="Times New Roman" w:hAnsi="Times New Roman" w:cs="Times New Roman"/>
          <w:b/>
          <w:bCs/>
          <w:spacing w:val="-6"/>
          <w:sz w:val="32"/>
        </w:rPr>
        <w:t>（二）构建多元化循环发展模式，推动农业高质高效发展</w:t>
      </w:r>
      <w:bookmarkEnd w:id="33"/>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34" w:name="_Toc121508263"/>
      <w:r>
        <w:rPr>
          <w:rFonts w:hint="eastAsia" w:ascii="仿宋_GB2312" w:hAnsi="仿宋_GB2312" w:eastAsia="仿宋_GB2312" w:cs="仿宋_GB2312"/>
        </w:rPr>
        <w:t>1. 抓实抓细源头管理，实现农业固体废物源头减量</w:t>
      </w:r>
      <w:bookmarkEnd w:id="34"/>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（1）推广标准地膜及生物降解地膜使用</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推广应用0.01毫米以上的标准地膜，组织开展地膜产品质量专项监督检查，严厉打击销售0.01毫米以下聚乙烯地膜行为。推广全生物降解地膜，开展全生物可降解地膜应用示范活动，优选全生物可降解地膜产品，为科学推广全生物降解地膜提供技术支撑。到2025年，率先在粮食、果蔬主产区域实现大田残留地膜零增长。</w:t>
      </w:r>
      <w:r>
        <w:rPr>
          <w:rFonts w:eastAsia="楷体_GB2312"/>
        </w:rPr>
        <w:t>（牵头单位：</w:t>
      </w:r>
      <w:r>
        <w:rPr>
          <w:rFonts w:hint="eastAsia" w:eastAsia="楷体_GB2312"/>
        </w:rPr>
        <w:t>县</w:t>
      </w:r>
      <w:r>
        <w:rPr>
          <w:rFonts w:eastAsia="楷体_GB2312"/>
        </w:rPr>
        <w:t>农业农村局</w:t>
      </w:r>
      <w:r>
        <w:rPr>
          <w:rFonts w:hint="eastAsia" w:eastAsia="楷体_GB2312"/>
        </w:rPr>
        <w:t>；</w:t>
      </w:r>
      <w:r>
        <w:rPr>
          <w:rFonts w:eastAsia="楷体_GB2312"/>
        </w:rPr>
        <w:t>责任单位：</w:t>
      </w:r>
      <w:r>
        <w:rPr>
          <w:rFonts w:hint="eastAsia" w:eastAsia="楷体_GB2312"/>
        </w:rPr>
        <w:t>县</w:t>
      </w:r>
      <w:r>
        <w:rPr>
          <w:rFonts w:eastAsia="楷体_GB2312"/>
        </w:rPr>
        <w:t>市场监管局</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（2）源头减少农药包装废弃物产生</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推进化肥农药减量使用。选择高效新型肥料，重点发展粮棉作物高效增产施肥技术模式和蔬菜果树减量增效施肥技术模式。鼓励和引导农民施用商品有机肥，集成推广有机肥替代化肥的生产技术模式，构建有机肥替代化肥长效机制。重点推广食诱、灯诱、生物天敌等绿色防控技术和高效植保机械等农药药械。在集中连片农业生产地区推行高效施药机械防治技术，选用生物农药或高效低毒低残留化学农药。到2023年，化学农药和肥料施用量明显下降，到2025年，主要农作物病虫害绿色防控覆盖率达到45%以上。</w:t>
      </w:r>
      <w:r>
        <w:rPr>
          <w:rFonts w:eastAsia="楷体_GB2312"/>
        </w:rPr>
        <w:t>（牵头单位：</w:t>
      </w:r>
      <w:r>
        <w:rPr>
          <w:rFonts w:hint="eastAsia" w:eastAsia="楷体_GB2312"/>
        </w:rPr>
        <w:t>县</w:t>
      </w:r>
      <w:r>
        <w:rPr>
          <w:rFonts w:eastAsia="楷体_GB2312"/>
        </w:rPr>
        <w:t>农业农村局；责任单位：</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（3）推进畜禽养殖场标准化建设</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规模养殖场全面推行粪污处理基础设施“一控两分三防两配套一基本”标准化建设。推进畜禽养殖场（小区）配套建设智能化粪便污水贮存、处理、利用等协同处理设施和改造雨污分离管道系统。加强小规模养殖场配套建设相应容积的粪水存储池和干粪堆积场等设施。到2025年，畜禽规模养殖比重达到88%以上，规模化畜禽养殖场区固体废物处理设施配套建设实现全覆盖。</w:t>
      </w:r>
      <w:r>
        <w:rPr>
          <w:rFonts w:eastAsia="楷体_GB2312"/>
        </w:rPr>
        <w:t>（牵头单位：</w:t>
      </w:r>
      <w:r>
        <w:rPr>
          <w:rFonts w:hint="eastAsia" w:eastAsia="楷体_GB2312"/>
        </w:rPr>
        <w:t>县</w:t>
      </w:r>
      <w:r>
        <w:rPr>
          <w:rFonts w:eastAsia="楷体_GB2312"/>
        </w:rPr>
        <w:t>农业农村局；责任单位：</w:t>
      </w:r>
      <w:r>
        <w:rPr>
          <w:rFonts w:hint="eastAsia" w:eastAsia="楷体_GB2312"/>
        </w:rPr>
        <w:t>县</w:t>
      </w:r>
      <w:r>
        <w:rPr>
          <w:rFonts w:eastAsia="楷体_GB2312"/>
        </w:rPr>
        <w:t>市场监管局、</w:t>
      </w:r>
      <w:r>
        <w:rPr>
          <w:rFonts w:hint="eastAsia" w:eastAsia="楷体_GB2312"/>
        </w:rPr>
        <w:t>县</w:t>
      </w:r>
      <w:r>
        <w:rPr>
          <w:rFonts w:eastAsia="楷体_GB2312"/>
        </w:rPr>
        <w:t>住房城乡建设局</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35" w:name="_Toc121508264"/>
      <w:r>
        <w:rPr>
          <w:rFonts w:hint="eastAsia" w:ascii="仿宋_GB2312" w:hAnsi="仿宋_GB2312" w:eastAsia="仿宋_GB2312" w:cs="仿宋_GB2312"/>
        </w:rPr>
        <w:t>2. 完善收储运体系建设，提升农业固体废物收集效果</w:t>
      </w:r>
      <w:bookmarkEnd w:id="35"/>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（1）推动农作物秸秆收储中心建设</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鼓励秸秆捡拾、打捆压块和储存运输全程机械化。</w:t>
      </w:r>
      <w:r>
        <w:rPr>
          <w:rFonts w:hint="eastAsia" w:ascii="仿宋_GB2312" w:hAnsi="仿宋_GB2312" w:eastAsia="仿宋_GB2312" w:cs="仿宋_GB2312"/>
          <w:color w:val="000000" w:themeColor="text1"/>
          <w14:textFill>
            <w14:solidFill>
              <w14:schemeClr w14:val="tx1"/>
            </w14:solidFill>
          </w14:textFill>
        </w:rPr>
        <w:t>鼓励</w:t>
      </w:r>
      <w:r>
        <w:rPr>
          <w:rFonts w:hint="eastAsia" w:ascii="仿宋_GB2312" w:hAnsi="仿宋_GB2312" w:eastAsia="仿宋_GB2312" w:cs="仿宋_GB2312"/>
        </w:rPr>
        <w:t>建设“村级临时存放点-乡镇收储暂存场所-县级标准化收储中心”的三级体系，在田间地头设置村级临时存放点，各镇、街道建立一个以上收储暂存场所，县级建设一个标准化收储中心。杜绝在主次干道、村头巷尾、田间地头、河道沟塘等堆放和倾倒秸秆。</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农业农村局</w:t>
      </w:r>
      <w:r>
        <w:rPr>
          <w:rFonts w:hint="eastAsia" w:eastAsia="楷体_GB2312"/>
        </w:rPr>
        <w:t>；责任单位：各乡镇、街道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（2）建立区域畜禽粪污集中收处中心</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在满足就地就近处置的前提下，鼓励有需求的乡镇（街道）规划建设满足需要的畜禽粪污集中收集处置中心，采取政府和社会资本合作（PPP）以及社会企业投资等模式建设运营，统一收集县域内规模养殖场畜禽粪污，因地制宜推广堆沤肥还田、液体粪污贮存还田、沼肥还田等技术，集中进行无害化处理。推动形成畜禽粪污收集、存储、运输、处理和综合利用全产业链。</w:t>
      </w:r>
      <w:r>
        <w:rPr>
          <w:rFonts w:eastAsia="楷体_GB2312"/>
        </w:rPr>
        <w:t>（牵头单位：</w:t>
      </w:r>
      <w:r>
        <w:rPr>
          <w:rFonts w:hint="eastAsia" w:eastAsia="楷体_GB2312"/>
        </w:rPr>
        <w:t>县</w:t>
      </w:r>
      <w:r>
        <w:rPr>
          <w:rFonts w:eastAsia="楷体_GB2312"/>
        </w:rPr>
        <w:t>农业农村局；责任单位：</w:t>
      </w:r>
      <w:r>
        <w:rPr>
          <w:rFonts w:hint="eastAsia" w:eastAsia="楷体_GB2312"/>
        </w:rPr>
        <w:t>县</w:t>
      </w:r>
      <w:r>
        <w:rPr>
          <w:rFonts w:eastAsia="楷体_GB2312"/>
        </w:rPr>
        <w:t>工业和信息化局</w:t>
      </w:r>
      <w:r>
        <w:rPr>
          <w:rFonts w:hint="eastAsia" w:eastAsia="楷体_GB2312"/>
        </w:rPr>
        <w:t>，各乡镇、街道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（3）开展农用薄膜收储运体系建设。</w:t>
      </w:r>
    </w:p>
    <w:p>
      <w:pPr>
        <w:pStyle w:val="6"/>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鼓励各乡镇（街道）、开发区管委会因地制宜设立临时废旧农膜贮存场所，发动群众自主回收。鼓励废旧农用薄膜回收贮运网络与再生资源、生活垃圾处理、农资销售网络等相结合，探索建立可持续、成本低的废旧农用薄膜回收贮运机制。到2023年，废旧农膜回收率达到 91.5 %以上，到2025年达到 92 %以上</w:t>
      </w:r>
      <w:r>
        <w:rPr>
          <w:rFonts w:hint="eastAsia" w:ascii="仿宋_GB2312" w:hAnsi="仿宋_GB2312" w:cs="仿宋_GB2312"/>
          <w:lang w:eastAsia="zh-CN"/>
        </w:rPr>
        <w:t>。</w:t>
      </w:r>
      <w:r>
        <w:rPr>
          <w:rFonts w:hint="eastAsia" w:eastAsia="楷体_GB2312"/>
        </w:rPr>
        <w:t>（牵头</w:t>
      </w:r>
      <w:r>
        <w:rPr>
          <w:rFonts w:eastAsia="楷体_GB2312"/>
        </w:rPr>
        <w:t>单位：</w:t>
      </w:r>
      <w:r>
        <w:rPr>
          <w:rFonts w:hint="eastAsia" w:eastAsia="楷体_GB2312"/>
        </w:rPr>
        <w:t>县</w:t>
      </w:r>
      <w:r>
        <w:rPr>
          <w:rFonts w:eastAsia="楷体_GB2312"/>
        </w:rPr>
        <w:t>农业农</w:t>
      </w:r>
      <w:r>
        <w:rPr>
          <w:rFonts w:eastAsia="楷体_GB2312" w:cstheme="minorBidi"/>
          <w:bCs w:val="0"/>
          <w:szCs w:val="22"/>
        </w:rPr>
        <w:t>村局</w:t>
      </w:r>
      <w:r>
        <w:rPr>
          <w:rFonts w:hint="eastAsia" w:eastAsia="楷体_GB2312" w:cstheme="minorBidi"/>
          <w:bCs w:val="0"/>
          <w:szCs w:val="22"/>
        </w:rPr>
        <w:t>；责任单位：各乡镇、街道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（4）推进农药包装废弃物回收</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建立“有人回收、有点可送、有库可存、有钱处理”的管理回收机制，辖区内规划建设一处农药包装废弃物收储站点（可依托辖区内危险废物经营单位建设），建立县、乡镇（街道）、村三级回收体系。引导农药生产、经营者主动回收农药包装废弃物。各收储站点建立农药包装废弃物回收台账，指导农药经营者记录农药包装废弃物的数量和去向信息。到2025年，农药包装废弃物回收率达80%以上。</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农业农村局</w:t>
      </w:r>
      <w:r>
        <w:rPr>
          <w:rFonts w:hint="eastAsia" w:eastAsia="楷体_GB2312"/>
        </w:rPr>
        <w:t>；责任单位：各乡镇、街道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36" w:name="_Toc121508265"/>
      <w:r>
        <w:rPr>
          <w:rFonts w:hint="eastAsia" w:ascii="仿宋_GB2312" w:hAnsi="仿宋_GB2312" w:eastAsia="仿宋_GB2312" w:cs="仿宋_GB2312"/>
        </w:rPr>
        <w:t>3. 拓宽资源化利用途径，提高农业固体废物利用附加值</w:t>
      </w:r>
      <w:bookmarkEnd w:id="36"/>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（1）坚持秸秆科学还田与多元利用并举</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推广秸秆全量深翻还田、覆盖还田、腐熟还田等技术，推进秸秆燃料化、秸秆“三素”分离等技术研发应用。推广利用青储、氨化和发酵等饲料化技术以及生产食用菌菌基、栽培基料等基料化技术。鼓励发展生物加工、秸秆造纸、秸秆板材、装饰材料等产业，推动秸秆机械制浆关键技术研究和项目建设。鼓励各乡镇（街道）分片区培育秸秆资源化利用企业。到2025年，农作物秸秆综合利用率达到95%以上。</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农业农村局</w:t>
      </w:r>
      <w:r>
        <w:rPr>
          <w:rFonts w:hint="eastAsia" w:eastAsia="楷体_GB2312"/>
        </w:rPr>
        <w:t>；责任单位：各乡镇、街道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（2）推行畜禽粪污、秸秆和蔬菜瓜秧协同处理</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强化农业秸秆、蔬菜瓜秧、畜禽粪便等有机废弃物循环利用，探索畜禽粪污、秸秆和蔬菜瓜秧协同处理。发展种养结合，推动建立畜禽粪污还田利用机制。到2025年，畜禽粪污综合利用率保持在90%以上。</w:t>
      </w:r>
      <w:r>
        <w:rPr>
          <w:rFonts w:eastAsia="楷体_GB2312"/>
        </w:rPr>
        <w:t>（牵头单位：</w:t>
      </w:r>
      <w:r>
        <w:rPr>
          <w:rFonts w:hint="eastAsia" w:eastAsia="楷体_GB2312"/>
        </w:rPr>
        <w:t>县</w:t>
      </w:r>
      <w:r>
        <w:rPr>
          <w:rFonts w:eastAsia="楷体_GB2312"/>
        </w:rPr>
        <w:t>农业农村局；责任单位：</w:t>
      </w:r>
      <w:r>
        <w:rPr>
          <w:rFonts w:hint="eastAsia" w:eastAsia="楷体_GB2312"/>
        </w:rPr>
        <w:t>县</w:t>
      </w:r>
      <w:r>
        <w:rPr>
          <w:rFonts w:eastAsia="楷体_GB2312"/>
        </w:rPr>
        <w:t>工业和信息化局</w:t>
      </w:r>
      <w:r>
        <w:rPr>
          <w:rFonts w:hint="eastAsia" w:eastAsia="楷体_GB2312"/>
        </w:rPr>
        <w:t>，各乡镇、街道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（3）推广废旧农膜资源利用技术</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积极引导废旧农膜回收加工企业加强技术创新，延伸产业链条，提高产品附加值。推动传统地膜回收机具、处理技术装备产业化。鼓励废塑料再生企业参与废旧农膜处置，促进农膜规模化利用。探索分离瓜秧固体废物中地膜和瓜秧绳的新技术，推广可降解地膜和瓜秧绳。强化废旧农膜资源化支撑服务，组织引进或开发先进工艺、技术、设备、微生物制品等，加大技术培训力度。</w:t>
      </w:r>
      <w:r>
        <w:rPr>
          <w:rFonts w:eastAsia="楷体_GB2312"/>
        </w:rPr>
        <w:t>（</w:t>
      </w:r>
      <w:r>
        <w:rPr>
          <w:rFonts w:hint="eastAsia" w:eastAsia="楷体_GB2312"/>
        </w:rPr>
        <w:t>牵头单位：县</w:t>
      </w:r>
      <w:r>
        <w:rPr>
          <w:rFonts w:eastAsia="楷体_GB2312"/>
        </w:rPr>
        <w:t>农业农村局</w:t>
      </w:r>
      <w:r>
        <w:rPr>
          <w:rFonts w:hint="eastAsia" w:eastAsia="楷体_GB2312"/>
        </w:rPr>
        <w:t>、县</w:t>
      </w:r>
      <w:r>
        <w:rPr>
          <w:rFonts w:eastAsia="楷体_GB2312"/>
        </w:rPr>
        <w:t>工业和信息化局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37" w:name="_Toc121508266"/>
      <w:r>
        <w:rPr>
          <w:rFonts w:hint="eastAsia" w:ascii="仿宋_GB2312" w:hAnsi="仿宋_GB2312" w:eastAsia="仿宋_GB2312" w:cs="仿宋_GB2312"/>
        </w:rPr>
        <w:t>4. 强化技术模式创新，提升农业固体废物综合处置水平</w:t>
      </w:r>
      <w:bookmarkEnd w:id="37"/>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（1）推动畜禽粪污技术服务网络建设</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将规模以下畜禽粪污治理与人居环境整治相结合，构建“纵向到底，横向到边”的县、乡镇（街道）、村三级监管体系，形成“全覆盖、无死角、零缝隙”的技术服务网络。建立完善畜禽粪污资源化利用与畜禽养殖污染防治工作长效机制。推广畜禽粪污收集、贮存、运输等配套技术和设备的应用，健全多方共赢利益联结机制，探索可操作能落地、可复制能推广的畜禽粪污资源化利用模式。</w:t>
      </w:r>
      <w:r>
        <w:rPr>
          <w:rFonts w:eastAsia="楷体_GB2312"/>
        </w:rPr>
        <w:t>（牵头单位：</w:t>
      </w:r>
      <w:r>
        <w:rPr>
          <w:rFonts w:hint="eastAsia" w:eastAsia="楷体_GB2312"/>
        </w:rPr>
        <w:t>县</w:t>
      </w:r>
      <w:r>
        <w:rPr>
          <w:rFonts w:eastAsia="楷体_GB2312"/>
        </w:rPr>
        <w:t>农业农村局；责任单位：</w:t>
      </w:r>
      <w:r>
        <w:rPr>
          <w:rFonts w:hint="eastAsia" w:eastAsia="楷体_GB2312"/>
        </w:rPr>
        <w:t>县生态环境分局、县</w:t>
      </w:r>
      <w:r>
        <w:rPr>
          <w:rFonts w:eastAsia="楷体_GB2312"/>
        </w:rPr>
        <w:t>工业和信息化局</w:t>
      </w:r>
      <w:r>
        <w:rPr>
          <w:rFonts w:hint="eastAsia" w:eastAsia="楷体_GB2312"/>
        </w:rPr>
        <w:t>，各乡镇、街道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（2）探索培育生态循环农业新模式</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推广农牧结合、果牧结合、渔牧结合、林牧结合的生态养殖模式，打造畜禽养殖高质量发展示范区、农业绿色发展先行区。以定远寨镇、店子镇、烟庄街道办事处为重点，突出肉牛、肉羊等畜禽养殖，统筹资源环境承载能力、畜禽产品供给保障能力和养殖废弃物资源化利用能力</w:t>
      </w:r>
      <w:r>
        <w:rPr>
          <w:rFonts w:hint="eastAsia"/>
        </w:rPr>
        <w:t>。</w:t>
      </w:r>
      <w:r>
        <w:t>（</w:t>
      </w:r>
      <w:r>
        <w:rPr>
          <w:rFonts w:eastAsia="楷体_GB2312"/>
        </w:rPr>
        <w:t>牵头单位：</w:t>
      </w:r>
      <w:r>
        <w:rPr>
          <w:rFonts w:hint="eastAsia" w:eastAsia="楷体_GB2312"/>
        </w:rPr>
        <w:t>县</w:t>
      </w:r>
      <w:r>
        <w:rPr>
          <w:rFonts w:eastAsia="楷体_GB2312"/>
        </w:rPr>
        <w:t>农业农村局；责任单位：</w:t>
      </w:r>
      <w:r>
        <w:rPr>
          <w:rFonts w:hint="eastAsia" w:eastAsia="楷体_GB2312"/>
        </w:rPr>
        <w:t>县发展和改革局，各乡镇、街道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（3）健全病死畜禽无害化收集运输处理规范体系</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szCs w:val="24"/>
        </w:rPr>
        <w:t>以各乡镇、街道统一收集为核心，推动建立集中处理为主，布局合理、覆盖全面、运转高效、长久稳定的病死畜禽无害化收集处理体系。优化无害化处理企业布局规划，完善病死畜禽收集体系，规范病死畜禽自行处理。建立涵盖饲养、屠宰、经营、运输等各环节的病死畜禽无害化处理长效机制。加大对畜禽养殖的巡查力度，强化生产经营者主体责任，原则上养殖场（户）、屠宰企业的病死畜禽和病害畜禽产品应委托病死畜禽专业无害化处理企业进行集中处理。大型规模养殖场视情配备与养殖规模相适应的无害化处理设施，确保有效杀灭病原体。逐步实现病死畜禽及时处理，达到清洁环保、合理利用。到2025年，病死畜禽集中无害化处理率达95%。</w:t>
      </w:r>
      <w:r>
        <w:rPr>
          <w:rFonts w:hint="eastAsia" w:ascii="楷体_GB2312" w:eastAsia="楷体_GB2312" w:cs="Times New Roman"/>
          <w:szCs w:val="24"/>
        </w:rPr>
        <w:t>（牵头单位：县农业农村局；责任单位：县工业和信息化局</w:t>
      </w:r>
      <w:r>
        <w:rPr>
          <w:rFonts w:hint="eastAsia" w:eastAsia="楷体_GB2312"/>
        </w:rPr>
        <w:t>，各乡镇、街道</w:t>
      </w:r>
      <w:r>
        <w:rPr>
          <w:rFonts w:hint="eastAsia" w:ascii="楷体_GB2312" w:eastAsia="楷体_GB2312" w:cs="Times New Roman"/>
          <w:szCs w:val="24"/>
        </w:rPr>
        <w:t>）</w:t>
      </w:r>
      <w:bookmarkStart w:id="38" w:name="_Toc111217292"/>
    </w:p>
    <w:p>
      <w:pPr>
        <w:pStyle w:val="4"/>
        <w:pageBreakBefore w:val="0"/>
        <w:widowControl w:val="0"/>
        <w:kinsoku/>
        <w:wordWrap/>
        <w:overflowPunct/>
        <w:topLinePunct w:val="0"/>
        <w:autoSpaceDE/>
        <w:autoSpaceDN/>
        <w:bidi w:val="0"/>
        <w:spacing w:line="600" w:lineRule="exact"/>
        <w:ind w:firstLine="610"/>
        <w:textAlignment w:val="auto"/>
        <w:rPr>
          <w:rFonts w:hint="eastAsia" w:ascii="Times New Roman" w:hAnsi="Times New Roman" w:cs="Times New Roman"/>
          <w:b/>
          <w:bCs/>
          <w:spacing w:val="-6"/>
          <w:sz w:val="32"/>
        </w:rPr>
      </w:pPr>
      <w:bookmarkStart w:id="39" w:name="_Toc121508267"/>
      <w:r>
        <w:rPr>
          <w:rFonts w:hint="eastAsia" w:ascii="Times New Roman" w:hAnsi="Times New Roman" w:cs="Times New Roman"/>
          <w:b/>
          <w:bCs/>
          <w:spacing w:val="-6"/>
          <w:sz w:val="32"/>
        </w:rPr>
        <w:t>（三）坚持城乡统筹分类，促进生活垃圾资源化利用</w:t>
      </w:r>
      <w:bookmarkEnd w:id="38"/>
      <w:bookmarkEnd w:id="39"/>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40" w:name="_Toc111217293"/>
      <w:bookmarkStart w:id="41" w:name="_Toc121508268"/>
      <w:r>
        <w:rPr>
          <w:rFonts w:hint="eastAsia" w:ascii="仿宋_GB2312" w:hAnsi="仿宋_GB2312" w:eastAsia="仿宋_GB2312" w:cs="仿宋_GB2312"/>
        </w:rPr>
        <w:t>1. 落实</w:t>
      </w:r>
      <w:bookmarkEnd w:id="40"/>
      <w:r>
        <w:rPr>
          <w:rFonts w:hint="eastAsia" w:ascii="仿宋_GB2312" w:hAnsi="仿宋_GB2312" w:eastAsia="仿宋_GB2312" w:cs="仿宋_GB2312"/>
        </w:rPr>
        <w:t>分类收运制度，提高生活垃圾回收利用率</w:t>
      </w:r>
      <w:bookmarkEnd w:id="41"/>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（1）建立生活垃圾源头减量工作机制</w:t>
      </w:r>
    </w:p>
    <w:p>
      <w:pPr>
        <w:pageBreakBefore w:val="0"/>
        <w:widowControl w:val="0"/>
        <w:kinsoku/>
        <w:wordWrap/>
        <w:overflowPunct/>
        <w:topLinePunct w:val="0"/>
        <w:autoSpaceDE/>
        <w:autoSpaceDN/>
        <w:bidi w:val="0"/>
        <w:spacing w:line="600" w:lineRule="exact"/>
        <w:ind w:firstLine="610"/>
        <w:textAlignment w:val="auto"/>
        <w:rPr>
          <w:b/>
        </w:rPr>
      </w:pPr>
      <w:r>
        <w:rPr>
          <w:rFonts w:hint="eastAsia" w:ascii="仿宋_GB2312" w:hAnsi="仿宋_GB2312" w:eastAsia="仿宋_GB2312" w:cs="仿宋_GB2312"/>
          <w:szCs w:val="24"/>
        </w:rPr>
        <w:t>建立涵盖生产、流通、消费等领域的生活垃圾源头减量工作机制，明确生活垃圾产生者应履行的责任与义务，促进源头减量。</w:t>
      </w:r>
      <w:r>
        <w:rPr>
          <w:rFonts w:hint="eastAsia" w:ascii="仿宋_GB2312" w:hAnsi="仿宋_GB2312" w:eastAsia="仿宋_GB2312" w:cs="仿宋_GB2312"/>
        </w:rPr>
        <w:t>推进电器电子产品、办公用品等循环使用，倡导网上办公，限制使用一次性办公用品。在办公、生产、流通、消费等领域，倡导单位和个人使用可再生、可降解的产品。督促指导电子商务、快递、外卖等行业优先采用可重复使用、易回收利用的包装物，减少包装废物的产生。</w:t>
      </w:r>
      <w:r>
        <w:rPr>
          <w:rFonts w:eastAsia="楷体_GB2312"/>
        </w:rPr>
        <w:t>（</w:t>
      </w:r>
      <w:r>
        <w:rPr>
          <w:rFonts w:hint="eastAsia" w:eastAsia="楷体_GB2312"/>
        </w:rPr>
        <w:t>牵头单位：县综合行政</w:t>
      </w:r>
      <w:r>
        <w:rPr>
          <w:rFonts w:eastAsia="楷体_GB2312"/>
        </w:rPr>
        <w:t>执法局</w:t>
      </w:r>
      <w:r>
        <w:rPr>
          <w:rFonts w:hint="eastAsia" w:eastAsia="楷体_GB2312"/>
        </w:rPr>
        <w:t>、县住房城乡建设局；责任单位：各乡镇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（2）健全生活垃圾分类管理机制</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落实《聊城市生活垃圾分类管理办法》，强化考核监督机制，明确生活垃圾分类的管理机构和责任清单，明确在分类投放、收集、运输、处理以及资源利用环节的管理职责，围绕生活垃圾分类投放、分类收集、分类运输、分类处置的全闭环管理，分年度制定《生活垃圾分类工作实施方案》。加强技术创新，利用信息化手段提高垃圾分类效率。到2025年，城市居民小区生活垃圾分类覆盖率达90%以上。</w:t>
      </w:r>
      <w:r>
        <w:rPr>
          <w:rFonts w:eastAsia="楷体_GB2312"/>
        </w:rPr>
        <w:t>（</w:t>
      </w:r>
      <w:r>
        <w:rPr>
          <w:rFonts w:hint="eastAsia" w:eastAsia="楷体_GB2312"/>
        </w:rPr>
        <w:t>牵头单位：县综合行政</w:t>
      </w:r>
      <w:r>
        <w:rPr>
          <w:rFonts w:eastAsia="楷体_GB2312"/>
        </w:rPr>
        <w:t>执法局</w:t>
      </w:r>
      <w:r>
        <w:rPr>
          <w:rFonts w:hint="eastAsia" w:eastAsia="楷体_GB2312"/>
        </w:rPr>
        <w:t>、 县住房和城乡建设局；责任单位：各乡镇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（3）提升生活垃圾分类处置能力</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提升前端分类能力。实现城镇居民小区生活垃圾投放、收集、运输、处理四个环节分类设施全覆盖，新建住宅小区应至少设置一处20-30m</w:t>
      </w:r>
      <w:r>
        <w:rPr>
          <w:rFonts w:hint="eastAsia" w:ascii="仿宋_GB2312" w:hAnsi="仿宋_GB2312" w:eastAsia="仿宋_GB2312" w:cs="仿宋_GB2312"/>
          <w:vertAlign w:val="superscript"/>
        </w:rPr>
        <w:t>2</w:t>
      </w:r>
      <w:r>
        <w:rPr>
          <w:rFonts w:hint="eastAsia" w:ascii="仿宋_GB2312" w:hAnsi="仿宋_GB2312" w:eastAsia="仿宋_GB2312" w:cs="仿宋_GB2312"/>
        </w:rPr>
        <w:t>的生活垃圾分类定时定点收集房，兼顾考虑有害垃圾、可回收物暂存功能，同时设置一处20-30m</w:t>
      </w:r>
      <w:r>
        <w:rPr>
          <w:rFonts w:hint="eastAsia" w:ascii="仿宋_GB2312" w:hAnsi="仿宋_GB2312" w:eastAsia="仿宋_GB2312" w:cs="仿宋_GB2312"/>
          <w:vertAlign w:val="superscript"/>
        </w:rPr>
        <w:t>2</w:t>
      </w:r>
      <w:r>
        <w:rPr>
          <w:rFonts w:hint="eastAsia" w:ascii="仿宋_GB2312" w:hAnsi="仿宋_GB2312" w:eastAsia="仿宋_GB2312" w:cs="仿宋_GB2312"/>
        </w:rPr>
        <w:t>的大件垃圾、装修垃圾暂存点。</w:t>
      </w:r>
      <w:r>
        <w:rPr>
          <w:rFonts w:eastAsia="楷体_GB2312"/>
        </w:rPr>
        <w:t>（</w:t>
      </w:r>
      <w:r>
        <w:rPr>
          <w:rFonts w:hint="eastAsia" w:eastAsia="楷体_GB2312"/>
        </w:rPr>
        <w:t>牵头单位：县综合行政</w:t>
      </w:r>
      <w:r>
        <w:rPr>
          <w:rFonts w:eastAsia="楷体_GB2312"/>
        </w:rPr>
        <w:t>执法局</w:t>
      </w:r>
      <w:r>
        <w:rPr>
          <w:rFonts w:hint="eastAsia" w:eastAsia="楷体_GB2312"/>
        </w:rPr>
        <w:t>、县</w:t>
      </w:r>
      <w:r>
        <w:rPr>
          <w:rFonts w:eastAsia="楷体_GB2312"/>
        </w:rPr>
        <w:t>住房城乡建设局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rPr>
        <w:t>提升可回收物分拣利用能力。</w:t>
      </w:r>
      <w:r>
        <w:t>推广垃圾分类“街</w:t>
      </w:r>
      <w:r>
        <w:rPr>
          <w:rFonts w:hint="eastAsia"/>
        </w:rPr>
        <w:t>区</w:t>
      </w:r>
      <w:r>
        <w:t>绿岛”模式，将垃圾分类处理的前端、中端、末端相结合，形成完善的垃圾分类处理体系。建设一座生活垃圾分类回收分拣处理中心，</w:t>
      </w:r>
      <w:r>
        <w:rPr>
          <w:rFonts w:hint="eastAsia"/>
        </w:rPr>
        <w:t>强化运行管理。以多个相邻乡镇为一片区，建立生活垃圾可回收物回收站点，由分拣中心统一运行。分拣处理中心同时</w:t>
      </w:r>
      <w:r>
        <w:t>用于可回收物分拣</w:t>
      </w:r>
      <w:r>
        <w:rPr>
          <w:rFonts w:hint="eastAsia"/>
        </w:rPr>
        <w:t>、</w:t>
      </w:r>
      <w:r>
        <w:t>大件垃圾拆解</w:t>
      </w:r>
      <w:r>
        <w:rPr>
          <w:rFonts w:hint="eastAsia"/>
        </w:rPr>
        <w:t>，</w:t>
      </w:r>
      <w:r>
        <w:t>并配备有害垃圾贮存点。</w:t>
      </w:r>
      <w:r>
        <w:rPr>
          <w:rFonts w:eastAsia="楷体_GB2312"/>
        </w:rPr>
        <w:t>（</w:t>
      </w:r>
      <w:r>
        <w:rPr>
          <w:rFonts w:hint="eastAsia" w:eastAsia="楷体_GB2312"/>
        </w:rPr>
        <w:t>牵头单位：县综合行政</w:t>
      </w:r>
      <w:r>
        <w:rPr>
          <w:rFonts w:eastAsia="楷体_GB2312"/>
        </w:rPr>
        <w:t>执法局</w:t>
      </w:r>
      <w:r>
        <w:rPr>
          <w:rFonts w:hint="eastAsia" w:eastAsia="楷体_GB2312"/>
        </w:rPr>
        <w:t>、县</w:t>
      </w:r>
      <w:r>
        <w:rPr>
          <w:rFonts w:eastAsia="楷体_GB2312"/>
        </w:rPr>
        <w:t>住房城乡建设局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ageBreakBefore w:val="0"/>
        <w:widowControl w:val="0"/>
        <w:kinsoku/>
        <w:wordWrap/>
        <w:overflowPunct/>
        <w:topLinePunct w:val="0"/>
        <w:autoSpaceDE/>
        <w:autoSpaceDN/>
        <w:bidi w:val="0"/>
        <w:spacing w:line="600" w:lineRule="exact"/>
        <w:ind w:firstLine="610"/>
        <w:textAlignment w:val="auto"/>
      </w:pPr>
      <w:r>
        <w:rPr>
          <w:rFonts w:hint="eastAsia"/>
          <w:color w:val="000000" w:themeColor="text1"/>
          <w14:textFill>
            <w14:solidFill>
              <w14:schemeClr w14:val="tx1"/>
            </w14:solidFill>
          </w14:textFill>
        </w:rPr>
        <w:t>提升有害垃圾分拣和处置能力。有效衔接有害垃圾收运与危险废物集中收集贮存转运试点工作，保障有害垃圾处置需求</w:t>
      </w:r>
      <w:r>
        <w:rPr>
          <w:rFonts w:hint="eastAsia"/>
          <w:color w:val="7030A0"/>
        </w:rPr>
        <w:t>，</w:t>
      </w:r>
      <w:r>
        <w:rPr>
          <w:rFonts w:hint="eastAsia"/>
        </w:rPr>
        <w:t>由县政府承担相关处置费用。</w:t>
      </w:r>
      <w:r>
        <w:rPr>
          <w:rFonts w:eastAsia="楷体_GB2312"/>
        </w:rPr>
        <w:t>（牵头单位：</w:t>
      </w:r>
      <w:r>
        <w:rPr>
          <w:rFonts w:hint="eastAsia" w:eastAsia="楷体_GB2312"/>
        </w:rPr>
        <w:t>县综合行政</w:t>
      </w:r>
      <w:r>
        <w:rPr>
          <w:rFonts w:eastAsia="楷体_GB2312"/>
        </w:rPr>
        <w:t>执法局</w:t>
      </w:r>
      <w:r>
        <w:rPr>
          <w:rFonts w:hint="eastAsia" w:eastAsia="楷体_GB2312"/>
        </w:rPr>
        <w:t>、</w:t>
      </w:r>
      <w:r>
        <w:rPr>
          <w:rFonts w:hint="eastAsia" w:eastAsia="楷体_GB2312" w:cs="Times New Roman"/>
        </w:rPr>
        <w:t>县生态环境分局、</w:t>
      </w:r>
      <w:r>
        <w:rPr>
          <w:rFonts w:hint="eastAsia" w:eastAsia="楷体_GB2312"/>
        </w:rPr>
        <w:t>县</w:t>
      </w:r>
      <w:r>
        <w:rPr>
          <w:rFonts w:eastAsia="楷体_GB2312"/>
        </w:rPr>
        <w:t>住房城乡建设局</w:t>
      </w:r>
      <w:r>
        <w:rPr>
          <w:rFonts w:hint="eastAsia" w:eastAsia="楷体_GB2312"/>
        </w:rPr>
        <w:t>、</w:t>
      </w:r>
      <w:r>
        <w:rPr>
          <w:rFonts w:eastAsia="楷体_GB2312"/>
        </w:rPr>
        <w:t>县</w:t>
      </w:r>
      <w:r>
        <w:rPr>
          <w:rFonts w:hint="eastAsia" w:eastAsia="楷体_GB2312" w:cs="Times New Roman"/>
        </w:rPr>
        <w:t>财政局</w:t>
      </w:r>
      <w:r>
        <w:rPr>
          <w:rFonts w:eastAsia="楷体_GB2312"/>
        </w:rPr>
        <w:t>；责任单位：</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（4）全面推进农村生活垃圾治理</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按照“户投递、村收集、镇转运、县处理”的模式，加强农村保洁人员、清运车辆等设施配备，以一户一桶（分类桶）的标准为村民配备生活垃圾收集设施。在各村（社区）科学合理设置生活垃圾公共投放收集设施，原则上一个乡镇、街道建设一处转运站，在满足垃圾清运要求的前提下，相邻乡镇、街道可共建共享。杜绝“垃圾溢桶”“垃圾散落”现象。持续推动农村生活垃圾就地分类、源头减量。到2025年，全县农村生活垃圾无害化处理率达到100%。</w:t>
      </w:r>
      <w:r>
        <w:rPr>
          <w:rFonts w:eastAsia="楷体_GB2312"/>
        </w:rPr>
        <w:t>（牵头单位：</w:t>
      </w:r>
      <w:r>
        <w:rPr>
          <w:rFonts w:hint="eastAsia" w:eastAsia="楷体_GB2312"/>
        </w:rPr>
        <w:t>县</w:t>
      </w:r>
      <w:r>
        <w:rPr>
          <w:rFonts w:eastAsia="楷体_GB2312"/>
        </w:rPr>
        <w:t>住房城乡建设局</w:t>
      </w:r>
      <w:r>
        <w:rPr>
          <w:rFonts w:hint="eastAsia" w:eastAsia="楷体_GB2312"/>
        </w:rPr>
        <w:t>；责任单位：县农业农村局、县综合行政</w:t>
      </w:r>
      <w:r>
        <w:rPr>
          <w:rFonts w:eastAsia="楷体_GB2312"/>
        </w:rPr>
        <w:t>执法局</w:t>
      </w:r>
      <w:r>
        <w:rPr>
          <w:rFonts w:hint="eastAsia" w:eastAsia="楷体_GB2312" w:cs="Times New Roman"/>
        </w:rPr>
        <w:t>，</w:t>
      </w:r>
      <w:r>
        <w:rPr>
          <w:rFonts w:hint="eastAsia" w:eastAsia="楷体_GB2312"/>
        </w:rPr>
        <w:t>各乡镇</w:t>
      </w:r>
      <w:r>
        <w:rPr>
          <w:rFonts w:eastAsia="楷体_GB2312"/>
        </w:rPr>
        <w:t>、</w:t>
      </w:r>
      <w:r>
        <w:rPr>
          <w:rFonts w:hint="eastAsia" w:eastAsia="楷体_GB2312"/>
        </w:rPr>
        <w:t>街道</w:t>
      </w:r>
      <w:r>
        <w:rPr>
          <w:rFonts w:eastAsia="楷体_GB2312"/>
        </w:rPr>
        <w:t>）</w:t>
      </w:r>
      <w:bookmarkStart w:id="42" w:name="_Toc111217294"/>
    </w:p>
    <w:bookmarkEnd w:id="42"/>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43" w:name="_Toc121508269"/>
      <w:r>
        <w:rPr>
          <w:rFonts w:hint="eastAsia" w:ascii="仿宋_GB2312" w:hAnsi="仿宋_GB2312" w:eastAsia="仿宋_GB2312" w:cs="仿宋_GB2312"/>
        </w:rPr>
        <w:t xml:space="preserve">2. </w:t>
      </w:r>
      <w:r>
        <w:rPr>
          <w:rFonts w:hint="eastAsia" w:ascii="仿宋_GB2312" w:hAnsi="仿宋_GB2312" w:eastAsia="仿宋_GB2312" w:cs="仿宋_GB2312"/>
          <w:bCs/>
        </w:rPr>
        <w:t>完善回收利用体系</w:t>
      </w:r>
      <w:r>
        <w:rPr>
          <w:rFonts w:hint="eastAsia" w:ascii="仿宋_GB2312" w:hAnsi="仿宋_GB2312" w:eastAsia="仿宋_GB2312" w:cs="仿宋_GB2312"/>
        </w:rPr>
        <w:t>，扩宽厨余垃圾利用途径</w:t>
      </w:r>
      <w:bookmarkEnd w:id="43"/>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（1）增强厨余垃圾回收处置能力</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bCs/>
          <w:szCs w:val="28"/>
        </w:rPr>
        <w:t>推行厨余垃圾分类回收。配备厨余垃圾收集容器，做到及时收集、及时转运至厨余垃圾处置企业。</w:t>
      </w:r>
      <w:r>
        <w:rPr>
          <w:rFonts w:eastAsia="楷体_GB2312"/>
        </w:rPr>
        <w:t>（</w:t>
      </w:r>
      <w:r>
        <w:rPr>
          <w:rFonts w:hint="eastAsia" w:eastAsia="楷体_GB2312"/>
        </w:rPr>
        <w:t>牵头</w:t>
      </w:r>
      <w:r>
        <w:rPr>
          <w:rFonts w:eastAsia="楷体_GB2312"/>
        </w:rPr>
        <w:t>单位：</w:t>
      </w:r>
      <w:r>
        <w:rPr>
          <w:rFonts w:hint="eastAsia" w:eastAsia="楷体_GB2312"/>
        </w:rPr>
        <w:t>县综合行政</w:t>
      </w:r>
      <w:r>
        <w:rPr>
          <w:rFonts w:eastAsia="楷体_GB2312"/>
        </w:rPr>
        <w:t>执法局</w:t>
      </w:r>
      <w:r>
        <w:rPr>
          <w:rFonts w:hint="eastAsia" w:eastAsia="楷体_GB2312"/>
        </w:rPr>
        <w:t>，责任单位：各</w:t>
      </w:r>
      <w:r>
        <w:rPr>
          <w:rFonts w:eastAsia="楷体_GB2312"/>
        </w:rPr>
        <w:t>乡镇、街道）</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（2）推动餐厨垃圾多元化回收处置</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统筹城镇餐厨垃圾处理设施的规划和建设，多种处置方式结合，提高餐厨垃圾的资源化利用率。开展餐厨垃圾源头分质分流处理技术可行性研究，在餐饮集中区域、大型酒店（餐馆）、机关事业单位和学校等实施餐厨垃圾前端分质分流处理技术示范。推广餐厨油脂制作工业级混合油，原水发酵制作沼气，剩余餐厨细渣进行养殖的资源化利用模式。</w:t>
      </w:r>
      <w:r>
        <w:rPr>
          <w:rFonts w:eastAsia="楷体_GB2312"/>
        </w:rPr>
        <w:t>（</w:t>
      </w:r>
      <w:r>
        <w:rPr>
          <w:rFonts w:hint="eastAsia" w:eastAsia="楷体_GB2312"/>
        </w:rPr>
        <w:t>牵头</w:t>
      </w:r>
      <w:r>
        <w:rPr>
          <w:rFonts w:eastAsia="楷体_GB2312"/>
        </w:rPr>
        <w:t>单位：</w:t>
      </w:r>
      <w:r>
        <w:rPr>
          <w:rFonts w:hint="eastAsia" w:eastAsia="楷体_GB2312"/>
        </w:rPr>
        <w:t>县综合行政</w:t>
      </w:r>
      <w:r>
        <w:rPr>
          <w:rFonts w:eastAsia="楷体_GB2312"/>
        </w:rPr>
        <w:t>执法局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（3）加强餐厨垃圾全过程规范化管理</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规范餐厨垃圾分类管理、分类投放及收集处置。指导餐厨垃圾收运处置企业不断扩大收运处置范围，严格监管餐厨垃圾收集运输处置，严厉查处违规处置餐厨垃圾的行为，确保餐厨垃圾规范处置。餐厨垃圾处置企业建立完整台账，详细记录餐厨垃圾的来源、数量、去向、用途等，接受监督检查。</w:t>
      </w:r>
      <w:r>
        <w:rPr>
          <w:rFonts w:eastAsia="楷体_GB2312"/>
        </w:rPr>
        <w:t>（</w:t>
      </w:r>
      <w:r>
        <w:rPr>
          <w:rFonts w:hint="eastAsia" w:eastAsia="楷体_GB2312"/>
        </w:rPr>
        <w:t>牵头</w:t>
      </w:r>
      <w:r>
        <w:rPr>
          <w:rFonts w:eastAsia="楷体_GB2312"/>
        </w:rPr>
        <w:t>单位：</w:t>
      </w:r>
      <w:r>
        <w:rPr>
          <w:rFonts w:hint="eastAsia" w:eastAsia="楷体_GB2312"/>
        </w:rPr>
        <w:t>县综合行政</w:t>
      </w:r>
      <w:r>
        <w:rPr>
          <w:rFonts w:eastAsia="楷体_GB2312"/>
        </w:rPr>
        <w:t>执法局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（4）创新家庭厨余垃圾激励机制</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积极探索家庭厨余垃圾“分类回收+就地处置”的无害化处理模式。在有条件的小区设置厨余垃圾收集智能回收网点等，采用回收厨余垃圾计量返现金、购物券等形式，促进家庭厨余垃圾的回收。</w:t>
      </w:r>
      <w:r>
        <w:rPr>
          <w:rFonts w:hint="eastAsia" w:ascii="仿宋_GB2312" w:hAnsi="仿宋_GB2312" w:eastAsia="仿宋_GB2312" w:cs="仿宋_GB2312"/>
          <w:bCs/>
        </w:rPr>
        <w:t>鼓励厨余垃圾就地就近处理，推广使</w:t>
      </w:r>
      <w:r>
        <w:rPr>
          <w:rFonts w:hint="eastAsia" w:ascii="仿宋_GB2312" w:hAnsi="仿宋_GB2312" w:eastAsia="仿宋_GB2312" w:cs="仿宋_GB2312"/>
        </w:rPr>
        <w:t>用厨余垃圾生物制肥处理设备，实现就地化处置。</w:t>
      </w:r>
      <w:r>
        <w:rPr>
          <w:rFonts w:eastAsia="楷体_GB2312"/>
        </w:rPr>
        <w:t>（</w:t>
      </w:r>
      <w:r>
        <w:rPr>
          <w:rFonts w:hint="eastAsia" w:eastAsia="楷体_GB2312"/>
        </w:rPr>
        <w:t>牵头</w:t>
      </w:r>
      <w:r>
        <w:rPr>
          <w:rFonts w:eastAsia="楷体_GB2312"/>
        </w:rPr>
        <w:t>单位：</w:t>
      </w:r>
      <w:r>
        <w:rPr>
          <w:rFonts w:hint="eastAsia" w:eastAsia="楷体_GB2312"/>
        </w:rPr>
        <w:t>县综合行政</w:t>
      </w:r>
      <w:r>
        <w:rPr>
          <w:rFonts w:eastAsia="楷体_GB2312"/>
        </w:rPr>
        <w:t>执法局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44" w:name="_Toc121508270"/>
      <w:r>
        <w:rPr>
          <w:rFonts w:hint="eastAsia" w:ascii="仿宋_GB2312" w:hAnsi="仿宋_GB2312" w:eastAsia="仿宋_GB2312" w:cs="仿宋_GB2312"/>
        </w:rPr>
        <w:t>3. 构建多途径消纳路线，推进城市污泥无害化处置</w:t>
      </w:r>
      <w:bookmarkEnd w:id="44"/>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（1）探索污泥多途径处理方式</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综合考虑污泥泥质特征、地理位置、环境条件和经济社会发展水平等因素，鼓励企业因地制宜确定污泥处理处置方式。推广“污泥调质+脱水+干化+单独焚烧”等耦合污泥利用技术</w:t>
      </w:r>
      <w:bookmarkStart w:id="45" w:name="_Hlk122635156"/>
      <w:r>
        <w:rPr>
          <w:rFonts w:hint="eastAsia" w:ascii="仿宋_GB2312" w:hAnsi="仿宋_GB2312" w:eastAsia="仿宋_GB2312" w:cs="仿宋_GB2312"/>
        </w:rPr>
        <w:t>，推广移动式污泥处置设备</w:t>
      </w:r>
      <w:bookmarkEnd w:id="45"/>
      <w:r>
        <w:rPr>
          <w:rFonts w:hint="eastAsia" w:ascii="仿宋_GB2312" w:hAnsi="仿宋_GB2312" w:eastAsia="仿宋_GB2312" w:cs="仿宋_GB2312"/>
        </w:rPr>
        <w:t>，形成污泥多途径消纳处置技术路线。</w:t>
      </w:r>
      <w:r>
        <w:rPr>
          <w:rFonts w:eastAsia="楷体_GB2312"/>
        </w:rPr>
        <w:t>（</w:t>
      </w:r>
      <w:r>
        <w:rPr>
          <w:rFonts w:hint="eastAsia" w:eastAsia="楷体_GB2312"/>
        </w:rPr>
        <w:t>牵头单位：县综合行政</w:t>
      </w:r>
      <w:r>
        <w:rPr>
          <w:rFonts w:eastAsia="楷体_GB2312"/>
        </w:rPr>
        <w:t>执法局</w:t>
      </w:r>
      <w:r>
        <w:rPr>
          <w:rFonts w:hint="eastAsia" w:eastAsia="楷体_GB2312"/>
        </w:rPr>
        <w:t>、县</w:t>
      </w:r>
      <w:r>
        <w:rPr>
          <w:rFonts w:eastAsia="楷体_GB2312"/>
        </w:rPr>
        <w:t>住房城乡建设局、</w:t>
      </w:r>
      <w:r>
        <w:rPr>
          <w:rFonts w:hint="eastAsia" w:eastAsia="楷体_GB2312"/>
        </w:rPr>
        <w:t>县</w:t>
      </w:r>
      <w:r>
        <w:rPr>
          <w:rFonts w:eastAsia="楷体_GB2312"/>
        </w:rPr>
        <w:t>工业和信息化局</w:t>
      </w:r>
      <w:r>
        <w:rPr>
          <w:rFonts w:hint="eastAsia" w:eastAsia="楷体_GB2312"/>
        </w:rPr>
        <w:t>、县财政局、县生态环境分局；责任单位：各乡镇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（2）提升粪便污泥处置能力</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在现有污泥干化处理厂的基础上，县</w:t>
      </w:r>
      <w:r>
        <w:rPr>
          <w:rFonts w:hint="eastAsia" w:ascii="仿宋_GB2312" w:hAnsi="仿宋_GB2312" w:eastAsia="仿宋_GB2312" w:cs="仿宋_GB2312"/>
          <w:color w:val="000000" w:themeColor="text1"/>
          <w14:textFill>
            <w14:solidFill>
              <w14:schemeClr w14:val="tx1"/>
            </w14:solidFill>
          </w14:textFill>
        </w:rPr>
        <w:t>城区规划一处粪便污泥处理企业，满足当地处置需求的粪便污泥处理场所，实现产生量与处置能力相匹配。</w:t>
      </w:r>
      <w:r>
        <w:rPr>
          <w:rFonts w:eastAsia="楷体_GB2312"/>
        </w:rPr>
        <w:t>（牵头单位：</w:t>
      </w:r>
      <w:r>
        <w:rPr>
          <w:rFonts w:hint="eastAsia" w:eastAsia="楷体_GB2312"/>
        </w:rPr>
        <w:t>县综合行政</w:t>
      </w:r>
      <w:r>
        <w:rPr>
          <w:rFonts w:eastAsia="楷体_GB2312"/>
        </w:rPr>
        <w:t>执法局；责任单位：</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（3）推进城市河道污泥处置</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制定城市河道清障计划和河道清淤污泥处置方案，定期开展河道清淤工程。明确监管部门，加强对下水道清淤车辆的监管，严禁私自倾倒等行为。探索河道淤泥处置利用新方式，不断提高河道污泥处置消纳能力。采取污泥热解制油、制作建材等方式，实现城市污水污泥、粪便污泥、河道污泥的无害化处置。</w:t>
      </w:r>
      <w:r>
        <w:rPr>
          <w:rFonts w:eastAsia="楷体_GB2312"/>
        </w:rPr>
        <w:t>（</w:t>
      </w:r>
      <w:bookmarkStart w:id="46" w:name="_Hlk112420684"/>
      <w:r>
        <w:rPr>
          <w:rFonts w:hint="eastAsia" w:eastAsia="楷体_GB2312"/>
        </w:rPr>
        <w:t>牵头单位：</w:t>
      </w:r>
      <w:bookmarkEnd w:id="46"/>
      <w:r>
        <w:rPr>
          <w:rFonts w:hint="eastAsia" w:eastAsia="楷体_GB2312"/>
        </w:rPr>
        <w:t>县</w:t>
      </w:r>
      <w:r>
        <w:rPr>
          <w:rFonts w:eastAsia="楷体_GB2312"/>
        </w:rPr>
        <w:t>水利局、</w:t>
      </w:r>
      <w:r>
        <w:rPr>
          <w:rFonts w:hint="eastAsia" w:eastAsia="楷体_GB2312"/>
        </w:rPr>
        <w:t>县综合行政</w:t>
      </w:r>
      <w:r>
        <w:rPr>
          <w:rFonts w:eastAsia="楷体_GB2312"/>
        </w:rPr>
        <w:t>执法局</w:t>
      </w:r>
      <w:r>
        <w:rPr>
          <w:rFonts w:hint="eastAsia" w:eastAsia="楷体_GB2312"/>
        </w:rPr>
        <w:t>、县</w:t>
      </w:r>
      <w:r>
        <w:rPr>
          <w:rFonts w:eastAsia="楷体_GB2312"/>
        </w:rPr>
        <w:t>住房城乡建设局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47" w:name="_Toc121508271"/>
      <w:r>
        <w:rPr>
          <w:rFonts w:hint="eastAsia" w:ascii="仿宋_GB2312" w:hAnsi="仿宋_GB2312" w:eastAsia="仿宋_GB2312" w:cs="仿宋_GB2312"/>
        </w:rPr>
        <w:t>4. 建立长效管理机制，完善可回收物回收体系</w:t>
      </w:r>
      <w:bookmarkEnd w:id="47"/>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（1）健全可回收物回收体系</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设置可回收物分拣中心，布局建设全域覆盖的回收站点。生活垃圾分类收集站内设置生活垃圾“四分类”回收功能区，服务范围覆盖居民小区和周边商铺、百货商超、办公写字楼等商业区。建成与生活垃圾分类相衔接的回收物流体系，有效保证回收体系的顺畅高效运转。</w:t>
      </w:r>
      <w:r>
        <w:rPr>
          <w:rFonts w:eastAsia="楷体_GB2312"/>
        </w:rPr>
        <w:t>（</w:t>
      </w:r>
      <w:r>
        <w:rPr>
          <w:rFonts w:hint="eastAsia" w:eastAsia="楷体_GB2312"/>
        </w:rPr>
        <w:t>牵头单位：县商务</w:t>
      </w:r>
      <w:r>
        <w:rPr>
          <w:rFonts w:eastAsia="楷体_GB2312"/>
        </w:rPr>
        <w:t>投资促进局</w:t>
      </w:r>
      <w:r>
        <w:rPr>
          <w:rFonts w:hint="eastAsia" w:eastAsia="楷体_GB2312"/>
        </w:rPr>
        <w:t>、县综合行政</w:t>
      </w:r>
      <w:r>
        <w:rPr>
          <w:rFonts w:eastAsia="楷体_GB2312"/>
        </w:rPr>
        <w:t>执法局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（2）建立可回收物监管体系</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探索建立可回收物管理长效机制，形成对可回收物的“产生-回收-利用”监管体系，加快生活垃圾收运体系与可回收物回收一体化规划建设。</w:t>
      </w:r>
      <w:r>
        <w:rPr>
          <w:rFonts w:eastAsia="楷体_GB2312"/>
        </w:rPr>
        <w:t>（</w:t>
      </w:r>
      <w:r>
        <w:rPr>
          <w:rFonts w:hint="eastAsia" w:eastAsia="楷体_GB2312"/>
        </w:rPr>
        <w:t>牵头单位：县商务</w:t>
      </w:r>
      <w:r>
        <w:rPr>
          <w:rFonts w:eastAsia="楷体_GB2312"/>
        </w:rPr>
        <w:t>投资促进局</w:t>
      </w:r>
      <w:r>
        <w:rPr>
          <w:rFonts w:hint="eastAsia" w:eastAsia="楷体_GB2312"/>
        </w:rPr>
        <w:t>、县综合行政</w:t>
      </w:r>
      <w:r>
        <w:rPr>
          <w:rFonts w:eastAsia="楷体_GB2312"/>
        </w:rPr>
        <w:t>执法局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（3）构建“互联网+”管理体系</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以东昌府区生活垃圾分类大数据平台为参考，搭建全县生活垃圾分类大数据平台，同时基于“街区绿岛”的预约回收机制，通过小程序、APP提前预约，专业人员上门回收。收集类别包括大件垃圾（废旧家具）、废旧衣物、纸箱纸盒、废弃电器电子产品等，并实时采集可回收物运营数据，形成回收数据电子统计台账。积极引入</w:t>
      </w:r>
      <w:bookmarkStart w:id="48" w:name="_Hlk121386667"/>
      <w:r>
        <w:rPr>
          <w:rFonts w:hint="eastAsia" w:ascii="仿宋_GB2312" w:hAnsi="仿宋_GB2312" w:eastAsia="仿宋_GB2312" w:cs="仿宋_GB2312"/>
        </w:rPr>
        <w:t>“互联网+”</w:t>
      </w:r>
      <w:bookmarkEnd w:id="48"/>
      <w:r>
        <w:rPr>
          <w:rFonts w:hint="eastAsia" w:ascii="仿宋_GB2312" w:hAnsi="仿宋_GB2312" w:eastAsia="仿宋_GB2312" w:cs="仿宋_GB2312"/>
        </w:rPr>
        <w:t>处理企业，重点围绕废弃电器电子产品、外卖餐盒、快递包装物等新兴固体废物，引入再生资源利用处置企业，鼓励探索回收利用新技术和新模式。</w:t>
      </w:r>
      <w:r>
        <w:rPr>
          <w:rFonts w:eastAsia="楷体_GB2312"/>
        </w:rPr>
        <w:t>（</w:t>
      </w:r>
      <w:r>
        <w:rPr>
          <w:rFonts w:hint="eastAsia" w:eastAsia="楷体_GB2312"/>
        </w:rPr>
        <w:t>牵头单位：县</w:t>
      </w:r>
      <w:r>
        <w:rPr>
          <w:rFonts w:eastAsia="楷体_GB2312"/>
        </w:rPr>
        <w:t>商务投资促进局</w:t>
      </w:r>
      <w:r>
        <w:rPr>
          <w:rFonts w:hint="eastAsia" w:eastAsia="楷体_GB2312"/>
        </w:rPr>
        <w:t>、县综合行政</w:t>
      </w:r>
      <w:r>
        <w:rPr>
          <w:rFonts w:eastAsia="楷体_GB2312"/>
        </w:rPr>
        <w:t>执法局、</w:t>
      </w:r>
      <w:r>
        <w:rPr>
          <w:rFonts w:hint="eastAsia" w:eastAsia="楷体_GB2312"/>
        </w:rPr>
        <w:t>县</w:t>
      </w:r>
      <w:r>
        <w:rPr>
          <w:rFonts w:eastAsia="楷体_GB2312"/>
        </w:rPr>
        <w:t>工业和信息化局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49" w:name="_Toc121508272"/>
      <w:bookmarkStart w:id="50" w:name="_Hlk112353977"/>
      <w:r>
        <w:rPr>
          <w:rFonts w:hint="eastAsia"/>
          <w:b/>
          <w:bCs/>
        </w:rPr>
        <w:t>（四）加强全过程管理，推进建筑垃圾综合利用</w:t>
      </w:r>
    </w:p>
    <w:bookmarkEnd w:id="49"/>
    <w:bookmarkEnd w:id="50"/>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51" w:name="_Toc121508273"/>
      <w:r>
        <w:rPr>
          <w:rFonts w:hint="eastAsia" w:ascii="仿宋_GB2312" w:hAnsi="仿宋_GB2312" w:eastAsia="仿宋_GB2312" w:cs="仿宋_GB2312"/>
        </w:rPr>
        <w:t xml:space="preserve">1. </w:t>
      </w:r>
      <w:bookmarkStart w:id="52" w:name="_Hlk122284298"/>
      <w:r>
        <w:rPr>
          <w:rFonts w:hint="eastAsia" w:ascii="仿宋_GB2312" w:hAnsi="仿宋_GB2312" w:eastAsia="仿宋_GB2312" w:cs="仿宋_GB2312"/>
        </w:rPr>
        <w:t>推动建筑业绿色低碳发展，促进建筑垃圾源头减量</w:t>
      </w:r>
      <w:bookmarkEnd w:id="51"/>
    </w:p>
    <w:bookmarkEnd w:id="52"/>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（1）提高绿色建筑建设品质</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推广绿色建筑，使用新型环保节能绿色建材，提高绿色建筑的占比。城镇新建民用建筑全部按照绿色建筑标准进行规划、设计、建设，加快发展绿色施工适宜技术，将绿色施工列入工程建设评优评奖、示范立项及企业信用体系建设重要内容，政府投资或主导的建筑工程推行绿色施工。</w:t>
      </w:r>
      <w:bookmarkStart w:id="53" w:name="_Hlk122284484"/>
      <w:r>
        <w:rPr>
          <w:rFonts w:hint="eastAsia" w:ascii="仿宋_GB2312" w:hAnsi="仿宋_GB2312" w:eastAsia="仿宋_GB2312" w:cs="仿宋_GB2312"/>
        </w:rPr>
        <w:t>到2023年，城镇新建民用建筑中绿色建筑占比达到95%；</w:t>
      </w:r>
      <w:bookmarkEnd w:id="53"/>
      <w:r>
        <w:rPr>
          <w:rFonts w:hint="eastAsia" w:ascii="仿宋_GB2312" w:hAnsi="仿宋_GB2312" w:eastAsia="仿宋_GB2312" w:cs="仿宋_GB2312"/>
        </w:rPr>
        <w:t>到2025年，达到100%。</w:t>
      </w:r>
      <w:r>
        <w:rPr>
          <w:rFonts w:eastAsia="楷体"/>
        </w:rPr>
        <w:t>（</w:t>
      </w:r>
      <w:r>
        <w:rPr>
          <w:rFonts w:eastAsia="楷体_GB2312"/>
        </w:rPr>
        <w:t>牵头单位：</w:t>
      </w:r>
      <w:r>
        <w:rPr>
          <w:rFonts w:hint="eastAsia" w:eastAsia="楷体_GB2312"/>
        </w:rPr>
        <w:t>县</w:t>
      </w:r>
      <w:r>
        <w:rPr>
          <w:rFonts w:eastAsia="楷体_GB2312"/>
        </w:rPr>
        <w:t>住房城乡建设局；责任单位：</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rPr>
        <w:t>、</w:t>
      </w:r>
      <w:r>
        <w:rPr>
          <w:rFonts w:hint="eastAsia" w:eastAsia="楷体_GB2312"/>
        </w:rPr>
        <w:t>县</w:t>
      </w:r>
      <w:r>
        <w:rPr>
          <w:rFonts w:eastAsia="楷体_GB2312"/>
        </w:rPr>
        <w:t>工业和信息化局</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（2）大力发展装配式建筑</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提升产业工人技术技能水平，新建公共租赁住房、棚户区改造安置住房、政府投资工程和大型公共建筑全面实施装配式建筑。到2023年，新建装配式建筑占新建建筑面积比例达到35%以上；到2025年达到45%。</w:t>
      </w:r>
      <w:bookmarkStart w:id="54" w:name="_Hlk115619986"/>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住房城乡建设局</w:t>
      </w:r>
      <w:r>
        <w:rPr>
          <w:rFonts w:hint="eastAsia" w:eastAsia="楷体_GB2312"/>
        </w:rPr>
        <w:t>；责任单位：各乡镇</w:t>
      </w:r>
      <w:r>
        <w:rPr>
          <w:rFonts w:eastAsia="楷体_GB2312"/>
        </w:rPr>
        <w:t>、</w:t>
      </w:r>
      <w:r>
        <w:rPr>
          <w:rFonts w:hint="eastAsia" w:eastAsia="楷体_GB2312"/>
        </w:rPr>
        <w:t>街道</w:t>
      </w:r>
      <w:r>
        <w:rPr>
          <w:rFonts w:eastAsia="楷体_GB2312"/>
        </w:rPr>
        <w:t>）</w:t>
      </w:r>
      <w:bookmarkEnd w:id="54"/>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（3）狠抓建筑垃圾源头减量</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坚持“谁产生、谁负责”，严格落实建设单位建筑垃圾减量化和处理首要责任。工程建设单位要将建筑垃圾处置费用纳入工程预算。落实《山东省建筑垃圾减量化工作实施方案》</w:t>
      </w:r>
      <w:bookmarkStart w:id="55" w:name="_Hlk121922142"/>
      <w:r>
        <w:rPr>
          <w:rFonts w:hint="eastAsia" w:ascii="仿宋_GB2312" w:hAnsi="仿宋_GB2312" w:eastAsia="仿宋_GB2312" w:cs="仿宋_GB2312"/>
        </w:rPr>
        <w:t>和住房和城乡建设厅等十部门《关于印发关于规范建筑垃圾全过程管理工作的若干措施的通知》</w:t>
      </w:r>
      <w:bookmarkEnd w:id="55"/>
      <w:r>
        <w:rPr>
          <w:rFonts w:hint="eastAsia" w:ascii="仿宋_GB2312" w:hAnsi="仿宋_GB2312" w:eastAsia="仿宋_GB2312" w:cs="仿宋_GB2312"/>
        </w:rPr>
        <w:t>要求，明确减量要求，优化建筑设计，科学组织施工，在地形整理、工程基坑填垫等环节充分利用建筑垃圾。拆除工程原则上要做到即拆即运</w:t>
      </w:r>
      <w:bookmarkStart w:id="56" w:name="_Hlk121922162"/>
      <w:r>
        <w:rPr>
          <w:rFonts w:hint="eastAsia" w:ascii="仿宋_GB2312" w:hAnsi="仿宋_GB2312" w:eastAsia="仿宋_GB2312" w:cs="仿宋_GB2312"/>
        </w:rPr>
        <w:t>，宜优先使用移动式处理设备对拆除垃圾实行就地处理，减少外运量。</w:t>
      </w:r>
      <w:bookmarkEnd w:id="56"/>
      <w:r>
        <w:rPr>
          <w:rFonts w:hint="eastAsia" w:ascii="仿宋_GB2312" w:hAnsi="仿宋_GB2312" w:eastAsia="仿宋_GB2312" w:cs="仿宋_GB2312"/>
        </w:rPr>
        <w:t>到2025年底，实现新建建筑施工现场工程垃圾排放量控制在200-300吨/万平方米。</w:t>
      </w:r>
      <w:r>
        <w:rPr>
          <w:rFonts w:eastAsia="楷体_GB2312"/>
        </w:rPr>
        <w:t>（牵头单位：</w:t>
      </w:r>
      <w:r>
        <w:rPr>
          <w:rFonts w:hint="eastAsia" w:eastAsia="楷体_GB2312"/>
        </w:rPr>
        <w:t>县</w:t>
      </w:r>
      <w:r>
        <w:rPr>
          <w:rFonts w:eastAsia="楷体_GB2312"/>
        </w:rPr>
        <w:t>住房城乡建设局；责任单位：</w:t>
      </w:r>
      <w:r>
        <w:rPr>
          <w:rFonts w:hint="eastAsia" w:eastAsia="楷体_GB2312"/>
        </w:rPr>
        <w:t>县综合行政</w:t>
      </w:r>
      <w:r>
        <w:rPr>
          <w:rFonts w:eastAsia="楷体_GB2312"/>
        </w:rPr>
        <w:t>执法局</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57" w:name="_Toc121508274"/>
      <w:r>
        <w:rPr>
          <w:rFonts w:hint="eastAsia" w:ascii="仿宋_GB2312" w:hAnsi="仿宋_GB2312" w:eastAsia="仿宋_GB2312" w:cs="仿宋_GB2312"/>
        </w:rPr>
        <w:t>2. 建设全链条闭环管理体系，完善建筑垃圾过程监管</w:t>
      </w:r>
      <w:bookmarkEnd w:id="57"/>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（1）推行全过程绿色建造</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强化绿色建造评价体系和技术导则应用，打造一批绿色建造示范工程，探索推行工程项目绿色策划、绿色设计、绿色交付。加强建筑垃圾源头管控，落实建设单位建筑垃圾减量化主体责任。推动政府投资或国有资金投资建筑按规定优先采用绿色建材，建设绿色建材应用示范工程。严格落实建设工程工地扬尘污染防治措施。</w:t>
      </w:r>
      <w:r>
        <w:rPr>
          <w:rFonts w:eastAsia="楷体_GB2312"/>
        </w:rPr>
        <w:t>（牵头单位：</w:t>
      </w:r>
      <w:r>
        <w:rPr>
          <w:rFonts w:hint="eastAsia" w:eastAsia="楷体_GB2312"/>
        </w:rPr>
        <w:t>县</w:t>
      </w:r>
      <w:r>
        <w:rPr>
          <w:rFonts w:eastAsia="楷体_GB2312"/>
        </w:rPr>
        <w:t>住房城乡建设局；责任单位：</w:t>
      </w:r>
      <w:r>
        <w:rPr>
          <w:rFonts w:hint="eastAsia" w:eastAsia="楷体_GB2312"/>
        </w:rPr>
        <w:t>县</w:t>
      </w:r>
      <w:r>
        <w:rPr>
          <w:rFonts w:eastAsia="楷体_GB2312"/>
        </w:rPr>
        <w:t>公安局</w:t>
      </w:r>
      <w:r>
        <w:rPr>
          <w:rFonts w:hint="eastAsia" w:eastAsia="楷体_GB2312"/>
        </w:rPr>
        <w:t>、县综合行政</w:t>
      </w:r>
      <w:r>
        <w:rPr>
          <w:rFonts w:eastAsia="楷体_GB2312"/>
        </w:rPr>
        <w:t>执法局、</w:t>
      </w:r>
      <w:r>
        <w:rPr>
          <w:rFonts w:hint="eastAsia" w:eastAsia="楷体_GB2312"/>
        </w:rPr>
        <w:t>县</w:t>
      </w:r>
      <w:r>
        <w:rPr>
          <w:rFonts w:eastAsia="楷体_GB2312"/>
        </w:rPr>
        <w:t>交通运输局、</w:t>
      </w:r>
      <w:r>
        <w:rPr>
          <w:rFonts w:hint="eastAsia" w:eastAsia="楷体_GB2312"/>
        </w:rPr>
        <w:t>县发展和改革局，</w:t>
      </w:r>
      <w:r>
        <w:rPr>
          <w:rFonts w:eastAsia="楷体_GB2312"/>
        </w:rPr>
        <w:t>各乡镇、街道）</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（2）推进建筑垃圾闭环管理</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工程施工单位应当在工程开工前依法编制建筑垃圾处理方案，明确建筑垃圾产生类别和数量、减量目标和措施、分类收集措施、运输和处理方式、污染防治措施等内容。建立申报与转移联单管理制度。到2025年底，将所有涉及新建项目、拆除项目、建筑垃圾利用处置的单位纳入建筑垃圾产生、运输、利用处置管理体系，建立建筑垃圾的产生、贮存、运输、末端处置全过程闭环管理机制。</w:t>
      </w:r>
      <w:r>
        <w:rPr>
          <w:rFonts w:eastAsia="楷体_GB2312"/>
        </w:rPr>
        <w:t>（</w:t>
      </w:r>
      <w:r>
        <w:rPr>
          <w:rFonts w:hint="eastAsia" w:eastAsia="楷体_GB2312"/>
        </w:rPr>
        <w:t>牵头单位：县</w:t>
      </w:r>
      <w:r>
        <w:rPr>
          <w:rFonts w:eastAsia="楷体_GB2312"/>
        </w:rPr>
        <w:t>住房城乡建设局</w:t>
      </w:r>
      <w:r>
        <w:rPr>
          <w:rFonts w:hint="eastAsia" w:eastAsia="楷体_GB2312"/>
        </w:rPr>
        <w:t>、县综合行政</w:t>
      </w:r>
      <w:r>
        <w:rPr>
          <w:rFonts w:eastAsia="楷体_GB2312"/>
        </w:rPr>
        <w:t>执法局、</w:t>
      </w:r>
      <w:r>
        <w:rPr>
          <w:rFonts w:hint="eastAsia" w:eastAsia="楷体_GB2312"/>
        </w:rPr>
        <w:t>县</w:t>
      </w:r>
      <w:r>
        <w:rPr>
          <w:rFonts w:eastAsia="楷体_GB2312"/>
        </w:rPr>
        <w:t>公安局</w:t>
      </w:r>
      <w:r>
        <w:rPr>
          <w:rFonts w:hint="eastAsia" w:eastAsia="楷体_GB2312"/>
        </w:rPr>
        <w:t>、县行政审批服务局；责任单位：各乡镇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（3）健全建筑垃圾全过程管理制度</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到2023年，依法编制建筑垃圾污染环境防治工作规划或建筑垃圾治理专项规划。科学布局、合理规划设置建筑垃圾转运调配场和装修垃圾分拣厂。推进建筑垃圾临时消纳场（堆放场）规范化管理。切实加强建筑垃圾运输企业和车辆管理，全面推行建筑垃圾运输车辆从工地、运输到末端处置环节联单记录管理。</w:t>
      </w:r>
      <w:r>
        <w:rPr>
          <w:rFonts w:eastAsia="楷体_GB2312"/>
        </w:rPr>
        <w:t>（牵头单位：</w:t>
      </w:r>
      <w:r>
        <w:rPr>
          <w:rFonts w:hint="eastAsia" w:eastAsia="楷体_GB2312"/>
        </w:rPr>
        <w:t>县综合行政</w:t>
      </w:r>
      <w:r>
        <w:rPr>
          <w:rFonts w:eastAsia="楷体_GB2312"/>
        </w:rPr>
        <w:t>执法局；责任单位：</w:t>
      </w:r>
      <w:r>
        <w:rPr>
          <w:rFonts w:hint="eastAsia" w:eastAsia="楷体_GB2312"/>
        </w:rPr>
        <w:t>县</w:t>
      </w:r>
      <w:r>
        <w:rPr>
          <w:rFonts w:eastAsia="楷体_GB2312"/>
        </w:rPr>
        <w:t>住房城乡建设局、</w:t>
      </w:r>
      <w:r>
        <w:rPr>
          <w:rFonts w:hint="eastAsia" w:eastAsia="楷体_GB2312"/>
        </w:rPr>
        <w:t>县</w:t>
      </w:r>
      <w:r>
        <w:rPr>
          <w:rFonts w:eastAsia="楷体_GB2312"/>
        </w:rPr>
        <w:t>公安局</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（4）构建多部门协同联动机制</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成立建筑垃圾规范化处置工作专班，各相关管理部门联合办公，明确各自职责，加强协调配合。对城区现有存量建筑垃圾，制定治理计划和措施。同时，加强建筑垃圾源头管理，定期对施工现场巡查，发现问题及时督促整改。强化组织领导和部门联动，不定期组织联合执法行动，加大执法力度，定期开展建筑垃圾专项整治行动。</w:t>
      </w:r>
      <w:r>
        <w:rPr>
          <w:rFonts w:eastAsia="楷体_GB2312"/>
        </w:rPr>
        <w:t>（</w:t>
      </w:r>
      <w:r>
        <w:rPr>
          <w:rFonts w:hint="eastAsia" w:eastAsia="楷体_GB2312"/>
        </w:rPr>
        <w:t>牵头单位：县综合行政</w:t>
      </w:r>
      <w:r>
        <w:rPr>
          <w:rFonts w:eastAsia="楷体_GB2312"/>
        </w:rPr>
        <w:t>执法局</w:t>
      </w:r>
      <w:r>
        <w:rPr>
          <w:rFonts w:hint="eastAsia" w:eastAsia="楷体_GB2312"/>
        </w:rPr>
        <w:t>、县</w:t>
      </w:r>
      <w:r>
        <w:rPr>
          <w:rFonts w:eastAsia="楷体_GB2312"/>
        </w:rPr>
        <w:t>住房城乡建设局</w:t>
      </w:r>
      <w:r>
        <w:rPr>
          <w:rFonts w:hint="eastAsia" w:eastAsia="楷体_GB2312"/>
        </w:rPr>
        <w:t>、县</w:t>
      </w:r>
      <w:r>
        <w:rPr>
          <w:rFonts w:eastAsia="楷体_GB2312"/>
        </w:rPr>
        <w:t>公安局、</w:t>
      </w:r>
      <w:r>
        <w:rPr>
          <w:rFonts w:hint="eastAsia" w:eastAsia="楷体_GB2312"/>
        </w:rPr>
        <w:t>县</w:t>
      </w:r>
      <w:r>
        <w:rPr>
          <w:rFonts w:eastAsia="楷体_GB2312"/>
        </w:rPr>
        <w:t>交通运输局</w:t>
      </w:r>
      <w:r>
        <w:rPr>
          <w:rFonts w:hint="eastAsia" w:eastAsia="楷体_GB2312"/>
        </w:rPr>
        <w:t>、县行政审批服务局；</w:t>
      </w:r>
      <w:r>
        <w:rPr>
          <w:rFonts w:eastAsia="楷体_GB2312"/>
        </w:rPr>
        <w:t>责任单位：</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58" w:name="_Toc121508275"/>
      <w:r>
        <w:rPr>
          <w:rFonts w:hint="eastAsia" w:ascii="仿宋_GB2312" w:hAnsi="仿宋_GB2312" w:eastAsia="仿宋_GB2312" w:cs="仿宋_GB2312"/>
        </w:rPr>
        <w:t>3. 推广建筑垃圾再生产品，提升末端资源化利用水平</w:t>
      </w:r>
      <w:bookmarkEnd w:id="58"/>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（1）推动建筑垃圾精细化分类</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积极推动</w:t>
      </w:r>
      <w:r>
        <w:rPr>
          <w:rFonts w:hint="eastAsia" w:ascii="仿宋_GB2312" w:hAnsi="仿宋_GB2312" w:eastAsia="仿宋_GB2312" w:cs="仿宋_GB2312"/>
          <w:color w:val="000000" w:themeColor="text1"/>
          <w14:textFill>
            <w14:solidFill>
              <w14:schemeClr w14:val="tx1"/>
            </w14:solidFill>
          </w14:textFill>
        </w:rPr>
        <w:t>《聊城市城市建筑垃圾管理办法》</w:t>
      </w:r>
      <w:r>
        <w:rPr>
          <w:rFonts w:hint="eastAsia" w:ascii="仿宋_GB2312" w:hAnsi="仿宋_GB2312" w:eastAsia="仿宋_GB2312" w:cs="仿宋_GB2312"/>
        </w:rPr>
        <w:t>出台，将建筑垃圾按照工程渣土、工程泥浆和工程垃圾等进行分类，明确各类建筑垃圾收运及消纳处置规定。禁止将建筑垃圾与生活垃圾、危险废物或有害垃圾等混合运输、转移、利用与处置。保证全域无建筑垃圾随意倾倒、散乱堆放。</w:t>
      </w:r>
      <w:r>
        <w:rPr>
          <w:rFonts w:eastAsia="楷体_GB2312"/>
        </w:rPr>
        <w:t>（牵头单位：</w:t>
      </w:r>
      <w:bookmarkStart w:id="59" w:name="_Hlk121823734"/>
      <w:r>
        <w:rPr>
          <w:rFonts w:hint="eastAsia" w:eastAsia="楷体_GB2312"/>
        </w:rPr>
        <w:t>县综合行政</w:t>
      </w:r>
      <w:r>
        <w:rPr>
          <w:rFonts w:eastAsia="楷体_GB2312"/>
        </w:rPr>
        <w:t>执法局、</w:t>
      </w:r>
      <w:bookmarkEnd w:id="59"/>
      <w:r>
        <w:rPr>
          <w:rFonts w:hint="eastAsia" w:eastAsia="楷体_GB2312"/>
        </w:rPr>
        <w:t>县</w:t>
      </w:r>
      <w:r>
        <w:rPr>
          <w:rFonts w:eastAsia="楷体_GB2312"/>
        </w:rPr>
        <w:t>住房城乡建设局；责任单位：</w:t>
      </w:r>
      <w:r>
        <w:rPr>
          <w:rFonts w:hint="eastAsia" w:eastAsia="楷体_GB2312"/>
        </w:rPr>
        <w:t>县</w:t>
      </w:r>
      <w:r>
        <w:rPr>
          <w:rFonts w:eastAsia="楷体_GB2312"/>
        </w:rPr>
        <w:t>公安局、</w:t>
      </w:r>
      <w:r>
        <w:rPr>
          <w:rFonts w:hint="eastAsia" w:eastAsia="楷体_GB2312"/>
        </w:rPr>
        <w:t>县</w:t>
      </w:r>
      <w:r>
        <w:rPr>
          <w:rFonts w:eastAsia="楷体_GB2312"/>
        </w:rPr>
        <w:t>交通运输局</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（2）提升建筑垃圾再生产品质量</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落实国家相关建筑垃圾资源化利用标准规范和再生产品的工程应用技术规程，为推广应用提供技术和标准依据。鼓励科研单位、建材生产企业主动实施建筑垃圾资源化利用技术创新，研究开发、组织引进建筑垃圾资源化利用共性关键技术，提升行业技术水平。鼓励将符合技术标准和质量要求的建筑垃圾再生产品纳入政府采购目录。政府投资或以政府投资为主的工程项目，应优先使用建筑垃圾再生产品。</w:t>
      </w:r>
      <w:r>
        <w:rPr>
          <w:rFonts w:eastAsia="楷体_GB2312"/>
        </w:rPr>
        <w:t>（</w:t>
      </w:r>
      <w:r>
        <w:rPr>
          <w:rFonts w:hint="eastAsia" w:eastAsia="楷体_GB2312"/>
        </w:rPr>
        <w:t>牵头单位：县综合行政</w:t>
      </w:r>
      <w:r>
        <w:rPr>
          <w:rFonts w:eastAsia="楷体_GB2312"/>
        </w:rPr>
        <w:t>执法局</w:t>
      </w:r>
      <w:r>
        <w:rPr>
          <w:rFonts w:hint="eastAsia" w:eastAsia="楷体_GB2312"/>
        </w:rPr>
        <w:t>、县</w:t>
      </w:r>
      <w:r>
        <w:rPr>
          <w:rFonts w:eastAsia="楷体_GB2312"/>
        </w:rPr>
        <w:t>住房城乡建设局</w:t>
      </w:r>
      <w:r>
        <w:rPr>
          <w:rFonts w:hint="eastAsia" w:eastAsia="楷体_GB2312"/>
        </w:rPr>
        <w:t>、县</w:t>
      </w:r>
      <w:r>
        <w:rPr>
          <w:rFonts w:eastAsia="楷体_GB2312"/>
        </w:rPr>
        <w:t>工业和信息化局、</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（3）推进建筑垃圾资源化利用</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推进资源化利用设施建设，探索建筑垃圾资源化利用特许经营模式，经许可的企业享有所在区域建筑垃圾的优先收集权和处置权。对建筑垃圾处置单位给予适当支持。鼓励引进PPP模式，引导社会资本投资建筑垃圾资源化利用设施。加强建筑垃圾资源化利用管理，拓宽利用渠道。鼓励将可利用建筑垃圾生产再生利用产品和附加值高的新型绿色建材，推动企业产品结构优化升级，拓展建筑垃圾再生产品的应用领域。</w:t>
      </w:r>
      <w:r>
        <w:rPr>
          <w:rFonts w:eastAsia="楷体_GB2312"/>
        </w:rPr>
        <w:t>（</w:t>
      </w:r>
      <w:r>
        <w:rPr>
          <w:rFonts w:hint="eastAsia" w:eastAsia="楷体_GB2312"/>
        </w:rPr>
        <w:t>牵头单位：县综合行政</w:t>
      </w:r>
      <w:r>
        <w:rPr>
          <w:rFonts w:eastAsia="楷体_GB2312"/>
        </w:rPr>
        <w:t>执法局</w:t>
      </w:r>
      <w:r>
        <w:rPr>
          <w:rFonts w:hint="eastAsia" w:eastAsia="楷体_GB2312"/>
        </w:rPr>
        <w:t>、县发展和改革局</w:t>
      </w:r>
      <w:r>
        <w:rPr>
          <w:rFonts w:eastAsia="楷体_GB2312"/>
        </w:rPr>
        <w:t>、</w:t>
      </w:r>
      <w:r>
        <w:rPr>
          <w:rFonts w:hint="eastAsia" w:eastAsia="楷体_GB2312"/>
        </w:rPr>
        <w:t>县</w:t>
      </w:r>
      <w:r>
        <w:rPr>
          <w:rFonts w:eastAsia="楷体_GB2312"/>
        </w:rPr>
        <w:t>住房城乡建设局、</w:t>
      </w:r>
      <w:r>
        <w:rPr>
          <w:rFonts w:hint="eastAsia" w:eastAsia="楷体_GB2312"/>
        </w:rPr>
        <w:t>县</w:t>
      </w:r>
      <w:r>
        <w:rPr>
          <w:rFonts w:eastAsia="楷体_GB2312"/>
        </w:rPr>
        <w:t>工业和信息化局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（4）提高建筑垃圾消纳处置能力</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建立建筑垃圾处置激励制度，提高企业对建筑垃圾消纳场的投资与建设积极性。建设1座以上建筑垃圾消纳处置中心，建设规模应符合本地建筑垃圾产生情况与处置需求。城区建筑垃圾采用直运方式就近处理，各乡镇建筑垃圾就地回收消纳处理，对未能直接回用的就近进入建筑垃圾消纳处置中心，保障建筑垃圾规范消纳处置。</w:t>
      </w:r>
      <w:r>
        <w:rPr>
          <w:rFonts w:eastAsia="楷体_GB2312"/>
          <w:sz w:val="31"/>
          <w:szCs w:val="31"/>
        </w:rPr>
        <w:t>（牵头单位：</w:t>
      </w:r>
      <w:r>
        <w:rPr>
          <w:rFonts w:hint="eastAsia" w:eastAsia="楷体_GB2312"/>
        </w:rPr>
        <w:t>县综合行政</w:t>
      </w:r>
      <w:r>
        <w:rPr>
          <w:rFonts w:eastAsia="楷体_GB2312"/>
        </w:rPr>
        <w:t>执法局</w:t>
      </w:r>
      <w:r>
        <w:rPr>
          <w:rFonts w:eastAsia="楷体_GB2312"/>
          <w:sz w:val="31"/>
          <w:szCs w:val="31"/>
        </w:rPr>
        <w:t>；责任单位：</w:t>
      </w:r>
      <w:r>
        <w:rPr>
          <w:rFonts w:hint="eastAsia" w:eastAsia="楷体_GB2312"/>
          <w:sz w:val="31"/>
          <w:szCs w:val="31"/>
        </w:rPr>
        <w:t xml:space="preserve"> 县</w:t>
      </w:r>
      <w:r>
        <w:rPr>
          <w:rFonts w:eastAsia="楷体_GB2312"/>
          <w:sz w:val="31"/>
          <w:szCs w:val="31"/>
        </w:rPr>
        <w:t>住房城乡建设局、</w:t>
      </w:r>
      <w:r>
        <w:rPr>
          <w:rFonts w:hint="eastAsia" w:eastAsia="楷体_GB2312"/>
          <w:sz w:val="31"/>
          <w:szCs w:val="31"/>
        </w:rPr>
        <w:t>县</w:t>
      </w:r>
      <w:r>
        <w:rPr>
          <w:rFonts w:eastAsia="楷体_GB2312"/>
          <w:sz w:val="31"/>
          <w:szCs w:val="31"/>
        </w:rPr>
        <w:t>发展</w:t>
      </w:r>
      <w:r>
        <w:rPr>
          <w:rFonts w:hint="eastAsia" w:eastAsia="楷体_GB2312"/>
          <w:sz w:val="31"/>
          <w:szCs w:val="31"/>
        </w:rPr>
        <w:t>和</w:t>
      </w:r>
      <w:r>
        <w:rPr>
          <w:rFonts w:eastAsia="楷体_GB2312"/>
          <w:sz w:val="31"/>
          <w:szCs w:val="31"/>
        </w:rPr>
        <w:t>改革</w:t>
      </w:r>
      <w:r>
        <w:rPr>
          <w:rFonts w:hint="eastAsia" w:eastAsia="楷体_GB2312"/>
          <w:sz w:val="31"/>
          <w:szCs w:val="31"/>
        </w:rPr>
        <w:t>局，</w:t>
      </w:r>
      <w:r>
        <w:rPr>
          <w:rFonts w:hint="eastAsia" w:eastAsia="楷体_GB2312"/>
        </w:rPr>
        <w:t>各乡镇</w:t>
      </w:r>
      <w:r>
        <w:rPr>
          <w:rFonts w:eastAsia="楷体_GB2312"/>
        </w:rPr>
        <w:t>、</w:t>
      </w:r>
      <w:r>
        <w:rPr>
          <w:rFonts w:hint="eastAsia" w:eastAsia="楷体_GB2312"/>
        </w:rPr>
        <w:t>街道</w:t>
      </w:r>
      <w:r>
        <w:rPr>
          <w:rFonts w:eastAsia="楷体_GB2312"/>
          <w:sz w:val="31"/>
          <w:szCs w:val="31"/>
        </w:rPr>
        <w:t>）</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60" w:name="_Toc121508276"/>
      <w:r>
        <w:rPr>
          <w:rFonts w:hint="eastAsia"/>
          <w:b/>
          <w:bCs/>
        </w:rPr>
        <w:t>（五）提升监管和利用处置能力</w:t>
      </w:r>
      <w:r>
        <w:rPr>
          <w:b/>
          <w:bCs/>
        </w:rPr>
        <w:t>，防</w:t>
      </w:r>
      <w:r>
        <w:rPr>
          <w:rFonts w:hint="eastAsia"/>
          <w:b/>
          <w:bCs/>
        </w:rPr>
        <w:t>范</w:t>
      </w:r>
      <w:r>
        <w:rPr>
          <w:b/>
          <w:bCs/>
        </w:rPr>
        <w:t>危险废物环境风险</w:t>
      </w:r>
      <w:bookmarkEnd w:id="60"/>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61" w:name="_Toc121508277"/>
      <w:r>
        <w:rPr>
          <w:rFonts w:hint="eastAsia" w:ascii="仿宋_GB2312" w:hAnsi="仿宋_GB2312" w:eastAsia="仿宋_GB2312" w:cs="仿宋_GB2312"/>
        </w:rPr>
        <w:t>1. 推动源头减量，强化源头严控</w:t>
      </w:r>
      <w:bookmarkEnd w:id="61"/>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（1）引导产生单位源头减量</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支持研发、推广减少工业危险废物产生量和降低工业危险废物危害性的生产工艺和设备，引导企业在生产过程中使用无毒无害或低毒低害原料，从源头减少危险废物的产生量和危害性。</w:t>
      </w:r>
      <w:r>
        <w:rPr>
          <w:rFonts w:eastAsia="楷体_GB2312"/>
        </w:rPr>
        <w:t>（</w:t>
      </w:r>
      <w:r>
        <w:rPr>
          <w:rFonts w:hint="eastAsia" w:eastAsia="楷体_GB2312"/>
        </w:rPr>
        <w:t>牵头单位：</w:t>
      </w:r>
      <w:r>
        <w:rPr>
          <w:rFonts w:hint="eastAsia" w:eastAsia="楷体_GB2312"/>
          <w:szCs w:val="24"/>
        </w:rPr>
        <w:t>县</w:t>
      </w:r>
      <w:r>
        <w:rPr>
          <w:rFonts w:eastAsia="楷体_GB2312"/>
          <w:szCs w:val="24"/>
        </w:rPr>
        <w:t>工业和信息化局</w:t>
      </w:r>
      <w:r>
        <w:rPr>
          <w:rFonts w:hint="eastAsia" w:eastAsia="楷体_GB2312"/>
          <w:szCs w:val="24"/>
        </w:rPr>
        <w:t>、县生态环境分</w:t>
      </w:r>
      <w:r>
        <w:rPr>
          <w:rFonts w:eastAsia="楷体_GB2312"/>
          <w:szCs w:val="24"/>
        </w:rPr>
        <w:t>局</w:t>
      </w:r>
      <w:r>
        <w:rPr>
          <w:rFonts w:hint="eastAsia" w:eastAsia="楷体_GB2312"/>
        </w:rPr>
        <w:t>；责任单位：各乡镇</w:t>
      </w:r>
      <w:r>
        <w:rPr>
          <w:rFonts w:eastAsia="楷体_GB2312"/>
        </w:rPr>
        <w:t>、</w:t>
      </w:r>
      <w:r>
        <w:rPr>
          <w:rFonts w:hint="eastAsia" w:eastAsia="楷体_GB2312"/>
        </w:rPr>
        <w:t>街道</w:t>
      </w:r>
      <w:r>
        <w:rPr>
          <w:rFonts w:eastAsia="楷体_GB2312"/>
          <w:szCs w:val="24"/>
        </w:rPr>
        <w:t>）</w:t>
      </w:r>
      <w:r>
        <w:t>对以危险废物为原料进行生产或者在生产中排放危险废物的重点企业，实施强制性清洁生产审核。</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（2）严格项目环境准入</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依法对新（改、扩）建项目开展环境影响评价，严格危险废物污染环境防治设施“三同时”管理。对辖区内尚无危险废物集中处置设施或处置能力严重不足的废物类别，严格控制产生该类危险废物项目建设。</w:t>
      </w:r>
      <w:r>
        <w:rPr>
          <w:rFonts w:eastAsia="楷体_GB2312"/>
        </w:rPr>
        <w:t>（</w:t>
      </w:r>
      <w:r>
        <w:rPr>
          <w:rFonts w:hint="eastAsia" w:eastAsia="楷体_GB2312"/>
        </w:rPr>
        <w:t>牵头单位：</w:t>
      </w:r>
      <w:r>
        <w:rPr>
          <w:rFonts w:hint="eastAsia" w:ascii="楷体_GB2312" w:eastAsia="楷体_GB2312"/>
        </w:rPr>
        <w:t>县行政审批服务局、县生态环境分局</w:t>
      </w:r>
      <w:r>
        <w:rPr>
          <w:rFonts w:hint="eastAsia" w:eastAsia="楷体_GB2312"/>
        </w:rPr>
        <w:t>；责任单位：各乡镇</w:t>
      </w:r>
      <w:r>
        <w:rPr>
          <w:rFonts w:eastAsia="楷体_GB2312"/>
        </w:rPr>
        <w:t>、</w:t>
      </w:r>
      <w:r>
        <w:rPr>
          <w:rFonts w:hint="eastAsia" w:eastAsia="楷体_GB2312"/>
        </w:rPr>
        <w:t>街道</w:t>
      </w:r>
      <w:r>
        <w:rPr>
          <w:rFonts w:hint="eastAsia"/>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（3）加强危险废物鉴别管理</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依法严格开展危险废物鉴别，强化固体废物产生单位鉴别主体责任，根据危险废物鉴别程序和鉴别单位管理要求，主动鉴别不明属性固体废物、副产品和中间产物，并公开鉴别资料。按照《国家危险废物名录》，强化豁免管理危险废物监管，严格落实危险废物排除管理清单。</w:t>
      </w:r>
      <w:r>
        <w:rPr>
          <w:rFonts w:hint="eastAsia"/>
        </w:rPr>
        <w:t>（</w:t>
      </w:r>
      <w:r>
        <w:rPr>
          <w:rFonts w:hint="eastAsia" w:ascii="楷体_GB2312" w:eastAsia="楷体_GB2312"/>
        </w:rPr>
        <w:t>牵头单位：县生态环境分局</w:t>
      </w:r>
      <w:r>
        <w:rPr>
          <w:rFonts w:hint="eastAsia" w:eastAsia="楷体_GB2312"/>
        </w:rPr>
        <w:t>；责任单位：各乡镇</w:t>
      </w:r>
      <w:r>
        <w:rPr>
          <w:rFonts w:eastAsia="楷体_GB2312"/>
        </w:rPr>
        <w:t>、</w:t>
      </w:r>
      <w:r>
        <w:rPr>
          <w:rFonts w:hint="eastAsia" w:eastAsia="楷体_GB2312"/>
        </w:rPr>
        <w:t>街道</w:t>
      </w:r>
      <w:r>
        <w:rPr>
          <w:rFonts w:hint="eastAsia"/>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62" w:name="_Toc121508278"/>
      <w:r>
        <w:rPr>
          <w:rFonts w:hint="eastAsia" w:ascii="仿宋_GB2312" w:hAnsi="仿宋_GB2312" w:eastAsia="仿宋_GB2312" w:cs="仿宋_GB2312"/>
        </w:rPr>
        <w:t>2. 完善体系建设，强化过程严管</w:t>
      </w:r>
      <w:bookmarkEnd w:id="62"/>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（1）提升危险废物收集成效</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优化危险废物收集体系，推动危险废物分类收集专业化、规模化，鼓励收集单位与辖区内危险废物利用处置单位联合经营，作为利用处置单位的收集网点。强化危险废物收集单位监管，不允许跨许可区域收集。推动完善实验室危险废物、有害垃圾等社会源危险废物收集转运体系。</w:t>
      </w:r>
      <w:r>
        <w:rPr>
          <w:rFonts w:eastAsia="楷体_GB2312"/>
        </w:rPr>
        <w:t>（牵头单位：</w:t>
      </w:r>
      <w:r>
        <w:rPr>
          <w:rFonts w:hint="eastAsia" w:eastAsia="楷体_GB2312"/>
        </w:rPr>
        <w:t>县</w:t>
      </w:r>
      <w:r>
        <w:rPr>
          <w:rFonts w:eastAsia="楷体_GB2312"/>
        </w:rPr>
        <w:t>生态环境</w:t>
      </w:r>
      <w:r>
        <w:rPr>
          <w:rFonts w:hint="eastAsia" w:eastAsia="楷体_GB2312"/>
        </w:rPr>
        <w:t>分</w:t>
      </w:r>
      <w:r>
        <w:rPr>
          <w:rFonts w:eastAsia="楷体_GB2312"/>
        </w:rPr>
        <w:t>局；责任单位：</w:t>
      </w:r>
      <w:r>
        <w:rPr>
          <w:rFonts w:hint="eastAsia" w:eastAsia="楷体_GB2312"/>
        </w:rPr>
        <w:t>县综合行政</w:t>
      </w:r>
      <w:r>
        <w:rPr>
          <w:rFonts w:eastAsia="楷体_GB2312"/>
        </w:rPr>
        <w:t>执法局、</w:t>
      </w:r>
      <w:r>
        <w:rPr>
          <w:rFonts w:hint="eastAsia" w:eastAsia="楷体_GB2312"/>
        </w:rPr>
        <w:t>县</w:t>
      </w:r>
      <w:r>
        <w:rPr>
          <w:rFonts w:eastAsia="楷体_GB2312"/>
        </w:rPr>
        <w:t>教育体育局、</w:t>
      </w:r>
      <w:r>
        <w:rPr>
          <w:rFonts w:hint="eastAsia" w:eastAsia="楷体_GB2312"/>
        </w:rPr>
        <w:t>县</w:t>
      </w:r>
      <w:r>
        <w:rPr>
          <w:rFonts w:eastAsia="楷体_GB2312"/>
        </w:rPr>
        <w:t>市场监管局</w:t>
      </w:r>
      <w:r>
        <w:rPr>
          <w:rFonts w:hint="eastAsia" w:eastAsia="楷体_GB2312"/>
        </w:rPr>
        <w:t>，各乡镇</w:t>
      </w:r>
      <w:r>
        <w:rPr>
          <w:rFonts w:eastAsia="楷体_GB2312"/>
        </w:rPr>
        <w:t>、</w:t>
      </w:r>
      <w:r>
        <w:rPr>
          <w:rFonts w:hint="eastAsia" w:eastAsia="楷体_GB2312"/>
        </w:rPr>
        <w:t>街道</w:t>
      </w:r>
      <w:r>
        <w:rPr>
          <w:rFonts w:eastAsia="楷体_GB2312"/>
        </w:rPr>
        <w:t>）</w:t>
      </w:r>
      <w:r>
        <w:rPr>
          <w:rFonts w:hint="eastAsia"/>
        </w:rPr>
        <w:t>鼓励在重点学校开展实验室危险废物分类收集和预处理示范项目建设。（</w:t>
      </w:r>
      <w:r>
        <w:rPr>
          <w:rFonts w:hint="eastAsia" w:ascii="楷体_GB2312" w:eastAsia="楷体_GB2312"/>
        </w:rPr>
        <w:t>牵头单位：县教育体育局；责任单位：县生态环境分局</w:t>
      </w:r>
      <w:r>
        <w:rPr>
          <w:rFonts w:hint="eastAsia"/>
        </w:rPr>
        <w:t>）</w:t>
      </w:r>
      <w:r>
        <w:t>加强机动车维修单位</w:t>
      </w:r>
      <w:r>
        <w:rPr>
          <w:rFonts w:hint="eastAsia"/>
        </w:rPr>
        <w:t>和二手车交易市场</w:t>
      </w:r>
      <w:r>
        <w:t>管理，落实产生单位主体责任，</w:t>
      </w:r>
      <w:r>
        <w:rPr>
          <w:rFonts w:hint="eastAsia"/>
        </w:rPr>
        <w:t>对</w:t>
      </w:r>
      <w:r>
        <w:t>废铅蓄电池、废矿物油等</w:t>
      </w:r>
      <w:r>
        <w:rPr>
          <w:rFonts w:hint="eastAsia"/>
        </w:rPr>
        <w:t>进行</w:t>
      </w:r>
      <w:r>
        <w:t>全过程</w:t>
      </w:r>
      <w:r>
        <w:rPr>
          <w:rFonts w:hint="eastAsia"/>
        </w:rPr>
        <w:t>监管</w:t>
      </w:r>
      <w:r>
        <w:t>。</w:t>
      </w:r>
      <w:r>
        <w:rPr>
          <w:rFonts w:eastAsia="楷体_GB2312"/>
        </w:rPr>
        <w:t>（</w:t>
      </w:r>
      <w:r>
        <w:rPr>
          <w:rFonts w:hint="eastAsia" w:eastAsia="楷体_GB2312"/>
        </w:rPr>
        <w:t>牵头单位：县</w:t>
      </w:r>
      <w:r>
        <w:rPr>
          <w:rFonts w:eastAsia="楷体_GB2312"/>
        </w:rPr>
        <w:t>交通运输局</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、县商务投资促进局；责任单位：各乡镇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（2）加强危险废物运输监管</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推动建立危险废物转运联合监管机制。开展运输专项整治，严查无资质企业从事危险废物运输行为。加强危险废物运输监管和废弃危险化学品运输车辆的道路交通安全管理，严防非法转运。</w:t>
      </w:r>
      <w:r>
        <w:rPr>
          <w:rFonts w:eastAsia="楷体_GB2312"/>
        </w:rPr>
        <w:t>（牵头单位：</w:t>
      </w:r>
      <w:r>
        <w:rPr>
          <w:rFonts w:hint="eastAsia" w:eastAsia="楷体_GB2312"/>
        </w:rPr>
        <w:t>县</w:t>
      </w:r>
      <w:r>
        <w:rPr>
          <w:rFonts w:eastAsia="楷体_GB2312"/>
        </w:rPr>
        <w:t>交通运输局；责任单位</w:t>
      </w:r>
      <w:r>
        <w:rPr>
          <w:rFonts w:hint="eastAsia" w:eastAsia="楷体_GB2312"/>
        </w:rPr>
        <w:t>：县生态环境分局，各乡镇</w:t>
      </w:r>
      <w:r>
        <w:rPr>
          <w:rFonts w:eastAsia="楷体_GB2312"/>
        </w:rPr>
        <w:t>、</w:t>
      </w:r>
      <w:r>
        <w:rPr>
          <w:rFonts w:hint="eastAsia" w:eastAsia="楷体_GB2312"/>
        </w:rPr>
        <w:t>街道</w:t>
      </w:r>
      <w:r>
        <w:rPr>
          <w:rFonts w:eastAsia="楷体_GB2312"/>
        </w:rPr>
        <w:t>）</w:t>
      </w:r>
      <w:r>
        <w:rPr>
          <w:rFonts w:hint="eastAsia"/>
        </w:rPr>
        <w:t>推进转移运输便捷化，建立危险废物和医疗废物运输车辆备案制度，完</w:t>
      </w:r>
      <w:r>
        <w:rPr>
          <w:rFonts w:cs="Times New Roman"/>
        </w:rPr>
        <w:t>善“点对点”的常</w:t>
      </w:r>
      <w:r>
        <w:rPr>
          <w:rFonts w:hint="eastAsia"/>
        </w:rPr>
        <w:t>备通行路线，</w:t>
      </w:r>
      <w:r>
        <w:t>规范城市道路通行秩序，为危险废物和医疗废物运输车辆提供通行便利。</w:t>
      </w:r>
      <w:r>
        <w:rPr>
          <w:rFonts w:eastAsia="楷体_GB2312"/>
        </w:rPr>
        <w:t>（牵头单位：</w:t>
      </w:r>
      <w:r>
        <w:rPr>
          <w:rFonts w:hint="eastAsia" w:eastAsia="楷体_GB2312"/>
        </w:rPr>
        <w:t>县交警大队</w:t>
      </w:r>
      <w:r>
        <w:rPr>
          <w:rFonts w:eastAsia="楷体_GB2312"/>
        </w:rPr>
        <w:t>；责任单位：</w:t>
      </w:r>
      <w:r>
        <w:rPr>
          <w:rFonts w:hint="eastAsia" w:eastAsia="楷体_GB2312"/>
        </w:rPr>
        <w:t>县</w:t>
      </w:r>
      <w:r>
        <w:rPr>
          <w:rFonts w:eastAsia="楷体_GB2312"/>
        </w:rPr>
        <w:t>生态环境</w:t>
      </w:r>
      <w:r>
        <w:rPr>
          <w:rFonts w:hint="eastAsia" w:eastAsia="楷体_GB2312"/>
        </w:rPr>
        <w:t>分局</w:t>
      </w:r>
      <w:r>
        <w:rPr>
          <w:rFonts w:eastAsia="楷体_GB2312"/>
        </w:rPr>
        <w:t>、</w:t>
      </w:r>
      <w:r>
        <w:rPr>
          <w:rFonts w:hint="eastAsia" w:eastAsia="楷体_GB2312"/>
        </w:rPr>
        <w:t>县交通运输局、县</w:t>
      </w:r>
      <w:r>
        <w:rPr>
          <w:rFonts w:eastAsia="楷体_GB2312"/>
        </w:rPr>
        <w:t>卫生健康</w:t>
      </w:r>
      <w:r>
        <w:rPr>
          <w:rFonts w:hint="eastAsia" w:eastAsia="楷体_GB2312"/>
        </w:rPr>
        <w:t>局，各乡镇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（3）促进危险废物综合利用</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积极探索开展污泥、废酸等危险废物高效利用。加强危险废物产生、利用处置、污染危害等方面的基础研究，积极引导协调高校、企业的科研资源，加大废盐、生活垃圾焚烧飞灰等利用处置技术研究，拓宽综合利用途径。推动技术成果共享与转化，重点推广废酸、废盐、焚烧飞灰、含重金属危险废物利用处置和污染防治适用技术。到2025年，工业危险废物综合利用率达到60%以上。</w:t>
      </w:r>
      <w:r>
        <w:rPr>
          <w:rFonts w:hint="eastAsia"/>
        </w:rPr>
        <w:t>（</w:t>
      </w:r>
      <w:r>
        <w:rPr>
          <w:rFonts w:hint="eastAsia" w:eastAsia="楷体_GB2312"/>
        </w:rPr>
        <w:t>牵头单位：</w:t>
      </w:r>
      <w:r>
        <w:rPr>
          <w:rFonts w:hint="eastAsia" w:ascii="楷体_GB2312" w:eastAsia="楷体_GB2312"/>
        </w:rPr>
        <w:t>县工业和信息化局、县生态环境分局、</w:t>
      </w:r>
      <w:r>
        <w:rPr>
          <w:rFonts w:hint="eastAsia" w:eastAsia="楷体_GB2312"/>
        </w:rPr>
        <w:t>县综合行政</w:t>
      </w:r>
      <w:r>
        <w:rPr>
          <w:rFonts w:eastAsia="楷体_GB2312"/>
        </w:rPr>
        <w:t>执法局</w:t>
      </w:r>
      <w:r>
        <w:rPr>
          <w:rFonts w:hint="eastAsia" w:eastAsia="楷体_GB2312"/>
        </w:rPr>
        <w:t>；责任单位：各乡镇、街道</w:t>
      </w:r>
      <w:r>
        <w:rPr>
          <w:rFonts w:hint="eastAsia"/>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63" w:name="_Toc121508279"/>
      <w:r>
        <w:rPr>
          <w:rFonts w:hint="eastAsia" w:ascii="仿宋_GB2312" w:hAnsi="仿宋_GB2312" w:eastAsia="仿宋_GB2312" w:cs="仿宋_GB2312"/>
        </w:rPr>
        <w:t>3. 推进能力匹配，保障安全处置</w:t>
      </w:r>
      <w:bookmarkEnd w:id="63"/>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（1）推进利用处置能力匹配</w:t>
      </w:r>
    </w:p>
    <w:p>
      <w:pPr>
        <w:pageBreakBefore w:val="0"/>
        <w:widowControl w:val="0"/>
        <w:kinsoku/>
        <w:wordWrap/>
        <w:overflowPunct/>
        <w:topLinePunct w:val="0"/>
        <w:autoSpaceDE/>
        <w:autoSpaceDN/>
        <w:bidi w:val="0"/>
        <w:spacing w:line="600" w:lineRule="exact"/>
        <w:ind w:firstLine="610"/>
        <w:textAlignment w:val="auto"/>
        <w:rPr>
          <w:rFonts w:eastAsia="楷体_GB2312"/>
          <w:szCs w:val="24"/>
        </w:rPr>
      </w:pPr>
      <w:r>
        <w:rPr>
          <w:rFonts w:hint="eastAsia" w:ascii="仿宋_GB2312" w:hAnsi="仿宋_GB2312" w:eastAsia="仿宋_GB2312" w:cs="仿宋_GB2312"/>
        </w:rPr>
        <w:t>定期开展危险废物产生量与处置能力匹配情况评估及设施运行情况评估，统筹全县危险废物利用处置设施建设，视情推进综合利用处置项目建设，优化提升利用处置能力。建设金属表面处理行业锌浮渣、底渣利用处置项目和轴承行业切削泥利用处置项目，补齐利用处置能力短板</w:t>
      </w:r>
      <w:r>
        <w:rPr>
          <w:rFonts w:hint="eastAsia"/>
        </w:rPr>
        <w:t>。</w:t>
      </w:r>
      <w:r>
        <w:rPr>
          <w:rFonts w:eastAsia="楷体_GB2312"/>
          <w:szCs w:val="24"/>
        </w:rPr>
        <w:t>（</w:t>
      </w:r>
      <w:r>
        <w:rPr>
          <w:rFonts w:hint="eastAsia" w:eastAsia="楷体_GB2312"/>
          <w:szCs w:val="24"/>
        </w:rPr>
        <w:t>牵头</w:t>
      </w:r>
      <w:r>
        <w:rPr>
          <w:rFonts w:eastAsia="楷体_GB2312"/>
          <w:szCs w:val="24"/>
        </w:rPr>
        <w:t>单位：</w:t>
      </w:r>
      <w:r>
        <w:rPr>
          <w:rFonts w:hint="eastAsia" w:eastAsia="楷体_GB2312"/>
          <w:szCs w:val="24"/>
        </w:rPr>
        <w:t>县</w:t>
      </w:r>
      <w:r>
        <w:rPr>
          <w:rFonts w:eastAsia="楷体_GB2312"/>
          <w:szCs w:val="24"/>
        </w:rPr>
        <w:t>生态环境</w:t>
      </w:r>
      <w:r>
        <w:rPr>
          <w:rFonts w:hint="eastAsia" w:eastAsia="楷体_GB2312"/>
          <w:szCs w:val="24"/>
        </w:rPr>
        <w:t>分</w:t>
      </w:r>
      <w:r>
        <w:rPr>
          <w:rFonts w:eastAsia="楷体_GB2312"/>
          <w:szCs w:val="24"/>
        </w:rPr>
        <w:t>局</w:t>
      </w:r>
      <w:r>
        <w:rPr>
          <w:rFonts w:hint="eastAsia" w:eastAsia="楷体_GB2312"/>
          <w:color w:val="000000" w:themeColor="text1"/>
          <w14:textFill>
            <w14:solidFill>
              <w14:schemeClr w14:val="tx1"/>
            </w14:solidFill>
          </w14:textFill>
        </w:rPr>
        <w:t>；责任单位：各乡镇、街道</w:t>
      </w:r>
      <w:r>
        <w:rPr>
          <w:rFonts w:eastAsia="楷体_GB2312"/>
          <w:szCs w:val="24"/>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rPr>
        <w:t>（2）</w:t>
      </w:r>
      <w:r>
        <w:rPr>
          <w:rFonts w:hint="eastAsia" w:ascii="仿宋_GB2312" w:hAnsi="仿宋_GB2312" w:eastAsia="仿宋_GB2312" w:cs="仿宋_GB2312"/>
          <w:color w:val="000000" w:themeColor="text1"/>
          <w14:textFill>
            <w14:solidFill>
              <w14:schemeClr w14:val="tx1"/>
            </w14:solidFill>
          </w14:textFill>
        </w:rPr>
        <w:t>强化医疗废物源头管理</w:t>
      </w:r>
    </w:p>
    <w:p>
      <w:pPr>
        <w:pStyle w:val="6"/>
        <w:pageBreakBefore w:val="0"/>
        <w:widowControl w:val="0"/>
        <w:kinsoku/>
        <w:wordWrap/>
        <w:overflowPunct/>
        <w:topLinePunct w:val="0"/>
        <w:autoSpaceDE/>
        <w:autoSpaceDN/>
        <w:bidi w:val="0"/>
        <w:spacing w:line="600" w:lineRule="exact"/>
        <w:ind w:firstLine="610"/>
        <w:textAlignment w:val="auto"/>
        <w:rPr>
          <w:rFonts w:cs="Times New Roman"/>
          <w:color w:val="000000"/>
          <w:kern w:val="0"/>
        </w:rPr>
      </w:pPr>
      <w:r>
        <w:rPr>
          <w:rFonts w:hint="eastAsia" w:ascii="仿宋_GB2312" w:hAnsi="仿宋_GB2312" w:eastAsia="仿宋_GB2312" w:cs="仿宋_GB2312"/>
          <w:color w:val="000000" w:themeColor="text1"/>
          <w:kern w:val="0"/>
          <w14:textFill>
            <w14:solidFill>
              <w14:schemeClr w14:val="tx1"/>
            </w14:solidFill>
          </w14:textFill>
        </w:rPr>
        <w:t>加强医疗废物源头管理，</w:t>
      </w:r>
      <w:r>
        <w:rPr>
          <w:rFonts w:hint="eastAsia" w:ascii="仿宋_GB2312" w:hAnsi="仿宋_GB2312" w:eastAsia="仿宋_GB2312" w:cs="仿宋_GB2312"/>
          <w:color w:val="000000" w:themeColor="text1"/>
          <w14:textFill>
            <w14:solidFill>
              <w14:schemeClr w14:val="tx1"/>
            </w14:solidFill>
          </w14:textFill>
        </w:rPr>
        <w:t>严格落实医疗废物分类管理、专用包装、集中贮存要求，</w:t>
      </w:r>
      <w:r>
        <w:rPr>
          <w:rFonts w:hint="eastAsia" w:ascii="仿宋_GB2312" w:hAnsi="仿宋_GB2312" w:eastAsia="仿宋_GB2312" w:cs="仿宋_GB2312"/>
          <w:color w:val="000000" w:themeColor="text1"/>
          <w:kern w:val="0"/>
          <w14:textFill>
            <w14:solidFill>
              <w14:schemeClr w14:val="tx1"/>
            </w14:solidFill>
          </w14:textFill>
        </w:rPr>
        <w:t>加强医疗废物收集、运送和暂存过程中的环境管理。规范医疗机构可回收物的回收处置，防止非法加工利用。</w:t>
      </w:r>
      <w:r>
        <w:rPr>
          <w:rFonts w:eastAsia="楷体_GB2312"/>
          <w:szCs w:val="24"/>
        </w:rPr>
        <w:t>（</w:t>
      </w:r>
      <w:r>
        <w:rPr>
          <w:rFonts w:hint="eastAsia" w:eastAsia="楷体_GB2312"/>
          <w:szCs w:val="24"/>
        </w:rPr>
        <w:t>牵头</w:t>
      </w:r>
      <w:r>
        <w:rPr>
          <w:rFonts w:eastAsia="楷体_GB2312"/>
          <w:szCs w:val="24"/>
        </w:rPr>
        <w:t>单位：</w:t>
      </w:r>
      <w:r>
        <w:rPr>
          <w:rFonts w:hint="eastAsia" w:ascii="楷体_GB2312" w:eastAsia="楷体_GB2312" w:cs="Times New Roman"/>
          <w:color w:val="000000"/>
          <w:kern w:val="0"/>
        </w:rPr>
        <w:t>县生态环境分局、县卫生健康局、县商务投资促进局、县市场监管局</w:t>
      </w:r>
      <w:r>
        <w:rPr>
          <w:rFonts w:hint="eastAsia" w:eastAsia="楷体_GB2312"/>
        </w:rPr>
        <w:t>；责任单位：各乡镇</w:t>
      </w:r>
      <w:r>
        <w:rPr>
          <w:rFonts w:eastAsia="楷体_GB2312"/>
        </w:rPr>
        <w:t>、</w:t>
      </w:r>
      <w:r>
        <w:rPr>
          <w:rFonts w:hint="eastAsia" w:eastAsia="楷体_GB2312"/>
        </w:rPr>
        <w:t>街道</w:t>
      </w:r>
      <w:r>
        <w:rPr>
          <w:rFonts w:hint="eastAsia" w:cs="Times New Roman"/>
          <w:color w:val="000000"/>
          <w:kern w:val="0"/>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（3）健全应急处置保障体系</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color w:val="000000" w:themeColor="text1"/>
          <w14:textFill>
            <w14:solidFill>
              <w14:schemeClr w14:val="tx1"/>
            </w14:solidFill>
          </w14:textFill>
        </w:rPr>
        <w:t>提升危险废物环境应急响应能力，将涉危险废物突发生态环境事件应急处置纳入政府应急响应体系，加强危险废物环境应急能力建设，深入推进跨区域、跨部门突发环境事件及其处理过程中产生的危险废物的协同应急处置。统筹应急处置资源，优化提升重大疫情医疗废物应急处置保障能力。</w:t>
      </w:r>
      <w:r>
        <w:rPr>
          <w:rFonts w:eastAsia="楷体_GB2312"/>
        </w:rPr>
        <w:t>（牵头单位：</w:t>
      </w:r>
      <w:r>
        <w:rPr>
          <w:rFonts w:hint="eastAsia" w:eastAsia="楷体_GB2312"/>
        </w:rPr>
        <w:t>县</w:t>
      </w:r>
      <w:r>
        <w:rPr>
          <w:rFonts w:eastAsia="楷体_GB2312"/>
        </w:rPr>
        <w:t>生态环境</w:t>
      </w:r>
      <w:r>
        <w:rPr>
          <w:rFonts w:hint="eastAsia" w:eastAsia="楷体_GB2312"/>
        </w:rPr>
        <w:t>分</w:t>
      </w:r>
      <w:r>
        <w:rPr>
          <w:rFonts w:eastAsia="楷体_GB2312"/>
        </w:rPr>
        <w:t>局；责任单位：</w:t>
      </w:r>
      <w:r>
        <w:rPr>
          <w:rFonts w:hint="eastAsia" w:eastAsia="楷体_GB2312"/>
        </w:rPr>
        <w:t>县</w:t>
      </w:r>
      <w:r>
        <w:rPr>
          <w:rFonts w:eastAsia="楷体_GB2312"/>
        </w:rPr>
        <w:t>卫生健康</w:t>
      </w:r>
      <w:r>
        <w:rPr>
          <w:rFonts w:hint="eastAsia" w:eastAsia="楷体_GB2312"/>
        </w:rPr>
        <w:t>局、县交通运输局、县交警大队、县综合行政</w:t>
      </w:r>
      <w:r>
        <w:rPr>
          <w:rFonts w:eastAsia="楷体_GB2312"/>
        </w:rPr>
        <w:t>执法局</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（4）规范自行利用处置设施</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推进企业、园区危险废物自行利用处置能力和水平提升，鼓励大型企业集团根据需要自行配套建设高标准的危险废物利用处置设施。鼓励园区内企业间循环利用危险废物，畅通危险废物综合利用运行渠道，形成企业间危险废物综合利用的协作链网，提高危险废物资源化利用水平。到2025年，工业危险废物利用处置率达到100%。</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64" w:name="_Toc121508280"/>
      <w:r>
        <w:rPr>
          <w:rFonts w:hint="eastAsia" w:ascii="仿宋_GB2312" w:hAnsi="仿宋_GB2312" w:eastAsia="仿宋_GB2312" w:cs="仿宋_GB2312"/>
        </w:rPr>
        <w:t>4. 加强执法监督，强化后果严惩</w:t>
      </w:r>
      <w:bookmarkEnd w:id="64"/>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（1）加强部门协同</w:t>
      </w:r>
    </w:p>
    <w:p>
      <w:pPr>
        <w:pageBreakBefore w:val="0"/>
        <w:widowControl w:val="0"/>
        <w:kinsoku/>
        <w:wordWrap/>
        <w:overflowPunct/>
        <w:topLinePunct w:val="0"/>
        <w:autoSpaceDE/>
        <w:autoSpaceDN/>
        <w:bidi w:val="0"/>
        <w:spacing w:line="600" w:lineRule="exact"/>
        <w:ind w:firstLine="610"/>
        <w:textAlignment w:val="auto"/>
        <w:rPr>
          <w:rFonts w:eastAsia="楷体_GB2312"/>
          <w:color w:val="000000"/>
          <w:kern w:val="0"/>
          <w:szCs w:val="28"/>
        </w:rPr>
      </w:pPr>
      <w:r>
        <w:rPr>
          <w:rFonts w:hint="eastAsia" w:ascii="仿宋_GB2312" w:hAnsi="仿宋_GB2312" w:eastAsia="仿宋_GB2312" w:cs="仿宋_GB2312"/>
          <w:color w:val="000000" w:themeColor="text1"/>
          <w14:textFill>
            <w14:solidFill>
              <w14:schemeClr w14:val="tx1"/>
            </w14:solidFill>
          </w14:textFill>
        </w:rPr>
        <w:t>严格执行《聊城市危险</w:t>
      </w:r>
      <w:r>
        <w:rPr>
          <w:rFonts w:hint="eastAsia" w:ascii="仿宋_GB2312" w:hAnsi="仿宋_GB2312" w:eastAsia="仿宋_GB2312" w:cs="仿宋_GB2312"/>
        </w:rPr>
        <w:t>废物污染环境防治条例》，明确危险废物产生、收集、贮存、运输、利用、处置等各环节的部门监督管理职责，齐抓共管提升危险废物管理水平。</w:t>
      </w:r>
      <w:r>
        <w:rPr>
          <w:rFonts w:hint="eastAsia" w:ascii="仿宋_GB2312" w:hAnsi="仿宋_GB2312" w:eastAsia="仿宋_GB2312" w:cs="仿宋_GB2312"/>
          <w:color w:val="000000"/>
          <w:kern w:val="0"/>
          <w:szCs w:val="28"/>
        </w:rPr>
        <w:t>强化部门间信息共享、监管协作和联动执法，形成工作合力。落实</w:t>
      </w:r>
      <w:r>
        <w:rPr>
          <w:rFonts w:hint="eastAsia" w:ascii="仿宋_GB2312" w:hAnsi="仿宋_GB2312" w:eastAsia="仿宋_GB2312" w:cs="仿宋_GB2312"/>
        </w:rPr>
        <w:t>生态环境损害赔偿制度，强化行政执法与刑事司法、检察公益诉讼的协调联动。</w:t>
      </w:r>
      <w:r>
        <w:rPr>
          <w:rFonts w:eastAsia="楷体_GB2312"/>
          <w:color w:val="000000"/>
          <w:kern w:val="0"/>
          <w:szCs w:val="28"/>
        </w:rPr>
        <w:t>（牵头单位：</w:t>
      </w:r>
      <w:r>
        <w:rPr>
          <w:rFonts w:hint="eastAsia" w:eastAsia="楷体_GB2312"/>
          <w:color w:val="000000"/>
          <w:kern w:val="0"/>
          <w:szCs w:val="28"/>
        </w:rPr>
        <w:t>县</w:t>
      </w:r>
      <w:r>
        <w:rPr>
          <w:rFonts w:eastAsia="楷体_GB2312"/>
          <w:color w:val="000000"/>
          <w:kern w:val="0"/>
          <w:szCs w:val="28"/>
        </w:rPr>
        <w:t>生态环境</w:t>
      </w:r>
      <w:r>
        <w:rPr>
          <w:rFonts w:hint="eastAsia" w:eastAsia="楷体_GB2312"/>
          <w:color w:val="000000"/>
          <w:kern w:val="0"/>
          <w:szCs w:val="28"/>
        </w:rPr>
        <w:t>分</w:t>
      </w:r>
      <w:r>
        <w:rPr>
          <w:rFonts w:eastAsia="楷体_GB2312"/>
          <w:color w:val="000000"/>
          <w:kern w:val="0"/>
          <w:szCs w:val="28"/>
        </w:rPr>
        <w:t>局</w:t>
      </w:r>
      <w:r>
        <w:rPr>
          <w:rFonts w:hint="eastAsia" w:eastAsia="楷体_GB2312"/>
          <w:color w:val="000000"/>
          <w:kern w:val="0"/>
          <w:szCs w:val="28"/>
        </w:rPr>
        <w:t>；责任单位</w:t>
      </w:r>
      <w:r>
        <w:rPr>
          <w:rFonts w:eastAsia="楷体_GB2312"/>
          <w:szCs w:val="24"/>
        </w:rPr>
        <w:t>：</w:t>
      </w:r>
      <w:r>
        <w:rPr>
          <w:rFonts w:hint="eastAsia" w:eastAsia="楷体_GB2312"/>
          <w:szCs w:val="24"/>
        </w:rPr>
        <w:t>危险废物防治相关部门</w:t>
      </w:r>
      <w:r>
        <w:rPr>
          <w:rFonts w:hint="eastAsia" w:eastAsia="楷体_GB2312"/>
        </w:rPr>
        <w:t>，各乡镇</w:t>
      </w:r>
      <w:r>
        <w:rPr>
          <w:rFonts w:eastAsia="楷体_GB2312"/>
        </w:rPr>
        <w:t>、</w:t>
      </w:r>
      <w:r>
        <w:rPr>
          <w:rFonts w:hint="eastAsia" w:eastAsia="楷体_GB2312"/>
        </w:rPr>
        <w:t>街道</w:t>
      </w:r>
      <w:r>
        <w:rPr>
          <w:rFonts w:eastAsia="楷体_GB2312"/>
          <w:color w:val="000000"/>
          <w:kern w:val="0"/>
          <w:szCs w:val="28"/>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（2）强化监督执法</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严格落实国家及山东省危险废物分级分类管理要求，开展危险废物分级分类差异化管理。建立并动态更新危险废物重点风险监管单位清单。</w:t>
      </w:r>
      <w:r>
        <w:rPr>
          <w:rFonts w:hint="eastAsia" w:eastAsia="楷体_GB2312"/>
          <w:szCs w:val="24"/>
        </w:rPr>
        <w:t>（牵头</w:t>
      </w:r>
      <w:r>
        <w:rPr>
          <w:rFonts w:eastAsia="楷体_GB2312"/>
          <w:szCs w:val="24"/>
        </w:rPr>
        <w:t>单位：</w:t>
      </w:r>
      <w:r>
        <w:rPr>
          <w:rFonts w:hint="eastAsia" w:eastAsia="楷体_GB2312"/>
          <w:szCs w:val="24"/>
        </w:rPr>
        <w:t>县</w:t>
      </w:r>
      <w:r>
        <w:rPr>
          <w:rFonts w:eastAsia="楷体_GB2312"/>
          <w:szCs w:val="24"/>
        </w:rPr>
        <w:t>生态环境</w:t>
      </w:r>
      <w:r>
        <w:rPr>
          <w:rFonts w:hint="eastAsia" w:eastAsia="楷体_GB2312"/>
          <w:szCs w:val="24"/>
        </w:rPr>
        <w:t>分</w:t>
      </w:r>
      <w:r>
        <w:rPr>
          <w:rFonts w:eastAsia="楷体_GB2312"/>
          <w:szCs w:val="24"/>
        </w:rPr>
        <w:t>局</w:t>
      </w:r>
      <w:r>
        <w:rPr>
          <w:rFonts w:hint="eastAsia" w:eastAsia="楷体_GB2312"/>
        </w:rPr>
        <w:t>；责任单位：各乡镇</w:t>
      </w:r>
      <w:r>
        <w:rPr>
          <w:rFonts w:eastAsia="楷体_GB2312"/>
        </w:rPr>
        <w:t>、</w:t>
      </w:r>
      <w:r>
        <w:rPr>
          <w:rFonts w:hint="eastAsia" w:eastAsia="楷体_GB2312"/>
        </w:rPr>
        <w:t>街道</w:t>
      </w:r>
      <w:r>
        <w:rPr>
          <w:rFonts w:hint="eastAsia" w:eastAsia="楷体_GB2312"/>
          <w:szCs w:val="24"/>
        </w:rPr>
        <w:t>）</w:t>
      </w:r>
      <w:r>
        <w:rPr>
          <w:rFonts w:hint="eastAsia"/>
        </w:rPr>
        <w:t>严格落实黄河</w:t>
      </w:r>
      <w:r>
        <w:rPr>
          <w:rFonts w:cs="Times New Roman"/>
        </w:rPr>
        <w:t>流域“清废行动”要求，开展以危险废物为重点的固体废物排查整治，严厉打击</w:t>
      </w:r>
      <w:r>
        <w:rPr>
          <w:rFonts w:hint="eastAsia"/>
        </w:rPr>
        <w:t>违法犯罪行为。</w:t>
      </w:r>
      <w:r>
        <w:rPr>
          <w:rFonts w:hint="eastAsia" w:eastAsia="楷体_GB2312"/>
          <w:szCs w:val="24"/>
        </w:rPr>
        <w:t>（</w:t>
      </w:r>
      <w:r>
        <w:rPr>
          <w:rFonts w:eastAsia="楷体_GB2312"/>
          <w:szCs w:val="24"/>
        </w:rPr>
        <w:t>牵头单位：</w:t>
      </w:r>
      <w:r>
        <w:rPr>
          <w:rFonts w:hint="eastAsia" w:eastAsia="楷体_GB2312"/>
          <w:szCs w:val="24"/>
        </w:rPr>
        <w:t>县</w:t>
      </w:r>
      <w:r>
        <w:rPr>
          <w:rFonts w:eastAsia="楷体_GB2312"/>
          <w:szCs w:val="24"/>
        </w:rPr>
        <w:t>生态环境</w:t>
      </w:r>
      <w:r>
        <w:rPr>
          <w:rFonts w:hint="eastAsia" w:eastAsia="楷体_GB2312"/>
          <w:szCs w:val="24"/>
        </w:rPr>
        <w:t>分</w:t>
      </w:r>
      <w:r>
        <w:rPr>
          <w:rFonts w:eastAsia="楷体_GB2312"/>
          <w:szCs w:val="24"/>
        </w:rPr>
        <w:t>局；责任单位：</w:t>
      </w:r>
      <w:r>
        <w:rPr>
          <w:rFonts w:hint="eastAsia" w:eastAsia="楷体_GB2312"/>
          <w:szCs w:val="24"/>
        </w:rPr>
        <w:t>县公安局、县</w:t>
      </w:r>
      <w:r>
        <w:rPr>
          <w:rFonts w:eastAsia="楷体_GB2312"/>
          <w:szCs w:val="24"/>
        </w:rPr>
        <w:t>交通运输局</w:t>
      </w:r>
      <w:r>
        <w:rPr>
          <w:rFonts w:hint="eastAsia" w:eastAsia="楷体_GB2312"/>
        </w:rPr>
        <w:t>，各乡镇</w:t>
      </w:r>
      <w:r>
        <w:rPr>
          <w:rFonts w:eastAsia="楷体_GB2312"/>
        </w:rPr>
        <w:t>、</w:t>
      </w:r>
      <w:r>
        <w:rPr>
          <w:rFonts w:hint="eastAsia" w:eastAsia="楷体_GB2312"/>
        </w:rPr>
        <w:t>街道</w:t>
      </w:r>
      <w:r>
        <w:rPr>
          <w:rFonts w:hint="eastAsia" w:eastAsia="楷体_GB2312"/>
          <w:szCs w:val="24"/>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（3）推进信息化管理</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完善危险废物信息化管理体系，依托省级危险废物信息化管理系统，实现危险废物管理计划在线备案、产生等相关情况在线申报、转移联单在线运行、持证单位经营情况在线报告等全过程在线管理。到2024年，全县工业危险废物产生单位和所有持证经营单位实现信息化管理全覆盖。</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；责任单位：各乡镇</w:t>
      </w:r>
      <w:r>
        <w:rPr>
          <w:rFonts w:eastAsia="楷体_GB2312"/>
        </w:rPr>
        <w:t>、</w:t>
      </w:r>
      <w:r>
        <w:rPr>
          <w:rFonts w:hint="eastAsia" w:eastAsia="楷体_GB2312"/>
        </w:rPr>
        <w:t>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65" w:name="_Toc121508281"/>
      <w:r>
        <w:rPr>
          <w:rFonts w:hint="eastAsia" w:ascii="仿宋_GB2312" w:hAnsi="仿宋_GB2312" w:eastAsia="仿宋_GB2312" w:cs="仿宋_GB2312"/>
        </w:rPr>
        <w:t>5. 规范运作模式，提升管理水平</w:t>
      </w:r>
      <w:bookmarkEnd w:id="65"/>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（1）加强经营单位运营管理</w:t>
      </w:r>
    </w:p>
    <w:p>
      <w:pPr>
        <w:pageBreakBefore w:val="0"/>
        <w:widowControl w:val="0"/>
        <w:kinsoku/>
        <w:wordWrap/>
        <w:overflowPunct/>
        <w:topLinePunct w:val="0"/>
        <w:autoSpaceDE/>
        <w:autoSpaceDN/>
        <w:bidi w:val="0"/>
        <w:spacing w:line="600" w:lineRule="exact"/>
        <w:ind w:firstLine="610"/>
        <w:textAlignment w:val="auto"/>
        <w:rPr>
          <w:rFonts w:eastAsia="楷体_GB2312"/>
          <w:szCs w:val="24"/>
        </w:rPr>
      </w:pPr>
      <w:r>
        <w:rPr>
          <w:rFonts w:hint="eastAsia" w:ascii="仿宋_GB2312" w:hAnsi="仿宋_GB2312" w:eastAsia="仿宋_GB2312" w:cs="仿宋_GB2312"/>
        </w:rPr>
        <w:t>开展危险废物利用处置行业整治提升行动，推动经营企业优胜劣汰和行业水平整体提升。定期发布危险废物利用处置设施建设投资引导性公告，科学引导危险废物利用处置产业发展，促进危险废物利用处置企业规模化发展、专业化运营。推行危险废物经营单位“领跑者”行动，努力打造一批一流的危险废物利用处置企业。加强技术培训交流，支持企业引进专业化运营管理团队，提升设施运行管理水平。</w:t>
      </w:r>
      <w:r>
        <w:rPr>
          <w:rFonts w:eastAsia="楷体_GB2312"/>
          <w:szCs w:val="24"/>
        </w:rPr>
        <w:t>（</w:t>
      </w:r>
      <w:r>
        <w:rPr>
          <w:rFonts w:hint="eastAsia" w:eastAsia="楷体_GB2312"/>
          <w:szCs w:val="24"/>
        </w:rPr>
        <w:t>牵头单位：县</w:t>
      </w:r>
      <w:r>
        <w:rPr>
          <w:rFonts w:eastAsia="楷体_GB2312"/>
          <w:szCs w:val="24"/>
        </w:rPr>
        <w:t>生态环境局</w:t>
      </w:r>
      <w:r>
        <w:rPr>
          <w:rFonts w:hint="eastAsia" w:eastAsia="楷体_GB2312"/>
          <w:szCs w:val="24"/>
        </w:rPr>
        <w:t>、县工业和信息化局、县</w:t>
      </w:r>
      <w:r>
        <w:rPr>
          <w:rFonts w:eastAsia="楷体_GB2312"/>
          <w:szCs w:val="24"/>
        </w:rPr>
        <w:t>市场监管局</w:t>
      </w:r>
      <w:r>
        <w:rPr>
          <w:rFonts w:hint="eastAsia" w:eastAsia="楷体_GB2312"/>
        </w:rPr>
        <w:t>；责任单位：各乡镇</w:t>
      </w:r>
      <w:r>
        <w:rPr>
          <w:rFonts w:eastAsia="楷体_GB2312"/>
        </w:rPr>
        <w:t>、</w:t>
      </w:r>
      <w:r>
        <w:rPr>
          <w:rFonts w:hint="eastAsia" w:eastAsia="楷体_GB2312"/>
        </w:rPr>
        <w:t>街道</w:t>
      </w:r>
      <w:r>
        <w:rPr>
          <w:rFonts w:eastAsia="楷体_GB2312"/>
          <w:szCs w:val="24"/>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（2）提升企业规范化管理水平</w:t>
      </w:r>
    </w:p>
    <w:p>
      <w:pPr>
        <w:pageBreakBefore w:val="0"/>
        <w:widowControl w:val="0"/>
        <w:kinsoku/>
        <w:wordWrap/>
        <w:overflowPunct/>
        <w:topLinePunct w:val="0"/>
        <w:autoSpaceDE/>
        <w:autoSpaceDN/>
        <w:bidi w:val="0"/>
        <w:spacing w:line="600" w:lineRule="exact"/>
        <w:ind w:firstLine="610"/>
        <w:textAlignment w:val="auto"/>
      </w:pPr>
      <w:bookmarkStart w:id="66" w:name="_Hlk121919411"/>
      <w:r>
        <w:rPr>
          <w:rFonts w:hint="eastAsia" w:ascii="仿宋_GB2312" w:hAnsi="仿宋_GB2312" w:eastAsia="仿宋_GB2312" w:cs="仿宋_GB2312"/>
        </w:rPr>
        <w:t>督促危险废物产生单位和经营单位</w:t>
      </w:r>
      <w:bookmarkEnd w:id="66"/>
      <w:r>
        <w:rPr>
          <w:rFonts w:hint="eastAsia" w:ascii="仿宋_GB2312" w:hAnsi="仿宋_GB2312" w:eastAsia="仿宋_GB2312" w:cs="仿宋_GB2312"/>
        </w:rPr>
        <w:t>落实主体责任，严格执行</w:t>
      </w:r>
      <w:bookmarkStart w:id="67" w:name="_Hlk121919440"/>
      <w:r>
        <w:rPr>
          <w:rFonts w:hint="eastAsia" w:ascii="仿宋_GB2312" w:hAnsi="仿宋_GB2312" w:eastAsia="仿宋_GB2312" w:cs="仿宋_GB2312"/>
        </w:rPr>
        <w:t>排污许可等环境</w:t>
      </w:r>
      <w:bookmarkEnd w:id="67"/>
      <w:r>
        <w:rPr>
          <w:rFonts w:hint="eastAsia" w:ascii="仿宋_GB2312" w:hAnsi="仿宋_GB2312" w:eastAsia="仿宋_GB2312" w:cs="仿宋_GB2312"/>
        </w:rPr>
        <w:t>污染防治法律法规制度</w:t>
      </w:r>
      <w:bookmarkStart w:id="68" w:name="_Hlk121919452"/>
      <w:r>
        <w:rPr>
          <w:rFonts w:hint="eastAsia" w:ascii="仿宋_GB2312" w:hAnsi="仿宋_GB2312" w:eastAsia="仿宋_GB2312" w:cs="仿宋_GB2312"/>
        </w:rPr>
        <w:t>，建立健全环境责任体系</w:t>
      </w:r>
      <w:bookmarkEnd w:id="68"/>
      <w:r>
        <w:rPr>
          <w:rFonts w:hint="eastAsia" w:ascii="仿宋_GB2312" w:hAnsi="仿宋_GB2312" w:eastAsia="仿宋_GB2312" w:cs="仿宋_GB2312"/>
        </w:rPr>
        <w:t>。针对金属表面处理等重点行业，加强危险废物环境管理。到2025年，危险废物产生单位、经营单位规范化管理评估抽查合格率均达到100%。</w:t>
      </w:r>
      <w:r>
        <w:rPr>
          <w:rFonts w:eastAsia="楷体_GB2312"/>
        </w:rPr>
        <w:t>（</w:t>
      </w:r>
      <w:r>
        <w:rPr>
          <w:rFonts w:hint="eastAsia" w:eastAsia="楷体_GB2312"/>
        </w:rPr>
        <w:t>牵头</w:t>
      </w:r>
      <w:r>
        <w:rPr>
          <w:rFonts w:eastAsia="楷体_GB2312"/>
        </w:rPr>
        <w:t>单位：</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；责任单位：各乡镇</w:t>
      </w:r>
      <w:r>
        <w:rPr>
          <w:rFonts w:eastAsia="楷体_GB2312"/>
        </w:rPr>
        <w:t>、</w:t>
      </w:r>
      <w:r>
        <w:rPr>
          <w:rFonts w:hint="eastAsia" w:eastAsia="楷体_GB2312"/>
        </w:rPr>
        <w:t>街道</w:t>
      </w:r>
      <w:r>
        <w:rPr>
          <w:rFonts w:eastAsia="楷体_GB2312"/>
        </w:rPr>
        <w:t>）</w:t>
      </w:r>
      <w:r>
        <w:t>开展环境污染责任保险，将收集、贮存、运输、利用、处置危险废物的单位纳入环境污染强制责任保险投保范围，根据危险废物环境风险评估等级，动态调整保险费率。</w:t>
      </w:r>
      <w:r>
        <w:rPr>
          <w:rFonts w:eastAsia="楷体_GB2312"/>
        </w:rPr>
        <w:t>（牵头单位：</w:t>
      </w:r>
      <w:r>
        <w:rPr>
          <w:rFonts w:hint="eastAsia" w:eastAsia="楷体_GB2312"/>
        </w:rPr>
        <w:t>县</w:t>
      </w:r>
      <w:r>
        <w:rPr>
          <w:rFonts w:eastAsia="楷体_GB2312"/>
        </w:rPr>
        <w:t>生态环境</w:t>
      </w:r>
      <w:r>
        <w:rPr>
          <w:rFonts w:hint="eastAsia" w:eastAsia="楷体_GB2312"/>
        </w:rPr>
        <w:t>分</w:t>
      </w:r>
      <w:r>
        <w:rPr>
          <w:rFonts w:eastAsia="楷体_GB2312"/>
        </w:rPr>
        <w:t>局；责任单位：</w:t>
      </w:r>
      <w:r>
        <w:rPr>
          <w:rFonts w:hint="eastAsia" w:eastAsia="楷体_GB2312"/>
        </w:rPr>
        <w:t>县金融</w:t>
      </w:r>
      <w:r>
        <w:rPr>
          <w:rFonts w:eastAsia="楷体_GB2312"/>
        </w:rPr>
        <w:t>服务中心</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（3）发挥市场主体作用</w:t>
      </w:r>
    </w:p>
    <w:p>
      <w:pPr>
        <w:pageBreakBefore w:val="0"/>
        <w:widowControl w:val="0"/>
        <w:kinsoku/>
        <w:wordWrap/>
        <w:overflowPunct/>
        <w:topLinePunct w:val="0"/>
        <w:autoSpaceDE/>
        <w:autoSpaceDN/>
        <w:bidi w:val="0"/>
        <w:spacing w:line="600" w:lineRule="exact"/>
        <w:ind w:firstLine="610"/>
        <w:textAlignment w:val="auto"/>
        <w:rPr>
          <w:color w:val="000000"/>
          <w:kern w:val="0"/>
          <w:szCs w:val="28"/>
        </w:rPr>
      </w:pPr>
      <w:r>
        <w:rPr>
          <w:rFonts w:hint="eastAsia" w:ascii="仿宋_GB2312" w:hAnsi="仿宋_GB2312" w:eastAsia="仿宋_GB2312" w:cs="仿宋_GB2312"/>
        </w:rPr>
        <w:t>鼓励银行等金融机构按照市场化和商业可持续原则给予多元化信贷支持，支持符合条件的项目申请绿色信贷和发行绿色债券，鼓励社会资本出资设立工业资源综合利用产业发展基金。</w:t>
      </w:r>
      <w:r>
        <w:rPr>
          <w:rFonts w:eastAsia="楷体_GB2312"/>
        </w:rPr>
        <w:t>（牵头单位：</w:t>
      </w:r>
      <w:r>
        <w:rPr>
          <w:rFonts w:hint="eastAsia" w:eastAsia="楷体_GB2312"/>
          <w:color w:val="000000" w:themeColor="text1"/>
          <w14:textFill>
            <w14:solidFill>
              <w14:schemeClr w14:val="tx1"/>
            </w14:solidFill>
          </w14:textFill>
        </w:rPr>
        <w:t>中国人民银行冠县支行</w:t>
      </w:r>
      <w:r>
        <w:rPr>
          <w:rFonts w:eastAsia="楷体_GB2312"/>
        </w:rPr>
        <w:t>；责任单位：</w:t>
      </w:r>
      <w:r>
        <w:rPr>
          <w:rFonts w:hint="eastAsia" w:eastAsia="楷体_GB2312"/>
        </w:rPr>
        <w:t>县金融</w:t>
      </w:r>
      <w:r>
        <w:rPr>
          <w:rFonts w:eastAsia="楷体_GB2312"/>
        </w:rPr>
        <w:t>服务中心</w:t>
      </w:r>
      <w:r>
        <w:rPr>
          <w:rFonts w:hint="eastAsia" w:eastAsia="楷体_GB2312"/>
        </w:rPr>
        <w:t>、县生态环境分局、县发展和改革局，各乡镇</w:t>
      </w:r>
      <w:r>
        <w:rPr>
          <w:rFonts w:eastAsia="楷体_GB2312"/>
        </w:rPr>
        <w:t>、</w:t>
      </w:r>
      <w:r>
        <w:rPr>
          <w:rFonts w:hint="eastAsia" w:eastAsia="楷体_GB2312"/>
        </w:rPr>
        <w:t>街道</w:t>
      </w:r>
      <w:r>
        <w:rPr>
          <w:rFonts w:eastAsia="楷体_GB2312"/>
        </w:rPr>
        <w:t>）</w:t>
      </w:r>
      <w:r>
        <w:t>按规定落实资源综合利用增值税、企业所得税和环境保护税等优惠政策。</w:t>
      </w:r>
      <w:r>
        <w:rPr>
          <w:rFonts w:eastAsia="楷体_GB2312"/>
        </w:rPr>
        <w:t>（牵头单位：</w:t>
      </w:r>
      <w:r>
        <w:rPr>
          <w:rFonts w:hint="eastAsia" w:eastAsia="楷体_GB2312"/>
        </w:rPr>
        <w:t>县税务局</w:t>
      </w:r>
      <w:r>
        <w:rPr>
          <w:rFonts w:eastAsia="楷体_GB2312"/>
        </w:rPr>
        <w:t>；责任单位：</w:t>
      </w:r>
      <w:r>
        <w:rPr>
          <w:rFonts w:hint="eastAsia" w:eastAsia="楷体_GB2312"/>
        </w:rPr>
        <w:t>县财政局、县</w:t>
      </w:r>
      <w:r>
        <w:rPr>
          <w:rFonts w:eastAsia="楷体_GB2312"/>
        </w:rPr>
        <w:t>生态环境</w:t>
      </w:r>
      <w:r>
        <w:rPr>
          <w:rFonts w:hint="eastAsia" w:eastAsia="楷体_GB2312"/>
        </w:rPr>
        <w:t>分</w:t>
      </w:r>
      <w:r>
        <w:rPr>
          <w:rFonts w:eastAsia="楷体_GB2312"/>
        </w:rPr>
        <w:t>局、</w:t>
      </w:r>
      <w:r>
        <w:rPr>
          <w:rFonts w:hint="eastAsia" w:eastAsia="楷体_GB2312"/>
        </w:rPr>
        <w:t>县</w:t>
      </w:r>
      <w:r>
        <w:rPr>
          <w:rFonts w:eastAsia="楷体_GB2312"/>
        </w:rPr>
        <w:t>工业和信息化</w:t>
      </w:r>
      <w:r>
        <w:rPr>
          <w:rFonts w:hint="eastAsia" w:eastAsia="楷体_GB2312"/>
        </w:rPr>
        <w:t>局</w:t>
      </w:r>
      <w:r>
        <w:rPr>
          <w:rFonts w:eastAsia="楷体_GB2312"/>
        </w:rPr>
        <w:t>）</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69" w:name="_Toc121508282"/>
      <w:bookmarkStart w:id="70" w:name="_Hlk119488637"/>
      <w:r>
        <w:rPr>
          <w:rFonts w:hint="eastAsia"/>
          <w:b/>
          <w:bCs/>
        </w:rPr>
        <w:t>（六）完善回收网络布局，提升再生资源利用水平</w:t>
      </w:r>
    </w:p>
    <w:bookmarkEnd w:id="69"/>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71" w:name="_Toc121508283"/>
      <w:r>
        <w:rPr>
          <w:rFonts w:hint="eastAsia" w:ascii="仿宋_GB2312" w:hAnsi="仿宋_GB2312" w:eastAsia="仿宋_GB2312" w:cs="仿宋_GB2312"/>
        </w:rPr>
        <w:t>1. 强化规划支撑，做好统计工作</w:t>
      </w:r>
      <w:bookmarkEnd w:id="71"/>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（1）强化规划支撑</w:t>
      </w:r>
    </w:p>
    <w:p>
      <w:pPr>
        <w:pageBreakBefore w:val="0"/>
        <w:widowControl w:val="0"/>
        <w:kinsoku/>
        <w:wordWrap/>
        <w:overflowPunct/>
        <w:topLinePunct w:val="0"/>
        <w:autoSpaceDE/>
        <w:autoSpaceDN/>
        <w:bidi w:val="0"/>
        <w:spacing w:line="600" w:lineRule="exact"/>
        <w:ind w:firstLine="610"/>
        <w:textAlignment w:val="auto"/>
      </w:pPr>
      <w:bookmarkStart w:id="72" w:name="_Hlk119488883"/>
      <w:r>
        <w:rPr>
          <w:rFonts w:hint="eastAsia" w:ascii="仿宋_GB2312" w:hAnsi="仿宋_GB2312" w:eastAsia="仿宋_GB2312" w:cs="仿宋_GB2312"/>
        </w:rPr>
        <w:t>制定和实施全县再生资源回收行业发展规划，出台各类再生资源相关的指导意见或工作方案。协调各乡镇、街道开展再生资源回收工作。</w:t>
      </w:r>
      <w:r>
        <w:rPr>
          <w:rFonts w:eastAsia="楷体_GB2312"/>
          <w:szCs w:val="24"/>
        </w:rPr>
        <w:t>（牵头单位：</w:t>
      </w:r>
      <w:r>
        <w:rPr>
          <w:rFonts w:hint="eastAsia" w:eastAsia="楷体_GB2312"/>
          <w:szCs w:val="24"/>
        </w:rPr>
        <w:t>县</w:t>
      </w:r>
      <w:r>
        <w:rPr>
          <w:rFonts w:eastAsia="楷体_GB2312"/>
          <w:szCs w:val="24"/>
        </w:rPr>
        <w:t>商务投资促进局</w:t>
      </w:r>
      <w:r>
        <w:rPr>
          <w:rFonts w:hint="eastAsia" w:eastAsia="楷体_GB2312"/>
          <w:szCs w:val="24"/>
        </w:rPr>
        <w:t>；责任单位：</w:t>
      </w:r>
      <w:r>
        <w:rPr>
          <w:rFonts w:hint="eastAsia" w:eastAsia="楷体_GB2312"/>
        </w:rPr>
        <w:t>县综合行政</w:t>
      </w:r>
      <w:r>
        <w:rPr>
          <w:rFonts w:eastAsia="楷体_GB2312"/>
        </w:rPr>
        <w:t>执法局</w:t>
      </w:r>
      <w:r>
        <w:rPr>
          <w:rFonts w:hint="eastAsia" w:eastAsia="楷体_GB2312"/>
        </w:rPr>
        <w:t>，各乡镇</w:t>
      </w:r>
      <w:r>
        <w:rPr>
          <w:rFonts w:eastAsia="楷体_GB2312"/>
        </w:rPr>
        <w:t>、</w:t>
      </w:r>
      <w:r>
        <w:rPr>
          <w:rFonts w:hint="eastAsia" w:eastAsia="楷体_GB2312"/>
        </w:rPr>
        <w:t>街道</w:t>
      </w:r>
      <w:r>
        <w:rPr>
          <w:rFonts w:eastAsia="楷体_GB2312"/>
          <w:szCs w:val="24"/>
        </w:rPr>
        <w:t>）</w:t>
      </w:r>
    </w:p>
    <w:bookmarkEnd w:id="72"/>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（2）完善统计途径</w:t>
      </w:r>
    </w:p>
    <w:p>
      <w:pPr>
        <w:pageBreakBefore w:val="0"/>
        <w:widowControl w:val="0"/>
        <w:kinsoku/>
        <w:wordWrap/>
        <w:overflowPunct/>
        <w:topLinePunct w:val="0"/>
        <w:autoSpaceDE/>
        <w:autoSpaceDN/>
        <w:bidi w:val="0"/>
        <w:spacing w:line="600" w:lineRule="exact"/>
        <w:ind w:firstLine="610"/>
        <w:textAlignment w:val="auto"/>
        <w:rPr>
          <w:rFonts w:eastAsia="楷体_GB2312"/>
          <w:szCs w:val="24"/>
        </w:rPr>
      </w:pPr>
      <w:r>
        <w:rPr>
          <w:rFonts w:hint="eastAsia" w:ascii="仿宋_GB2312" w:hAnsi="仿宋_GB2312" w:eastAsia="仿宋_GB2312" w:cs="仿宋_GB2312"/>
        </w:rPr>
        <w:t>逐步开展各类再生资源基础数据调查工作，摸清底数，统一各类再生资源的统计范围、统计口径和方法，建立统计体系，加快推进再生资源回收统计体系建设。</w:t>
      </w:r>
      <w:r>
        <w:rPr>
          <w:rFonts w:eastAsia="楷体_GB2312"/>
          <w:szCs w:val="24"/>
        </w:rPr>
        <w:t>（</w:t>
      </w:r>
      <w:r>
        <w:rPr>
          <w:rFonts w:hint="eastAsia" w:eastAsia="楷体_GB2312"/>
          <w:szCs w:val="24"/>
        </w:rPr>
        <w:t>牵头单位：县</w:t>
      </w:r>
      <w:r>
        <w:rPr>
          <w:rFonts w:eastAsia="楷体_GB2312"/>
          <w:szCs w:val="24"/>
        </w:rPr>
        <w:t>商务投资促进局</w:t>
      </w:r>
      <w:r>
        <w:rPr>
          <w:rFonts w:hint="eastAsia" w:eastAsia="楷体_GB2312"/>
          <w:szCs w:val="24"/>
        </w:rPr>
        <w:t>、县</w:t>
      </w:r>
      <w:r>
        <w:rPr>
          <w:rFonts w:eastAsia="楷体_GB2312"/>
          <w:szCs w:val="24"/>
        </w:rPr>
        <w:t>市场监管局、</w:t>
      </w:r>
      <w:r>
        <w:rPr>
          <w:rFonts w:hint="eastAsia" w:eastAsia="楷体_GB2312"/>
          <w:szCs w:val="24"/>
        </w:rPr>
        <w:t>县</w:t>
      </w:r>
      <w:r>
        <w:rPr>
          <w:rFonts w:eastAsia="楷体_GB2312"/>
          <w:szCs w:val="24"/>
        </w:rPr>
        <w:t>公安局、</w:t>
      </w:r>
      <w:r>
        <w:rPr>
          <w:rFonts w:hint="eastAsia" w:eastAsia="楷体_GB2312"/>
          <w:szCs w:val="24"/>
        </w:rPr>
        <w:t>县</w:t>
      </w:r>
      <w:r>
        <w:rPr>
          <w:rFonts w:eastAsia="楷体_GB2312"/>
          <w:szCs w:val="24"/>
        </w:rPr>
        <w:t>统计局、</w:t>
      </w:r>
      <w:r>
        <w:rPr>
          <w:rFonts w:hint="eastAsia" w:eastAsia="楷体_GB2312"/>
        </w:rPr>
        <w:t>县综合行政</w:t>
      </w:r>
      <w:r>
        <w:rPr>
          <w:rFonts w:eastAsia="楷体_GB2312"/>
        </w:rPr>
        <w:t>执法局</w:t>
      </w:r>
      <w:r>
        <w:rPr>
          <w:rFonts w:eastAsia="楷体_GB2312"/>
          <w:szCs w:val="24"/>
        </w:rPr>
        <w:t>、</w:t>
      </w:r>
      <w:r>
        <w:rPr>
          <w:rFonts w:hint="eastAsia" w:eastAsia="楷体_GB2312"/>
          <w:szCs w:val="24"/>
        </w:rPr>
        <w:t>县</w:t>
      </w:r>
      <w:r>
        <w:rPr>
          <w:rFonts w:eastAsia="楷体_GB2312"/>
          <w:szCs w:val="24"/>
        </w:rPr>
        <w:t>发展</w:t>
      </w:r>
      <w:r>
        <w:rPr>
          <w:rFonts w:hint="eastAsia" w:eastAsia="楷体_GB2312"/>
          <w:szCs w:val="24"/>
        </w:rPr>
        <w:t>和</w:t>
      </w:r>
      <w:r>
        <w:rPr>
          <w:rFonts w:eastAsia="楷体_GB2312"/>
          <w:szCs w:val="24"/>
        </w:rPr>
        <w:t>改革</w:t>
      </w:r>
      <w:r>
        <w:rPr>
          <w:rFonts w:hint="eastAsia" w:eastAsia="楷体_GB2312"/>
          <w:szCs w:val="24"/>
        </w:rPr>
        <w:t>局</w:t>
      </w:r>
      <w:r>
        <w:rPr>
          <w:rFonts w:hint="eastAsia" w:eastAsia="楷体_GB2312"/>
        </w:rPr>
        <w:t>；责任单位：各乡镇</w:t>
      </w:r>
      <w:r>
        <w:rPr>
          <w:rFonts w:eastAsia="楷体_GB2312"/>
        </w:rPr>
        <w:t>、</w:t>
      </w:r>
      <w:r>
        <w:rPr>
          <w:rFonts w:hint="eastAsia" w:eastAsia="楷体_GB2312"/>
        </w:rPr>
        <w:t>街道</w:t>
      </w:r>
      <w:r>
        <w:rPr>
          <w:rFonts w:eastAsia="楷体_GB2312"/>
          <w:szCs w:val="24"/>
        </w:rPr>
        <w:t>）</w:t>
      </w:r>
    </w:p>
    <w:bookmarkEnd w:id="70"/>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73" w:name="_Toc121508284"/>
      <w:r>
        <w:rPr>
          <w:rFonts w:hint="eastAsia" w:ascii="仿宋_GB2312" w:hAnsi="仿宋_GB2312" w:eastAsia="仿宋_GB2312" w:cs="仿宋_GB2312"/>
        </w:rPr>
        <w:t>2. 健全回收网络，提升监管效率</w:t>
      </w:r>
      <w:bookmarkEnd w:id="73"/>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（1）合理布局再生资源回收站点</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shd w:val="clear" w:color="auto" w:fill="FFFFFF"/>
        </w:rPr>
        <w:t>以便于交易为原则，结合生活垃圾可回收物回收站点、产废单位特点合理布局回收站点。鼓励标准化、规范化、连锁化经营。支持分拣中心通过连锁经营、特许加盟、兼并合作等方式，整合中小企业和个体经营户，提高再生资源回收效率和运营管理水平，扩大回收网络覆盖面。</w:t>
      </w:r>
      <w:r>
        <w:rPr>
          <w:rFonts w:eastAsia="楷体_GB2312"/>
          <w:szCs w:val="24"/>
        </w:rPr>
        <w:t>（</w:t>
      </w:r>
      <w:r>
        <w:rPr>
          <w:rFonts w:hint="eastAsia" w:eastAsia="楷体_GB2312"/>
          <w:szCs w:val="24"/>
        </w:rPr>
        <w:t>牵头单位：</w:t>
      </w:r>
      <w:r>
        <w:rPr>
          <w:rFonts w:hint="eastAsia" w:eastAsia="楷体_GB2312"/>
        </w:rPr>
        <w:t>县</w:t>
      </w:r>
      <w:r>
        <w:rPr>
          <w:rFonts w:eastAsia="楷体_GB2312"/>
        </w:rPr>
        <w:t>商务投资促进局</w:t>
      </w:r>
      <w:r>
        <w:rPr>
          <w:rFonts w:hint="eastAsia" w:eastAsia="楷体_GB2312"/>
        </w:rPr>
        <w:t>、县</w:t>
      </w:r>
      <w:r>
        <w:rPr>
          <w:rFonts w:eastAsia="楷体_GB2312"/>
        </w:rPr>
        <w:t>市场监管局、</w:t>
      </w:r>
      <w:r>
        <w:rPr>
          <w:rFonts w:hint="eastAsia" w:eastAsia="楷体_GB2312"/>
        </w:rPr>
        <w:t>县</w:t>
      </w:r>
      <w:r>
        <w:rPr>
          <w:rFonts w:eastAsia="楷体_GB2312"/>
        </w:rPr>
        <w:t>住房城乡建设局、</w:t>
      </w:r>
      <w:r>
        <w:rPr>
          <w:rFonts w:hint="eastAsia" w:eastAsia="楷体_GB2312"/>
        </w:rPr>
        <w:t>县综合行政</w:t>
      </w:r>
      <w:r>
        <w:rPr>
          <w:rFonts w:eastAsia="楷体_GB2312"/>
        </w:rPr>
        <w:t>执法局、</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rPr>
        <w:t>、</w:t>
      </w:r>
      <w:r>
        <w:rPr>
          <w:rFonts w:hint="eastAsia" w:eastAsia="楷体_GB2312"/>
        </w:rPr>
        <w:t>县</w:t>
      </w:r>
      <w:r>
        <w:rPr>
          <w:rFonts w:eastAsia="楷体_GB2312"/>
        </w:rPr>
        <w:t>自然资源和规划</w:t>
      </w:r>
      <w:r>
        <w:rPr>
          <w:rFonts w:hint="eastAsia" w:eastAsia="楷体_GB2312"/>
        </w:rPr>
        <w:t>分</w:t>
      </w:r>
      <w:r>
        <w:rPr>
          <w:rFonts w:eastAsia="楷体_GB2312"/>
        </w:rPr>
        <w:t>局</w:t>
      </w:r>
      <w:r>
        <w:rPr>
          <w:rFonts w:hint="eastAsia" w:eastAsia="楷体_GB2312"/>
        </w:rPr>
        <w:t>；责任单位：各乡镇</w:t>
      </w:r>
      <w:r>
        <w:rPr>
          <w:rFonts w:eastAsia="楷体_GB2312"/>
        </w:rPr>
        <w:t>、</w:t>
      </w:r>
      <w:r>
        <w:rPr>
          <w:rFonts w:hint="eastAsia" w:eastAsia="楷体_GB2312"/>
        </w:rPr>
        <w:t>街道</w:t>
      </w:r>
      <w: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（2）加强再生资源分拣中心规范建设</w:t>
      </w:r>
    </w:p>
    <w:p>
      <w:pPr>
        <w:pageBreakBefore w:val="0"/>
        <w:widowControl w:val="0"/>
        <w:kinsoku/>
        <w:wordWrap/>
        <w:overflowPunct/>
        <w:topLinePunct w:val="0"/>
        <w:autoSpaceDE/>
        <w:autoSpaceDN/>
        <w:bidi w:val="0"/>
        <w:spacing w:line="600" w:lineRule="exact"/>
        <w:ind w:firstLine="610"/>
        <w:textAlignment w:val="auto"/>
        <w:rPr>
          <w:b/>
          <w:bCs/>
          <w:szCs w:val="32"/>
        </w:rPr>
      </w:pPr>
      <w:r>
        <w:rPr>
          <w:rFonts w:hint="eastAsia" w:ascii="仿宋_GB2312" w:hAnsi="仿宋_GB2312" w:eastAsia="仿宋_GB2312" w:cs="仿宋_GB2312"/>
          <w:shd w:val="clear" w:color="auto" w:fill="FFFFFF"/>
        </w:rPr>
        <w:t>新建和改造提升绿色分拣中心，结合生活垃圾可回收物分拣中心布局，协同建成一个规范化再生资源绿色分拣中心，严格落实环境保护、安全生产、产品质量、劳动保护等要求，杜绝露天存放、收集危险废物等行为。分类推进综合型分拣中心和专业型分拣中心建设。</w:t>
      </w:r>
      <w:r>
        <w:rPr>
          <w:rFonts w:eastAsia="楷体_GB2312"/>
          <w:szCs w:val="24"/>
        </w:rPr>
        <w:t>（</w:t>
      </w:r>
      <w:r>
        <w:rPr>
          <w:rFonts w:hint="eastAsia" w:eastAsia="楷体_GB2312"/>
          <w:szCs w:val="24"/>
        </w:rPr>
        <w:t>牵头单位：</w:t>
      </w:r>
      <w:r>
        <w:rPr>
          <w:rFonts w:hint="eastAsia" w:eastAsia="楷体_GB2312"/>
        </w:rPr>
        <w:t>县</w:t>
      </w:r>
      <w:r>
        <w:rPr>
          <w:rFonts w:eastAsia="楷体_GB2312"/>
        </w:rPr>
        <w:t>商务投资促进局</w:t>
      </w:r>
      <w:r>
        <w:rPr>
          <w:rFonts w:hint="eastAsia" w:eastAsia="楷体_GB2312"/>
        </w:rPr>
        <w:t>、县行政审批服务局</w:t>
      </w:r>
      <w:r>
        <w:rPr>
          <w:rFonts w:eastAsia="楷体_GB2312"/>
        </w:rPr>
        <w:t>、</w:t>
      </w:r>
      <w:r>
        <w:rPr>
          <w:rFonts w:hint="eastAsia" w:eastAsia="楷体_GB2312"/>
        </w:rPr>
        <w:t>县综合行政</w:t>
      </w:r>
      <w:r>
        <w:rPr>
          <w:rFonts w:eastAsia="楷体_GB2312"/>
        </w:rPr>
        <w:t>执法局、</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局等；责任单位：各乡镇、</w:t>
      </w:r>
      <w:r>
        <w:rPr>
          <w:rFonts w:eastAsia="楷体_GB2312"/>
        </w:rPr>
        <w:t>街道</w:t>
      </w:r>
      <w: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（3）实现再生资源回收单位专业化规模化</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shd w:val="clear" w:color="auto" w:fill="FFFFFF"/>
        </w:rPr>
        <w:t>推进再生资源回收企业专业化、规模化、规范化运营。引导回收企业提升再生资源回收环节预处理能力。培育多元化回收主体，推动各类市场主体积极参与再生资源回收体系建设；鼓励回收企业与物业企业、环卫单位、利用企业等建立长效合作机制，畅通回收利用渠道，形成规范有序的回收利用产业链条；落实再生资源回收企业场地，鼓励钢铁、有色金属、造纸、机动车、玻璃、家电等生产企业发展回收、加工、利用一体化经营模式。</w:t>
      </w:r>
      <w:r>
        <w:rPr>
          <w:rFonts w:eastAsia="楷体_GB2312"/>
          <w:szCs w:val="24"/>
        </w:rPr>
        <w:t>（</w:t>
      </w:r>
      <w:r>
        <w:rPr>
          <w:rFonts w:hint="eastAsia" w:eastAsia="楷体_GB2312"/>
          <w:sz w:val="31"/>
          <w:szCs w:val="31"/>
        </w:rPr>
        <w:t>牵头单位：县</w:t>
      </w:r>
      <w:r>
        <w:rPr>
          <w:rFonts w:eastAsia="楷体_GB2312"/>
          <w:sz w:val="31"/>
          <w:szCs w:val="31"/>
        </w:rPr>
        <w:t>商务投资促进局、</w:t>
      </w:r>
      <w:r>
        <w:rPr>
          <w:rFonts w:hint="eastAsia" w:eastAsia="楷体_GB2312"/>
          <w:sz w:val="31"/>
          <w:szCs w:val="31"/>
        </w:rPr>
        <w:t>县行政审批服务局</w:t>
      </w:r>
      <w:r>
        <w:rPr>
          <w:rFonts w:eastAsia="楷体_GB2312"/>
          <w:sz w:val="31"/>
          <w:szCs w:val="31"/>
        </w:rPr>
        <w:t>、</w:t>
      </w:r>
      <w:r>
        <w:rPr>
          <w:rFonts w:hint="eastAsia" w:eastAsia="楷体_GB2312"/>
        </w:rPr>
        <w:t>县综合行政</w:t>
      </w:r>
      <w:r>
        <w:rPr>
          <w:rFonts w:eastAsia="楷体_GB2312"/>
        </w:rPr>
        <w:t>执法局、</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sz w:val="31"/>
          <w:szCs w:val="31"/>
        </w:rPr>
        <w:t>、</w:t>
      </w:r>
      <w:r>
        <w:rPr>
          <w:rFonts w:hint="eastAsia" w:eastAsia="楷体_GB2312"/>
          <w:sz w:val="31"/>
          <w:szCs w:val="31"/>
        </w:rPr>
        <w:t>县</w:t>
      </w:r>
      <w:r>
        <w:rPr>
          <w:rFonts w:eastAsia="楷体_GB2312"/>
          <w:sz w:val="31"/>
          <w:szCs w:val="31"/>
        </w:rPr>
        <w:t>自然资源和规划局</w:t>
      </w:r>
      <w:r>
        <w:rPr>
          <w:rFonts w:hint="eastAsia" w:eastAsia="楷体_GB2312"/>
          <w:sz w:val="31"/>
          <w:szCs w:val="31"/>
        </w:rPr>
        <w:t>；责任单位：各</w:t>
      </w:r>
      <w:r>
        <w:rPr>
          <w:rFonts w:hint="eastAsia" w:eastAsia="楷体_GB2312"/>
        </w:rPr>
        <w:t>乡镇、</w:t>
      </w:r>
      <w:r>
        <w:rPr>
          <w:rFonts w:eastAsia="楷体_GB2312"/>
        </w:rPr>
        <w:t>街道</w:t>
      </w:r>
      <w: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74" w:name="_Toc121508285"/>
      <w:r>
        <w:rPr>
          <w:rFonts w:hint="eastAsia" w:ascii="仿宋_GB2312" w:hAnsi="仿宋_GB2312" w:eastAsia="仿宋_GB2312" w:cs="仿宋_GB2312"/>
        </w:rPr>
        <w:t>3. 推动产业发展，提高利用水平</w:t>
      </w:r>
      <w:bookmarkEnd w:id="74"/>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（1）提升产品类固体废物规范化回收利用水平</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shd w:val="clear" w:color="auto" w:fill="FFFFFF"/>
        </w:rPr>
        <w:t>积极引导废弃电器电子产品回收企业搭建“互联网+回收”平台，探索“线上运营+上门回收+分拣中心”模式，结合生活垃圾分类回收点，积极推动在居民社区建设废弃电器电子产品回收网点。规划建设废弃电器电子产品拆解处理企业，促进废弃电器电子产品处理全过程规范化处置。</w:t>
      </w:r>
      <w:r>
        <w:rPr>
          <w:rFonts w:eastAsia="楷体_GB2312"/>
          <w:szCs w:val="24"/>
        </w:rPr>
        <w:t>（</w:t>
      </w:r>
      <w:r>
        <w:rPr>
          <w:rFonts w:hint="eastAsia" w:eastAsia="楷体_GB2312"/>
          <w:szCs w:val="24"/>
        </w:rPr>
        <w:t>牵头单位：</w:t>
      </w:r>
      <w:bookmarkStart w:id="75" w:name="_Hlk117970806"/>
      <w:r>
        <w:rPr>
          <w:rFonts w:hint="eastAsia" w:eastAsia="楷体_GB2312"/>
          <w:shd w:val="clear" w:color="auto" w:fill="FFFFFF"/>
        </w:rPr>
        <w:t>县</w:t>
      </w:r>
      <w:r>
        <w:rPr>
          <w:rFonts w:eastAsia="楷体_GB2312"/>
          <w:shd w:val="clear" w:color="auto" w:fill="FFFFFF"/>
        </w:rPr>
        <w:t>商务投资促进局</w:t>
      </w:r>
      <w:r>
        <w:rPr>
          <w:rFonts w:hint="eastAsia" w:eastAsia="楷体_GB2312"/>
          <w:shd w:val="clear" w:color="auto" w:fill="FFFFFF"/>
        </w:rPr>
        <w:t>、</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hint="eastAsia" w:eastAsia="楷体_GB2312"/>
          <w:shd w:val="clear" w:color="auto" w:fill="FFFFFF"/>
        </w:rPr>
        <w:t>、县行政审批服务局</w:t>
      </w:r>
      <w:r>
        <w:rPr>
          <w:rFonts w:eastAsia="楷体_GB2312"/>
          <w:shd w:val="clear" w:color="auto" w:fill="FFFFFF"/>
        </w:rPr>
        <w:t>、</w:t>
      </w:r>
      <w:r>
        <w:rPr>
          <w:rFonts w:hint="eastAsia" w:eastAsia="楷体_GB2312"/>
          <w:shd w:val="clear" w:color="auto" w:fill="FFFFFF"/>
        </w:rPr>
        <w:t>县生态环境分局</w:t>
      </w:r>
      <w:r>
        <w:rPr>
          <w:rFonts w:hint="eastAsia" w:eastAsia="楷体_GB2312"/>
        </w:rPr>
        <w:t>；</w:t>
      </w:r>
      <w:bookmarkEnd w:id="75"/>
      <w:r>
        <w:rPr>
          <w:rFonts w:hint="eastAsia" w:eastAsia="楷体_GB2312"/>
          <w:sz w:val="31"/>
          <w:szCs w:val="31"/>
        </w:rPr>
        <w:t>责任单位：各</w:t>
      </w:r>
      <w:r>
        <w:rPr>
          <w:rFonts w:hint="eastAsia" w:eastAsia="楷体_GB2312"/>
        </w:rPr>
        <w:t>乡镇、</w:t>
      </w:r>
      <w:r>
        <w:rPr>
          <w:rFonts w:eastAsia="楷体_GB2312"/>
        </w:rPr>
        <w:t>街道</w:t>
      </w:r>
      <w:r>
        <w:rPr>
          <w:rFonts w:eastAsia="楷体_GB2312"/>
          <w:shd w:val="clear" w:color="auto" w:fill="FFFFFF"/>
        </w:rPr>
        <w:t>）</w:t>
      </w:r>
      <w:r>
        <w:rPr>
          <w:rFonts w:hint="eastAsia"/>
          <w:shd w:val="clear" w:color="auto" w:fill="FFFFFF"/>
        </w:rPr>
        <w:t>严厉</w:t>
      </w:r>
      <w:r>
        <w:rPr>
          <w:shd w:val="clear" w:color="auto" w:fill="FFFFFF"/>
        </w:rPr>
        <w:t>打击</w:t>
      </w:r>
      <w:r>
        <w:rPr>
          <w:rFonts w:hint="eastAsia"/>
          <w:shd w:val="clear" w:color="auto" w:fill="FFFFFF"/>
        </w:rPr>
        <w:t>报废机动车</w:t>
      </w:r>
      <w:r>
        <w:rPr>
          <w:shd w:val="clear" w:color="auto" w:fill="FFFFFF"/>
        </w:rPr>
        <w:t>非法拆解、改装、拼装、倒卖等行为。</w:t>
      </w:r>
      <w:r>
        <w:rPr>
          <w:rFonts w:hint="eastAsia"/>
          <w:shd w:val="clear" w:color="auto" w:fill="FFFFFF"/>
        </w:rPr>
        <w:t>以报废机动车回收拆解企业为依托，</w:t>
      </w:r>
      <w:r>
        <w:rPr>
          <w:shd w:val="clear" w:color="auto" w:fill="FFFFFF"/>
        </w:rPr>
        <w:t>推动建立专业化、</w:t>
      </w:r>
      <w:r>
        <w:rPr>
          <w:rFonts w:hint="eastAsia"/>
          <w:shd w:val="clear" w:color="auto" w:fill="FFFFFF"/>
        </w:rPr>
        <w:t>规范化、</w:t>
      </w:r>
      <w:r>
        <w:rPr>
          <w:shd w:val="clear" w:color="auto" w:fill="FFFFFF"/>
        </w:rPr>
        <w:t>集约化的报废机动车回收拆解体系。</w:t>
      </w:r>
      <w:r>
        <w:rPr>
          <w:rFonts w:hint="eastAsia"/>
        </w:rPr>
        <w:t>规范废轮胎回收处理监管流程，鼓励生产商或销售点设置有偿回收站点，规范管理和兼并零散回收站点，促进回收专业化水平。</w:t>
      </w:r>
      <w:r>
        <w:rPr>
          <w:rFonts w:eastAsia="楷体_GB2312"/>
          <w:szCs w:val="24"/>
        </w:rPr>
        <w:t>（</w:t>
      </w:r>
      <w:r>
        <w:rPr>
          <w:rFonts w:hint="eastAsia" w:eastAsia="楷体_GB2312"/>
          <w:szCs w:val="24"/>
        </w:rPr>
        <w:t>牵头单位：</w:t>
      </w:r>
      <w:r>
        <w:rPr>
          <w:rFonts w:hint="eastAsia" w:eastAsia="楷体_GB2312"/>
          <w:shd w:val="clear" w:color="auto" w:fill="FFFFFF"/>
        </w:rPr>
        <w:t>县商务投资促进局、县公安局、县市场监管局、</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hint="eastAsia" w:eastAsia="楷体_GB2312"/>
          <w:shd w:val="clear" w:color="auto" w:fill="FFFFFF"/>
        </w:rPr>
        <w:t>、县交通运输局、县行政审批服务局</w:t>
      </w:r>
      <w:r>
        <w:rPr>
          <w:rFonts w:hint="eastAsia" w:eastAsia="楷体_GB2312"/>
        </w:rPr>
        <w:t>；</w:t>
      </w:r>
      <w:r>
        <w:rPr>
          <w:rFonts w:hint="eastAsia" w:eastAsia="楷体_GB2312"/>
          <w:sz w:val="31"/>
          <w:szCs w:val="31"/>
        </w:rPr>
        <w:t>责任单位：各</w:t>
      </w:r>
      <w:r>
        <w:rPr>
          <w:rFonts w:hint="eastAsia" w:eastAsia="楷体_GB2312"/>
        </w:rPr>
        <w:t>乡镇、</w:t>
      </w:r>
      <w:r>
        <w:rPr>
          <w:rFonts w:eastAsia="楷体_GB2312"/>
        </w:rPr>
        <w:t>街道</w:t>
      </w:r>
      <w:r>
        <w:rPr>
          <w:rFonts w:hint="eastAsia" w:eastAsia="楷体_GB2312"/>
          <w:shd w:val="clear" w:color="auto" w:fill="FFFFFF"/>
        </w:rPr>
        <w:t>）</w:t>
      </w:r>
      <w:r>
        <w:rPr>
          <w:rFonts w:hint="eastAsia" w:ascii="仿宋_GB2312" w:hAnsi="仿宋_GB2312" w:eastAsia="仿宋_GB2312" w:cs="仿宋_GB2312"/>
        </w:rPr>
        <w:t>规划建设1-2家规范化轮胎破碎预处理企业。严厉打击土法炼油等行为，依法取缔废轮胎土法炼油装置，促进废轮胎规范化回收利用。</w:t>
      </w:r>
      <w:r>
        <w:rPr>
          <w:rFonts w:eastAsia="楷体_GB2312"/>
          <w:szCs w:val="24"/>
        </w:rPr>
        <w:t>（</w:t>
      </w:r>
      <w:r>
        <w:rPr>
          <w:rFonts w:hint="eastAsia" w:eastAsia="楷体_GB2312"/>
          <w:szCs w:val="24"/>
        </w:rPr>
        <w:t>牵头单位：</w:t>
      </w:r>
      <w:r>
        <w:rPr>
          <w:rFonts w:hint="eastAsia" w:eastAsia="楷体_GB2312"/>
          <w:shd w:val="clear" w:color="auto" w:fill="FFFFFF"/>
        </w:rPr>
        <w:t>县</w:t>
      </w:r>
      <w:r>
        <w:rPr>
          <w:rFonts w:eastAsia="楷体_GB2312"/>
          <w:shd w:val="clear" w:color="auto" w:fill="FFFFFF"/>
        </w:rPr>
        <w:t>商务投资促进局</w:t>
      </w:r>
      <w:r>
        <w:rPr>
          <w:rFonts w:hint="eastAsia" w:eastAsia="楷体_GB2312"/>
          <w:shd w:val="clear" w:color="auto" w:fill="FFFFFF"/>
        </w:rPr>
        <w:t>、县</w:t>
      </w:r>
      <w:r>
        <w:rPr>
          <w:rFonts w:eastAsia="楷体_GB2312"/>
          <w:shd w:val="clear" w:color="auto" w:fill="FFFFFF"/>
        </w:rPr>
        <w:t>市场监管局、</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shd w:val="clear" w:color="auto" w:fill="FFFFFF"/>
        </w:rPr>
        <w:t>、</w:t>
      </w:r>
      <w:r>
        <w:rPr>
          <w:rFonts w:hint="eastAsia" w:eastAsia="楷体_GB2312"/>
          <w:shd w:val="clear" w:color="auto" w:fill="FFFFFF"/>
        </w:rPr>
        <w:t>县</w:t>
      </w:r>
      <w:r>
        <w:rPr>
          <w:rFonts w:eastAsia="楷体_GB2312"/>
          <w:shd w:val="clear" w:color="auto" w:fill="FFFFFF"/>
        </w:rPr>
        <w:t>交通运输局、</w:t>
      </w:r>
      <w:r>
        <w:rPr>
          <w:rFonts w:hint="eastAsia" w:eastAsia="楷体_GB2312"/>
          <w:shd w:val="clear" w:color="auto" w:fill="FFFFFF"/>
        </w:rPr>
        <w:t>县行政审批服务局</w:t>
      </w:r>
      <w:r>
        <w:rPr>
          <w:rFonts w:hint="eastAsia" w:eastAsia="楷体_GB2312"/>
        </w:rPr>
        <w:t>；</w:t>
      </w:r>
      <w:r>
        <w:rPr>
          <w:rFonts w:hint="eastAsia" w:eastAsia="楷体_GB2312"/>
          <w:sz w:val="31"/>
          <w:szCs w:val="31"/>
        </w:rPr>
        <w:t>责任单位：各</w:t>
      </w:r>
      <w:r>
        <w:rPr>
          <w:rFonts w:hint="eastAsia" w:eastAsia="楷体_GB2312"/>
        </w:rPr>
        <w:t>乡镇、</w:t>
      </w:r>
      <w:r>
        <w:rPr>
          <w:rFonts w:eastAsia="楷体_GB2312"/>
        </w:rPr>
        <w:t>街道</w:t>
      </w:r>
      <w:r>
        <w:rPr>
          <w:rFonts w:eastAsia="楷体_GB2312"/>
          <w:shd w:val="clear" w:color="auto" w:fill="FFFFFF"/>
        </w:rPr>
        <w:t>）</w:t>
      </w:r>
      <w:r>
        <w:t>加快</w:t>
      </w:r>
      <w:r>
        <w:rPr>
          <w:rFonts w:hint="eastAsia"/>
        </w:rPr>
        <w:t>全县</w:t>
      </w:r>
      <w:r>
        <w:t>动力蓄电池回收利用体系建设，强化汽车生产企业回收利用主体责任，深入探索动力蓄电池回收利用市场化商业运作模式。提升动力蓄电池回收利用的信息化水平。</w:t>
      </w:r>
      <w:r>
        <w:rPr>
          <w:rFonts w:hint="eastAsia"/>
          <w:shd w:val="clear" w:color="auto" w:fill="FFFFFF"/>
        </w:rPr>
        <w:t>推动</w:t>
      </w:r>
      <w:r>
        <w:rPr>
          <w:shd w:val="clear" w:color="auto" w:fill="FFFFFF"/>
        </w:rPr>
        <w:t>建设动力蓄电池</w:t>
      </w:r>
      <w:r>
        <w:rPr>
          <w:rFonts w:hint="eastAsia"/>
          <w:shd w:val="clear" w:color="auto" w:fill="FFFFFF"/>
        </w:rPr>
        <w:t>梯次</w:t>
      </w:r>
      <w:r>
        <w:rPr>
          <w:shd w:val="clear" w:color="auto" w:fill="FFFFFF"/>
        </w:rPr>
        <w:t>利用企业。</w:t>
      </w:r>
      <w:r>
        <w:rPr>
          <w:rFonts w:eastAsia="楷体_GB2312"/>
          <w:szCs w:val="24"/>
        </w:rPr>
        <w:t>（</w:t>
      </w:r>
      <w:r>
        <w:rPr>
          <w:rFonts w:hint="eastAsia" w:eastAsia="楷体_GB2312"/>
          <w:szCs w:val="24"/>
        </w:rPr>
        <w:t>牵头单位：</w:t>
      </w:r>
      <w:r>
        <w:rPr>
          <w:rFonts w:hint="eastAsia" w:eastAsia="楷体_GB2312"/>
        </w:rPr>
        <w:t>县</w:t>
      </w:r>
      <w:r>
        <w:rPr>
          <w:rFonts w:eastAsia="楷体_GB2312"/>
        </w:rPr>
        <w:t>工业和信息化局</w:t>
      </w:r>
      <w:r>
        <w:rPr>
          <w:rFonts w:hint="eastAsia" w:eastAsia="楷体_GB2312"/>
        </w:rPr>
        <w:t>、县</w:t>
      </w:r>
      <w:r>
        <w:rPr>
          <w:rFonts w:eastAsia="楷体_GB2312"/>
        </w:rPr>
        <w:t>市场监管局、</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shd w:val="clear" w:color="auto" w:fill="FFFFFF"/>
        </w:rPr>
        <w:t>、</w:t>
      </w:r>
      <w:r>
        <w:rPr>
          <w:rFonts w:hint="eastAsia" w:eastAsia="楷体_GB2312"/>
        </w:rPr>
        <w:t>县</w:t>
      </w:r>
      <w:r>
        <w:rPr>
          <w:rFonts w:eastAsia="楷体_GB2312"/>
        </w:rPr>
        <w:t>交通运输局、</w:t>
      </w:r>
      <w:r>
        <w:rPr>
          <w:rFonts w:hint="eastAsia" w:eastAsia="楷体_GB2312"/>
        </w:rPr>
        <w:t>县行政审批服务局；</w:t>
      </w:r>
      <w:r>
        <w:rPr>
          <w:rFonts w:hint="eastAsia" w:eastAsia="楷体_GB2312"/>
          <w:sz w:val="31"/>
          <w:szCs w:val="31"/>
        </w:rPr>
        <w:t>责任单位：各</w:t>
      </w:r>
      <w:r>
        <w:rPr>
          <w:rFonts w:hint="eastAsia" w:eastAsia="楷体_GB2312"/>
        </w:rPr>
        <w:t>乡镇、</w:t>
      </w:r>
      <w:r>
        <w:rPr>
          <w:rFonts w:eastAsia="楷体_GB2312"/>
        </w:rPr>
        <w:t>街道）</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（2）强化废塑料规范化回收管理</w:t>
      </w:r>
    </w:p>
    <w:p>
      <w:pPr>
        <w:pageBreakBefore w:val="0"/>
        <w:widowControl w:val="0"/>
        <w:kinsoku/>
        <w:wordWrap/>
        <w:overflowPunct/>
        <w:topLinePunct w:val="0"/>
        <w:autoSpaceDE/>
        <w:autoSpaceDN/>
        <w:bidi w:val="0"/>
        <w:spacing w:line="600" w:lineRule="exact"/>
        <w:ind w:firstLine="610"/>
        <w:textAlignment w:val="auto"/>
        <w:rPr>
          <w:rFonts w:eastAsia="楷体_GB2312"/>
          <w:highlight w:val="red"/>
        </w:rPr>
      </w:pPr>
      <w:r>
        <w:rPr>
          <w:rFonts w:hint="eastAsia" w:ascii="仿宋_GB2312" w:hAnsi="仿宋_GB2312" w:eastAsia="仿宋_GB2312" w:cs="仿宋_GB2312"/>
        </w:rPr>
        <w:t>严把塑料制品（含农膜）生产销售关口。严格塑料行业准入管理，涉及禁止类产品的一律不予批准。加强塑料制品质量监管。</w:t>
      </w:r>
      <w:r>
        <w:rPr>
          <w:rFonts w:eastAsia="楷体_GB2312"/>
          <w:szCs w:val="24"/>
        </w:rPr>
        <w:t>（</w:t>
      </w:r>
      <w:r>
        <w:rPr>
          <w:rFonts w:hint="eastAsia" w:eastAsia="楷体_GB2312"/>
          <w:szCs w:val="24"/>
        </w:rPr>
        <w:t>牵头单位：</w:t>
      </w:r>
      <w:r>
        <w:rPr>
          <w:rFonts w:hint="eastAsia" w:eastAsia="楷体_GB2312"/>
        </w:rPr>
        <w:t>县</w:t>
      </w:r>
      <w:r>
        <w:rPr>
          <w:rFonts w:eastAsia="楷体_GB2312"/>
        </w:rPr>
        <w:t>市场监管局</w:t>
      </w:r>
      <w:r>
        <w:rPr>
          <w:rFonts w:hint="eastAsia" w:eastAsia="楷体_GB2312"/>
        </w:rPr>
        <w:t>、县行政审批服务局；</w:t>
      </w:r>
      <w:r>
        <w:rPr>
          <w:rFonts w:hint="eastAsia" w:eastAsia="楷体_GB2312"/>
          <w:sz w:val="31"/>
          <w:szCs w:val="31"/>
        </w:rPr>
        <w:t>责任单位：各</w:t>
      </w:r>
      <w:r>
        <w:rPr>
          <w:rFonts w:hint="eastAsia" w:eastAsia="楷体_GB2312"/>
        </w:rPr>
        <w:t>乡镇、</w:t>
      </w:r>
      <w:r>
        <w:rPr>
          <w:rFonts w:eastAsia="楷体_GB2312"/>
        </w:rPr>
        <w:t>街道</w:t>
      </w:r>
      <w:r>
        <w:t>）落实《邮政快件限制过度包装要求》，减少电商商品在寄递环节的二次包装。</w:t>
      </w:r>
      <w:r>
        <w:rPr>
          <w:rFonts w:hint="eastAsia"/>
        </w:rPr>
        <w:t>（</w:t>
      </w:r>
      <w:r>
        <w:rPr>
          <w:rFonts w:hint="eastAsia" w:eastAsia="楷体_GB2312"/>
        </w:rPr>
        <w:t>牵头</w:t>
      </w:r>
      <w:r>
        <w:rPr>
          <w:rFonts w:eastAsia="楷体_GB2312"/>
        </w:rPr>
        <w:t>单位：</w:t>
      </w:r>
      <w:r>
        <w:rPr>
          <w:rFonts w:hint="eastAsia" w:eastAsia="楷体_GB2312"/>
        </w:rPr>
        <w:t>中国</w:t>
      </w:r>
      <w:r>
        <w:rPr>
          <w:rFonts w:eastAsia="楷体_GB2312"/>
        </w:rPr>
        <w:t>邮政</w:t>
      </w:r>
      <w:r>
        <w:rPr>
          <w:rFonts w:hint="eastAsia" w:eastAsia="楷体_GB2312"/>
        </w:rPr>
        <w:t>冠县</w:t>
      </w:r>
      <w:r>
        <w:rPr>
          <w:rFonts w:eastAsia="楷体_GB2312"/>
        </w:rPr>
        <w:t>分公司</w:t>
      </w:r>
      <w:r>
        <w:rPr>
          <w:rFonts w:hint="eastAsia"/>
        </w:rPr>
        <w:t>）</w:t>
      </w:r>
      <w:r>
        <w:t>推动电商、外卖</w:t>
      </w:r>
      <w:r>
        <w:rPr>
          <w:rFonts w:hint="eastAsia"/>
        </w:rPr>
        <w:t>、</w:t>
      </w:r>
      <w:r>
        <w:t>快递</w:t>
      </w:r>
      <w:r>
        <w:rPr>
          <w:rFonts w:hint="eastAsia"/>
        </w:rPr>
        <w:t>等行业废塑料回收管理。</w:t>
      </w:r>
      <w:r>
        <w:rPr>
          <w:rFonts w:eastAsia="楷体_GB2312"/>
          <w:szCs w:val="24"/>
        </w:rPr>
        <w:t>（</w:t>
      </w:r>
      <w:r>
        <w:rPr>
          <w:rFonts w:hint="eastAsia" w:eastAsia="楷体_GB2312"/>
          <w:szCs w:val="24"/>
        </w:rPr>
        <w:t>牵头单位：</w:t>
      </w:r>
      <w:r>
        <w:rPr>
          <w:rFonts w:hint="eastAsia" w:ascii="楷体_GB2312" w:eastAsia="楷体_GB2312"/>
        </w:rPr>
        <w:t>县商务投资促进局、县市场监管局、中国</w:t>
      </w:r>
      <w:r>
        <w:rPr>
          <w:rFonts w:ascii="楷体_GB2312" w:eastAsia="楷体_GB2312"/>
        </w:rPr>
        <w:t>邮政</w:t>
      </w:r>
      <w:r>
        <w:rPr>
          <w:rFonts w:hint="eastAsia" w:ascii="楷体_GB2312" w:eastAsia="楷体_GB2312"/>
        </w:rPr>
        <w:t>冠县</w:t>
      </w:r>
      <w:r>
        <w:rPr>
          <w:rFonts w:ascii="楷体_GB2312" w:eastAsia="楷体_GB2312"/>
        </w:rPr>
        <w:t>分公司</w:t>
      </w:r>
      <w:r>
        <w:rPr>
          <w:rFonts w:hint="eastAsia" w:ascii="楷体_GB2312" w:eastAsia="楷体_GB2312"/>
        </w:rPr>
        <w:t>；</w:t>
      </w:r>
      <w:r>
        <w:rPr>
          <w:rFonts w:hint="eastAsia" w:eastAsia="楷体_GB2312"/>
          <w:sz w:val="31"/>
          <w:szCs w:val="31"/>
        </w:rPr>
        <w:t>责任单位：各</w:t>
      </w:r>
      <w:r>
        <w:rPr>
          <w:rFonts w:hint="eastAsia" w:eastAsia="楷体_GB2312"/>
        </w:rPr>
        <w:t>乡镇、</w:t>
      </w:r>
      <w:r>
        <w:rPr>
          <w:rFonts w:eastAsia="楷体_GB2312"/>
        </w:rPr>
        <w:t>街道</w:t>
      </w:r>
      <w:r>
        <w:rPr>
          <w:rFonts w:hint="eastAsia" w:ascii="楷体_GB2312" w:eastAsia="楷体_GB2312"/>
        </w:rPr>
        <w:t>）</w:t>
      </w:r>
      <w:r>
        <w:rPr>
          <w:rFonts w:hint="eastAsia" w:ascii="仿宋_GB2312" w:hAnsi="仿宋_GB2312" w:eastAsia="仿宋_GB2312" w:cs="仿宋_GB2312"/>
        </w:rPr>
        <w:t>综合废旧农膜利用处置需求，严格控制废塑料回收利用项目审批建设，督促不符合《废塑料污染控制技术规范》（HJ 364-2022）的企业进行升级改造，逐步淘汰技术落后、能耗高、资源综合利用率低和环境污染严重的工艺和设备。</w:t>
      </w:r>
      <w:r>
        <w:rPr>
          <w:rFonts w:eastAsia="楷体_GB2312"/>
          <w:szCs w:val="24"/>
        </w:rPr>
        <w:t>（</w:t>
      </w:r>
      <w:r>
        <w:rPr>
          <w:rFonts w:hint="eastAsia" w:eastAsia="楷体_GB2312"/>
          <w:szCs w:val="24"/>
        </w:rPr>
        <w:t>牵头单位：</w:t>
      </w:r>
      <w:r>
        <w:rPr>
          <w:rFonts w:hint="eastAsia" w:ascii="楷体_GB2312" w:eastAsia="楷体_GB2312"/>
        </w:rPr>
        <w:t>县行政审批服务局、县工业和信息化局</w:t>
      </w:r>
      <w:r>
        <w:rPr>
          <w:rFonts w:hint="eastAsia" w:eastAsia="楷体_GB2312"/>
        </w:rPr>
        <w:t>；责任单位：各乡镇、街道</w:t>
      </w:r>
      <w:r>
        <w:rPr>
          <w:rFonts w:hint="eastAsia" w:ascii="楷体_GB2312"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（3）推进废纸制品等回收规范化管理</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rPr>
        <w:t>结合生活垃圾回收站点布局，设立废纸制品和废纺织品定点回收站，打通回收箱进社区、进机关、进商场、进校园的壁垒，探索“一袋式”上门回收、毕业季进校园等新型回收模式。鼓励地方造纸、纺织企业等建设资源回收利用项目</w:t>
      </w:r>
      <w:r>
        <w:rPr>
          <w:rFonts w:hint="eastAsia"/>
        </w:rPr>
        <w:t>。</w:t>
      </w:r>
      <w:r>
        <w:rPr>
          <w:rFonts w:eastAsia="楷体_GB2312"/>
          <w:szCs w:val="24"/>
        </w:rPr>
        <w:t>（</w:t>
      </w:r>
      <w:r>
        <w:rPr>
          <w:rFonts w:hint="eastAsia" w:eastAsia="楷体_GB2312"/>
          <w:szCs w:val="24"/>
        </w:rPr>
        <w:t>牵头单位：</w:t>
      </w:r>
      <w:r>
        <w:rPr>
          <w:rFonts w:hint="eastAsia" w:eastAsia="楷体_GB2312"/>
        </w:rPr>
        <w:t>县</w:t>
      </w:r>
      <w:r>
        <w:rPr>
          <w:rFonts w:eastAsia="楷体_GB2312"/>
        </w:rPr>
        <w:t>商务投资促进局</w:t>
      </w:r>
      <w:r>
        <w:rPr>
          <w:rFonts w:hint="eastAsia" w:eastAsia="楷体_GB2312"/>
        </w:rPr>
        <w:t>、县</w:t>
      </w:r>
      <w:r>
        <w:rPr>
          <w:rFonts w:eastAsia="楷体_GB2312"/>
        </w:rPr>
        <w:t>市场监管局、</w:t>
      </w:r>
      <w:r>
        <w:rPr>
          <w:rFonts w:hint="eastAsia" w:eastAsia="楷体_GB2312"/>
        </w:rPr>
        <w:t>县综合行政</w:t>
      </w:r>
      <w:r>
        <w:rPr>
          <w:rFonts w:eastAsia="楷体_GB2312"/>
        </w:rPr>
        <w:t>执法局、</w:t>
      </w:r>
      <w:r>
        <w:rPr>
          <w:rFonts w:hint="eastAsia" w:eastAsia="楷体_GB2312"/>
        </w:rPr>
        <w:t>县行政审批服务局；责任单位：各乡镇、街道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color w:val="FF0000"/>
        </w:rPr>
      </w:pPr>
      <w:r>
        <w:rPr>
          <w:rFonts w:hint="eastAsia" w:ascii="仿宋_GB2312" w:hAnsi="仿宋_GB2312" w:eastAsia="仿宋_GB2312" w:cs="仿宋_GB2312"/>
        </w:rPr>
        <w:t>（4）加强废钢铁规范化回收管理</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加强对轴承、切割废料等废钢铁回收管理，建立废钢铁回收管理机制，强化废钢铁产生、利用过程中的数据透明度。鼓励采取上门回收方式，在重点废钢铁产生的工业园区建设1-2家专业废钢铁回收企业。</w:t>
      </w:r>
      <w:r>
        <w:rPr>
          <w:rFonts w:eastAsia="楷体_GB2312"/>
          <w:szCs w:val="24"/>
        </w:rPr>
        <w:t>（</w:t>
      </w:r>
      <w:r>
        <w:rPr>
          <w:rFonts w:hint="eastAsia" w:eastAsia="楷体_GB2312"/>
          <w:szCs w:val="24"/>
        </w:rPr>
        <w:t>牵头单位：</w:t>
      </w:r>
      <w:r>
        <w:rPr>
          <w:rFonts w:hint="eastAsia" w:eastAsia="楷体_GB2312"/>
        </w:rPr>
        <w:t>县</w:t>
      </w:r>
      <w:r>
        <w:rPr>
          <w:rFonts w:eastAsia="楷体_GB2312"/>
        </w:rPr>
        <w:t>商务投资促进局</w:t>
      </w:r>
      <w:r>
        <w:rPr>
          <w:rFonts w:hint="eastAsia" w:eastAsia="楷体_GB2312"/>
        </w:rPr>
        <w:t>、县行政审批服务局；责任单位：各乡镇、</w:t>
      </w:r>
      <w:r>
        <w:rPr>
          <w:rFonts w:eastAsia="楷体_GB2312"/>
        </w:rPr>
        <w:t>街道）</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76" w:name="_Toc121508286"/>
      <w:r>
        <w:rPr>
          <w:rFonts w:hint="eastAsia" w:ascii="仿宋_GB2312" w:hAnsi="仿宋_GB2312" w:eastAsia="仿宋_GB2312" w:cs="仿宋_GB2312"/>
        </w:rPr>
        <w:t>4. 加强行业管理，促进规范运行</w:t>
      </w:r>
      <w:bookmarkEnd w:id="76"/>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（1）定期监督检查</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shd w:val="clear" w:color="auto" w:fill="FFFFFF"/>
        </w:rPr>
        <w:t>加强监督检查，建立和完善以“双随机、一公开”为重点的日常监督检查制度，定期通报存在的问题，强化部门协同监管。</w:t>
      </w:r>
      <w:r>
        <w:rPr>
          <w:rFonts w:eastAsia="楷体_GB2312"/>
          <w:szCs w:val="24"/>
        </w:rPr>
        <w:t>（</w:t>
      </w:r>
      <w:r>
        <w:rPr>
          <w:rFonts w:hint="eastAsia" w:eastAsia="楷体_GB2312"/>
          <w:szCs w:val="24"/>
        </w:rPr>
        <w:t>牵头单位：</w:t>
      </w:r>
      <w:r>
        <w:rPr>
          <w:rFonts w:hint="eastAsia" w:eastAsia="楷体_GB2312"/>
        </w:rPr>
        <w:t>县</w:t>
      </w:r>
      <w:r>
        <w:rPr>
          <w:rFonts w:eastAsia="楷体_GB2312"/>
        </w:rPr>
        <w:t>商务投资促进局</w:t>
      </w:r>
      <w:r>
        <w:rPr>
          <w:rFonts w:hint="eastAsia" w:eastAsia="楷体_GB2312"/>
        </w:rPr>
        <w:t>、县</w:t>
      </w:r>
      <w:r>
        <w:rPr>
          <w:rFonts w:eastAsia="楷体_GB2312"/>
        </w:rPr>
        <w:t>市场监管局、</w:t>
      </w:r>
      <w:r>
        <w:rPr>
          <w:rFonts w:hint="eastAsia" w:eastAsia="楷体_GB2312"/>
        </w:rPr>
        <w:t>县综合行政</w:t>
      </w:r>
      <w:r>
        <w:rPr>
          <w:rFonts w:eastAsia="楷体_GB2312"/>
        </w:rPr>
        <w:t>执法局、</w:t>
      </w:r>
      <w:r>
        <w:rPr>
          <w:rFonts w:hint="eastAsia" w:eastAsia="楷体_GB2312"/>
        </w:rPr>
        <w:t>县</w:t>
      </w:r>
      <w:r>
        <w:rPr>
          <w:rFonts w:eastAsia="楷体_GB2312"/>
        </w:rPr>
        <w:t>交通运输局</w:t>
      </w:r>
      <w:r>
        <w:rPr>
          <w:rFonts w:hint="eastAsia" w:eastAsia="楷体_GB2312"/>
        </w:rPr>
        <w:t>、县公安局、县发展和改革局；责任单位：各乡镇、街道</w:t>
      </w:r>
      <w: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（2）强化执法手段</w:t>
      </w:r>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shd w:val="clear" w:color="auto" w:fill="FFFFFF"/>
        </w:rPr>
        <w:t>建立联合执法工作机制，加大监管执法力度，严厉精准打击违法行为。针对存在的突出问题，建立协调、联动、处置机制，开展联合检查，严格依法依规管理。</w:t>
      </w:r>
      <w:r>
        <w:rPr>
          <w:rFonts w:eastAsia="楷体_GB2312"/>
          <w:szCs w:val="24"/>
        </w:rPr>
        <w:t>（</w:t>
      </w:r>
      <w:r>
        <w:rPr>
          <w:rFonts w:hint="eastAsia" w:eastAsia="楷体_GB2312"/>
          <w:szCs w:val="24"/>
        </w:rPr>
        <w:t>牵头单位：</w:t>
      </w:r>
      <w:r>
        <w:rPr>
          <w:rFonts w:hint="eastAsia" w:eastAsia="楷体_GB2312"/>
          <w:shd w:val="clear" w:color="auto" w:fill="FFFFFF"/>
        </w:rPr>
        <w:t>县</w:t>
      </w:r>
      <w:r>
        <w:rPr>
          <w:rFonts w:eastAsia="楷体_GB2312"/>
          <w:shd w:val="clear" w:color="auto" w:fill="FFFFFF"/>
        </w:rPr>
        <w:t>市场监管局、</w:t>
      </w:r>
      <w:r>
        <w:rPr>
          <w:rFonts w:hint="eastAsia" w:eastAsia="楷体_GB2312"/>
        </w:rPr>
        <w:t>县综合行政</w:t>
      </w:r>
      <w:r>
        <w:rPr>
          <w:rFonts w:eastAsia="楷体_GB2312"/>
        </w:rPr>
        <w:t>执法局、</w:t>
      </w:r>
      <w:r>
        <w:rPr>
          <w:rFonts w:hint="eastAsia" w:eastAsia="楷体_GB2312"/>
        </w:rPr>
        <w:t>县公安局、县发展和改革局；责任单位：各乡镇、街道</w:t>
      </w:r>
      <w: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（3）依法依规惩戒</w:t>
      </w:r>
    </w:p>
    <w:p>
      <w:pPr>
        <w:pageBreakBefore w:val="0"/>
        <w:widowControl w:val="0"/>
        <w:kinsoku/>
        <w:wordWrap/>
        <w:overflowPunct/>
        <w:topLinePunct w:val="0"/>
        <w:autoSpaceDE/>
        <w:autoSpaceDN/>
        <w:bidi w:val="0"/>
        <w:spacing w:line="600" w:lineRule="exact"/>
        <w:ind w:firstLine="610"/>
        <w:textAlignment w:val="auto"/>
        <w:rPr>
          <w:b/>
          <w:bCs/>
          <w:szCs w:val="32"/>
        </w:rPr>
      </w:pPr>
      <w:r>
        <w:rPr>
          <w:rFonts w:hint="eastAsia" w:ascii="仿宋_GB2312" w:hAnsi="仿宋_GB2312" w:eastAsia="仿宋_GB2312" w:cs="仿宋_GB2312"/>
          <w:shd w:val="clear" w:color="auto" w:fill="FFFFFF"/>
        </w:rPr>
        <w:t>严厉打击再生资源回收、利用过程中的非法倒卖、假冒伪劣和非法拆解处理报废汽车、废弃电器电子产品等违法行为，对存在严重问题的企业，依法处理、严肃惩戒，并录入“山东省企业环境信用评价”和“信用聊城”系统。</w:t>
      </w:r>
      <w:r>
        <w:rPr>
          <w:rFonts w:eastAsia="楷体_GB2312"/>
          <w:szCs w:val="24"/>
        </w:rPr>
        <w:t>（</w:t>
      </w:r>
      <w:r>
        <w:rPr>
          <w:rFonts w:hint="eastAsia" w:eastAsia="楷体_GB2312"/>
          <w:szCs w:val="24"/>
        </w:rPr>
        <w:t>牵头单位：</w:t>
      </w:r>
      <w:r>
        <w:rPr>
          <w:rFonts w:hint="eastAsia" w:eastAsia="楷体_GB2312"/>
          <w:shd w:val="clear" w:color="auto" w:fill="FFFFFF"/>
        </w:rPr>
        <w:t>县生态环境分局、县</w:t>
      </w:r>
      <w:r>
        <w:rPr>
          <w:rFonts w:eastAsia="楷体_GB2312"/>
          <w:shd w:val="clear" w:color="auto" w:fill="FFFFFF"/>
        </w:rPr>
        <w:t>商务投资促进局</w:t>
      </w:r>
      <w:r>
        <w:rPr>
          <w:rFonts w:hint="eastAsia" w:eastAsia="楷体_GB2312"/>
          <w:shd w:val="clear" w:color="auto" w:fill="FFFFFF"/>
        </w:rPr>
        <w:t>、县</w:t>
      </w:r>
      <w:r>
        <w:rPr>
          <w:rFonts w:eastAsia="楷体_GB2312"/>
          <w:shd w:val="clear" w:color="auto" w:fill="FFFFFF"/>
        </w:rPr>
        <w:t>市场监管局、</w:t>
      </w:r>
      <w:r>
        <w:rPr>
          <w:rFonts w:hint="eastAsia" w:eastAsia="楷体_GB2312"/>
        </w:rPr>
        <w:t>县综合行政</w:t>
      </w:r>
      <w:r>
        <w:rPr>
          <w:rFonts w:eastAsia="楷体_GB2312"/>
        </w:rPr>
        <w:t>执法局、</w:t>
      </w:r>
      <w:r>
        <w:rPr>
          <w:rFonts w:hint="eastAsia" w:eastAsia="楷体_GB2312"/>
          <w:shd w:val="clear" w:color="auto" w:fill="FFFFFF"/>
        </w:rPr>
        <w:t>县公安局、</w:t>
      </w:r>
      <w:r>
        <w:rPr>
          <w:rFonts w:hint="eastAsia" w:eastAsia="楷体_GB2312"/>
        </w:rPr>
        <w:t>县发展和改革局；责任单位：各乡镇</w:t>
      </w:r>
      <w:r>
        <w:rPr>
          <w:rFonts w:eastAsia="楷体_GB2312"/>
        </w:rPr>
        <w:t>、</w:t>
      </w:r>
      <w:r>
        <w:rPr>
          <w:rFonts w:hint="eastAsia" w:eastAsia="楷体_GB2312"/>
        </w:rPr>
        <w:t>街道</w:t>
      </w:r>
      <w:r>
        <w:rPr>
          <w:rFonts w:eastAsia="楷体_GB2312"/>
          <w:shd w:val="clear" w:color="auto" w:fill="FFFFFF"/>
        </w:rPr>
        <w:t>）</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77" w:name="_Toc121508287"/>
      <w:r>
        <w:rPr>
          <w:rFonts w:hint="eastAsia"/>
          <w:b/>
          <w:bCs/>
        </w:rPr>
        <w:t>（七）以绿色创建为引领，加快推进美丽冠县建设</w:t>
      </w:r>
      <w:bookmarkEnd w:id="77"/>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78" w:name="_Toc121508288"/>
      <w:r>
        <w:rPr>
          <w:rFonts w:hint="eastAsia" w:ascii="仿宋_GB2312" w:hAnsi="仿宋_GB2312" w:eastAsia="仿宋_GB2312" w:cs="仿宋_GB2312"/>
        </w:rPr>
        <w:t>1. 培育特色无废产业，促进产业绿色发展</w:t>
      </w:r>
      <w:bookmarkEnd w:id="78"/>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（1）打造“无废城市”绿色产业链</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推动产业绿色发展，围绕传统重点产业，严格控制“两高”项目盲目开展，加快淘汰落后产能和落后工艺，积极调整产品结构、合理调整产业布局，重点推进新能源、节能节水等绿色技术在传统行业的应用，分行业制定行动路线。培育“无废城市”绿色产业链，推动构建金属表面处理行业固体废物综合利用生态产业链、生活垃圾等闭环处置产业链条，提升关键领域固体废物处置能力。</w:t>
      </w:r>
      <w:r>
        <w:rPr>
          <w:rFonts w:eastAsia="楷体_GB2312"/>
          <w:szCs w:val="24"/>
        </w:rPr>
        <w:t>（</w:t>
      </w:r>
      <w:r>
        <w:rPr>
          <w:rFonts w:hint="eastAsia" w:eastAsia="楷体_GB2312"/>
          <w:sz w:val="31"/>
          <w:szCs w:val="31"/>
        </w:rPr>
        <w:t>牵头单位：县</w:t>
      </w:r>
      <w:r>
        <w:rPr>
          <w:rFonts w:eastAsia="楷体_GB2312"/>
          <w:sz w:val="31"/>
          <w:szCs w:val="31"/>
        </w:rPr>
        <w:t>工业和信息化局</w:t>
      </w:r>
      <w:r>
        <w:rPr>
          <w:rFonts w:hint="eastAsia" w:eastAsia="楷体_GB2312"/>
          <w:sz w:val="31"/>
          <w:szCs w:val="31"/>
        </w:rPr>
        <w:t>、县</w:t>
      </w:r>
      <w:r>
        <w:rPr>
          <w:rFonts w:eastAsia="楷体_GB2312"/>
          <w:sz w:val="31"/>
          <w:szCs w:val="31"/>
        </w:rPr>
        <w:t>生态环境</w:t>
      </w:r>
      <w:r>
        <w:rPr>
          <w:rFonts w:hint="eastAsia" w:eastAsia="楷体_GB2312"/>
          <w:sz w:val="31"/>
          <w:szCs w:val="31"/>
        </w:rPr>
        <w:t>分</w:t>
      </w:r>
      <w:r>
        <w:rPr>
          <w:rFonts w:eastAsia="楷体_GB2312"/>
          <w:sz w:val="31"/>
          <w:szCs w:val="31"/>
        </w:rPr>
        <w:t>局、</w:t>
      </w:r>
      <w:r>
        <w:rPr>
          <w:rFonts w:hint="eastAsia" w:eastAsia="楷体_GB2312"/>
        </w:rPr>
        <w:t>县发展和改革局</w:t>
      </w:r>
      <w:r>
        <w:rPr>
          <w:rFonts w:hint="eastAsia" w:eastAsia="楷体_GB2312"/>
          <w:sz w:val="31"/>
          <w:szCs w:val="31"/>
        </w:rPr>
        <w:t>、县</w:t>
      </w:r>
      <w:r>
        <w:rPr>
          <w:rFonts w:eastAsia="楷体_GB2312"/>
          <w:sz w:val="31"/>
          <w:szCs w:val="31"/>
        </w:rPr>
        <w:t>市场监管局</w:t>
      </w:r>
      <w:r>
        <w:rPr>
          <w:rFonts w:hint="eastAsia" w:eastAsia="楷体_GB2312"/>
          <w:sz w:val="31"/>
          <w:szCs w:val="31"/>
        </w:rPr>
        <w:t>、</w:t>
      </w:r>
      <w:r>
        <w:rPr>
          <w:rFonts w:hint="eastAsia" w:eastAsia="楷体_GB2312"/>
        </w:rPr>
        <w:t>县综合行政</w:t>
      </w:r>
      <w:r>
        <w:rPr>
          <w:rFonts w:eastAsia="楷体_GB2312"/>
        </w:rPr>
        <w:t>执法局、</w:t>
      </w:r>
      <w:r>
        <w:rPr>
          <w:rFonts w:hint="eastAsia" w:eastAsia="楷体_GB2312"/>
        </w:rPr>
        <w:t>县行政审批服务局、县</w:t>
      </w:r>
      <w:r>
        <w:rPr>
          <w:rFonts w:eastAsia="楷体_GB2312"/>
        </w:rPr>
        <w:t>住房城乡建设局</w:t>
      </w:r>
      <w:r>
        <w:rPr>
          <w:rFonts w:hint="eastAsia" w:eastAsia="楷体_GB2312"/>
          <w:sz w:val="31"/>
          <w:szCs w:val="31"/>
        </w:rPr>
        <w:t>；责任单位：各乡镇、</w:t>
      </w:r>
      <w:r>
        <w:rPr>
          <w:rFonts w:eastAsia="楷体_GB2312"/>
          <w:sz w:val="31"/>
          <w:szCs w:val="31"/>
        </w:rPr>
        <w:t>街道</w:t>
      </w:r>
      <w:r>
        <w:rPr>
          <w:rFonts w:eastAsia="楷体_GB2312"/>
          <w:szCs w:val="24"/>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（2）打造</w:t>
      </w:r>
      <w:bookmarkStart w:id="79" w:name="_Hlk121902877"/>
      <w:r>
        <w:rPr>
          <w:rFonts w:hint="eastAsia" w:ascii="仿宋_GB2312" w:hAnsi="仿宋_GB2312" w:eastAsia="仿宋_GB2312" w:cs="仿宋_GB2312"/>
        </w:rPr>
        <w:t>“无废城市”</w:t>
      </w:r>
      <w:bookmarkEnd w:id="79"/>
      <w:r>
        <w:rPr>
          <w:rFonts w:hint="eastAsia" w:ascii="仿宋_GB2312" w:hAnsi="仿宋_GB2312" w:eastAsia="仿宋_GB2312" w:cs="仿宋_GB2312"/>
        </w:rPr>
        <w:t>绿色创建链</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在重点行业选择一批工作基础好、代表性强的企业，开展“无废工厂”创建。</w:t>
      </w:r>
      <w:bookmarkStart w:id="80" w:name="_Hlk118311776"/>
      <w:r>
        <w:rPr>
          <w:rFonts w:hint="eastAsia" w:ascii="仿宋_GB2312" w:hAnsi="仿宋_GB2312" w:eastAsia="仿宋_GB2312" w:cs="仿宋_GB2312"/>
        </w:rPr>
        <w:t>推动工业固体废物在园区内协同循环利用，创建“无废园区”。</w:t>
      </w:r>
      <w:bookmarkEnd w:id="80"/>
      <w:r>
        <w:rPr>
          <w:rFonts w:hint="eastAsia" w:ascii="仿宋_GB2312" w:hAnsi="仿宋_GB2312" w:eastAsia="仿宋_GB2312" w:cs="仿宋_GB2312"/>
        </w:rPr>
        <w:t>开展“无废集团”创建活动，打造大型集团固体废物管理示范单位。到2025年，“无废城市”建设体制机制、政策制度、技术路径、典型示范等基本形成，工业领域“无废细胞”示范单位至少创建5个以上。</w:t>
      </w:r>
      <w:r>
        <w:rPr>
          <w:rFonts w:eastAsia="楷体_GB2312"/>
          <w:szCs w:val="24"/>
        </w:rPr>
        <w:t>（</w:t>
      </w:r>
      <w:r>
        <w:rPr>
          <w:rFonts w:hint="eastAsia" w:eastAsia="楷体_GB2312"/>
          <w:szCs w:val="24"/>
        </w:rPr>
        <w:t>牵头单位：县生态环境分局、</w:t>
      </w:r>
      <w:r>
        <w:rPr>
          <w:rFonts w:hint="eastAsia" w:eastAsia="楷体_GB2312"/>
        </w:rPr>
        <w:t>县发展和改革局</w:t>
      </w:r>
      <w:r>
        <w:rPr>
          <w:rFonts w:hint="eastAsia" w:eastAsia="楷体_GB2312"/>
          <w:szCs w:val="24"/>
        </w:rPr>
        <w:t>、县工业和信息化局</w:t>
      </w:r>
      <w:r>
        <w:rPr>
          <w:rFonts w:hint="eastAsia" w:eastAsia="楷体_GB2312"/>
        </w:rPr>
        <w:t>；责任单位：</w:t>
      </w:r>
      <w:r>
        <w:rPr>
          <w:rFonts w:hint="eastAsia" w:eastAsia="楷体_GB2312"/>
          <w:sz w:val="31"/>
          <w:szCs w:val="31"/>
        </w:rPr>
        <w:t>各乡镇、</w:t>
      </w:r>
      <w:r>
        <w:rPr>
          <w:rFonts w:eastAsia="楷体_GB2312"/>
          <w:sz w:val="31"/>
          <w:szCs w:val="31"/>
        </w:rPr>
        <w:t>街道</w:t>
      </w:r>
      <w:r>
        <w:rPr>
          <w:rFonts w:eastAsia="楷体_GB2312"/>
          <w:szCs w:val="24"/>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（3）打造“无废城市”产业集群链</w:t>
      </w:r>
    </w:p>
    <w:p>
      <w:pPr>
        <w:pageBreakBefore w:val="0"/>
        <w:widowControl w:val="0"/>
        <w:kinsoku/>
        <w:wordWrap/>
        <w:overflowPunct/>
        <w:topLinePunct w:val="0"/>
        <w:autoSpaceDE/>
        <w:autoSpaceDN/>
        <w:bidi w:val="0"/>
        <w:spacing w:line="600" w:lineRule="exact"/>
        <w:ind w:firstLine="610"/>
        <w:textAlignment w:val="auto"/>
        <w:rPr>
          <w:rFonts w:eastAsia="楷体_GB2312"/>
          <w:szCs w:val="24"/>
        </w:rPr>
      </w:pPr>
      <w:r>
        <w:rPr>
          <w:rFonts w:hint="eastAsia" w:ascii="仿宋_GB2312" w:hAnsi="仿宋_GB2312" w:eastAsia="仿宋_GB2312" w:cs="仿宋_GB2312"/>
        </w:rPr>
        <w:t>重点推动新能源汽车、节能环保装备制造、节能环保新材料等绿色产业集群发展，引导企业采用先进的节能环保新技术、新装备、新工艺。加大绿色设计、绿色工艺、绿色供应链的推广应用，提高行业绿色制造整体水平。推动静脉产业园区建设，发展“资源—产品—再生资源”的新型闭环经济模式，布局固体废物资源化再利用项目，发挥固体废物资源化利用典型示范作</w:t>
      </w:r>
      <w:r>
        <w:rPr>
          <w:rFonts w:hint="eastAsia"/>
        </w:rPr>
        <w:t>用</w:t>
      </w:r>
      <w:r>
        <w:t>。</w:t>
      </w:r>
      <w:r>
        <w:rPr>
          <w:rFonts w:eastAsia="楷体_GB2312"/>
          <w:szCs w:val="24"/>
        </w:rPr>
        <w:t>（</w:t>
      </w:r>
      <w:r>
        <w:rPr>
          <w:rFonts w:hint="eastAsia" w:eastAsia="楷体_GB2312"/>
          <w:szCs w:val="24"/>
        </w:rPr>
        <w:t>牵头单位：县</w:t>
      </w:r>
      <w:r>
        <w:rPr>
          <w:rFonts w:eastAsia="楷体_GB2312"/>
          <w:szCs w:val="24"/>
        </w:rPr>
        <w:t>工业和信息化局、</w:t>
      </w:r>
      <w:r>
        <w:rPr>
          <w:rFonts w:hint="eastAsia" w:eastAsia="楷体_GB2312"/>
        </w:rPr>
        <w:t>县发展和改革局</w:t>
      </w:r>
      <w:r>
        <w:rPr>
          <w:rFonts w:hint="eastAsia" w:eastAsia="楷体_GB2312"/>
          <w:szCs w:val="24"/>
        </w:rPr>
        <w:t>、县</w:t>
      </w:r>
      <w:r>
        <w:rPr>
          <w:rFonts w:eastAsia="楷体_GB2312"/>
          <w:szCs w:val="24"/>
        </w:rPr>
        <w:t>市场监管局</w:t>
      </w:r>
      <w:r>
        <w:rPr>
          <w:rFonts w:hint="eastAsia" w:eastAsia="楷体_GB2312"/>
        </w:rPr>
        <w:t>；责任单位：</w:t>
      </w:r>
      <w:r>
        <w:rPr>
          <w:rFonts w:hint="eastAsia" w:eastAsia="楷体_GB2312"/>
          <w:sz w:val="31"/>
          <w:szCs w:val="31"/>
        </w:rPr>
        <w:t>各乡镇、</w:t>
      </w:r>
      <w:r>
        <w:rPr>
          <w:rFonts w:eastAsia="楷体_GB2312"/>
          <w:sz w:val="31"/>
          <w:szCs w:val="31"/>
        </w:rPr>
        <w:t>街道</w:t>
      </w:r>
      <w:r>
        <w:rPr>
          <w:rFonts w:eastAsia="楷体_GB2312"/>
          <w:szCs w:val="24"/>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81" w:name="_Toc121508289"/>
      <w:r>
        <w:rPr>
          <w:rFonts w:hint="eastAsia" w:ascii="仿宋_GB2312" w:hAnsi="仿宋_GB2312" w:eastAsia="仿宋_GB2312" w:cs="仿宋_GB2312"/>
        </w:rPr>
        <w:t>2. 响应国家战略，探索创新机制</w:t>
      </w:r>
      <w:bookmarkEnd w:id="81"/>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（1）减污降碳协同推进</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发挥“三线一单”推动减污降碳协同作用，</w:t>
      </w:r>
      <w:r>
        <w:rPr>
          <w:rFonts w:hint="eastAsia" w:ascii="仿宋_GB2312" w:hAnsi="仿宋_GB2312" w:eastAsia="仿宋_GB2312" w:cs="仿宋_GB2312"/>
          <w:color w:val="000000" w:themeColor="text1"/>
          <w14:textFill>
            <w14:solidFill>
              <w14:schemeClr w14:val="tx1"/>
            </w14:solidFill>
          </w14:textFill>
        </w:rPr>
        <w:t>落实市级部门相关要求</w:t>
      </w:r>
      <w:r>
        <w:rPr>
          <w:rFonts w:hint="eastAsia" w:ascii="仿宋_GB2312" w:hAnsi="仿宋_GB2312" w:eastAsia="仿宋_GB2312" w:cs="仿宋_GB2312"/>
        </w:rPr>
        <w:t>。</w:t>
      </w:r>
      <w:r>
        <w:rPr>
          <w:rFonts w:eastAsia="楷体_GB2312"/>
        </w:rPr>
        <w:t>（</w:t>
      </w:r>
      <w:r>
        <w:rPr>
          <w:rFonts w:eastAsia="楷体_GB2312"/>
          <w:sz w:val="31"/>
          <w:szCs w:val="31"/>
        </w:rPr>
        <w:t>牵头单位：</w:t>
      </w:r>
      <w:r>
        <w:rPr>
          <w:rFonts w:hint="eastAsia" w:eastAsia="楷体_GB2312"/>
          <w:sz w:val="31"/>
          <w:szCs w:val="31"/>
        </w:rPr>
        <w:t>县</w:t>
      </w:r>
      <w:r>
        <w:rPr>
          <w:rFonts w:eastAsia="楷体_GB2312"/>
          <w:sz w:val="31"/>
          <w:szCs w:val="31"/>
        </w:rPr>
        <w:t>生态环境局；责任单位：</w:t>
      </w:r>
      <w:r>
        <w:rPr>
          <w:rFonts w:hint="eastAsia" w:eastAsia="楷体_GB2312"/>
          <w:sz w:val="31"/>
          <w:szCs w:val="31"/>
        </w:rPr>
        <w:t>县</w:t>
      </w:r>
      <w:r>
        <w:rPr>
          <w:rFonts w:eastAsia="楷体_GB2312"/>
          <w:sz w:val="31"/>
          <w:szCs w:val="31"/>
        </w:rPr>
        <w:t>工业和信息化局、</w:t>
      </w:r>
      <w:r>
        <w:rPr>
          <w:rFonts w:hint="eastAsia" w:eastAsia="楷体_GB2312"/>
        </w:rPr>
        <w:t>县发展和改革局</w:t>
      </w:r>
      <w:r>
        <w:rPr>
          <w:rFonts w:hint="eastAsia" w:eastAsia="楷体_GB2312"/>
          <w:sz w:val="31"/>
          <w:szCs w:val="31"/>
        </w:rPr>
        <w:t>，各乡镇、</w:t>
      </w:r>
      <w:r>
        <w:rPr>
          <w:rFonts w:eastAsia="楷体_GB2312"/>
          <w:sz w:val="31"/>
          <w:szCs w:val="31"/>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（2）落实环境治理信用制度</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严格执行企业环境信用评价制度，依据评价结果实施分级分类监管。严格落实黑名单制度，将企业在固体废物尤其是危险废物处置、环境治理及设施运营、清洁生产审核等领域的违法违规信息记入企业信用记录，纳入信用信息共享平台，向社会公开。落实国家强制性环境治理信息披露办法，督促上市公司、发债企业等市场主体全面、及时、准确地披露环境信息。</w:t>
      </w:r>
      <w:r>
        <w:rPr>
          <w:rFonts w:eastAsia="楷体_GB2312"/>
        </w:rPr>
        <w:t>（牵头单位：</w:t>
      </w:r>
      <w:r>
        <w:rPr>
          <w:rFonts w:hint="eastAsia" w:eastAsia="楷体_GB2312"/>
        </w:rPr>
        <w:t>县</w:t>
      </w:r>
      <w:r>
        <w:rPr>
          <w:rFonts w:eastAsia="楷体_GB2312"/>
        </w:rPr>
        <w:t>生态环境</w:t>
      </w:r>
      <w:r>
        <w:rPr>
          <w:rFonts w:hint="eastAsia" w:eastAsia="楷体_GB2312"/>
        </w:rPr>
        <w:t>分</w:t>
      </w:r>
      <w:r>
        <w:rPr>
          <w:rFonts w:eastAsia="楷体_GB2312"/>
        </w:rPr>
        <w:t>局；责任单位：</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局、县</w:t>
      </w:r>
      <w:r>
        <w:rPr>
          <w:rFonts w:eastAsia="楷体_GB2312"/>
        </w:rPr>
        <w:t>商务投资促进局、</w:t>
      </w:r>
      <w:r>
        <w:rPr>
          <w:rFonts w:hint="eastAsia" w:eastAsia="楷体_GB2312"/>
        </w:rPr>
        <w:t>县</w:t>
      </w:r>
      <w:r>
        <w:rPr>
          <w:rFonts w:eastAsia="楷体_GB2312"/>
        </w:rPr>
        <w:t>工业和信息化局</w:t>
      </w:r>
      <w:r>
        <w:rPr>
          <w:rFonts w:hint="eastAsia" w:eastAsia="楷体_GB2312"/>
        </w:rPr>
        <w:t>，各乡镇</w:t>
      </w:r>
      <w:r>
        <w:rPr>
          <w:rFonts w:eastAsia="楷体_GB2312"/>
        </w:rPr>
        <w:t>、</w:t>
      </w:r>
      <w:r>
        <w:rPr>
          <w:rFonts w:hint="eastAsia" w:eastAsia="楷体_GB2312"/>
        </w:rPr>
        <w:t>街道</w:t>
      </w:r>
      <w:r>
        <w:rPr>
          <w:rFonts w:eastAsia="楷体_GB2312"/>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（3）规范环境治理市场</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深入推进“放管服”改革，打破地区、行业壁垒，一视同仁、平等对待各类市场主体，引导各类资本参与环境治理与服务投资、建设、运行。规范市场秩序，减少恶意竞争，加快形成公开透明、规范有序的环境治理市场环境。创新环境治理模式，支持环境治理整体解决方案、环保管家、环境顾问、区域一体化服务、生态环境导向的开发（EOD）试点等模式，服务全县生态环境高水平保护。</w:t>
      </w:r>
      <w:r>
        <w:rPr>
          <w:rFonts w:eastAsia="楷体_GB2312"/>
        </w:rPr>
        <w:t>（牵头单位：</w:t>
      </w:r>
      <w:r>
        <w:rPr>
          <w:rFonts w:hint="eastAsia" w:eastAsia="楷体_GB2312"/>
        </w:rPr>
        <w:t>县</w:t>
      </w:r>
      <w:r>
        <w:rPr>
          <w:rFonts w:eastAsia="楷体_GB2312"/>
        </w:rPr>
        <w:t>生态环境</w:t>
      </w:r>
      <w:r>
        <w:rPr>
          <w:rFonts w:hint="eastAsia" w:eastAsia="楷体_GB2312"/>
        </w:rPr>
        <w:t>分</w:t>
      </w:r>
      <w:r>
        <w:rPr>
          <w:rFonts w:eastAsia="楷体_GB2312"/>
        </w:rPr>
        <w:t>局；责任单位：</w:t>
      </w:r>
      <w:r>
        <w:rPr>
          <w:rFonts w:hint="eastAsia" w:eastAsia="楷体_GB2312"/>
        </w:rPr>
        <w:t>县</w:t>
      </w:r>
      <w:r>
        <w:rPr>
          <w:rFonts w:eastAsia="楷体_GB2312"/>
        </w:rPr>
        <w:t>商务投资促进局、</w:t>
      </w:r>
      <w:r>
        <w:rPr>
          <w:rFonts w:hint="eastAsia" w:eastAsia="楷体_GB2312"/>
        </w:rPr>
        <w:t>县</w:t>
      </w:r>
      <w:r>
        <w:rPr>
          <w:rFonts w:eastAsia="楷体_GB2312"/>
        </w:rPr>
        <w:t>市场监管局</w:t>
      </w:r>
      <w:r>
        <w:rPr>
          <w:rFonts w:hint="eastAsia" w:eastAsia="楷体_GB2312"/>
        </w:rPr>
        <w:t>，各乡镇、街道</w:t>
      </w:r>
      <w:r>
        <w:rPr>
          <w:rFonts w:eastAsia="楷体_GB231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bookmarkStart w:id="82" w:name="_Toc121508290"/>
      <w:r>
        <w:rPr>
          <w:rFonts w:hint="eastAsia" w:ascii="仿宋_GB2312" w:hAnsi="仿宋_GB2312" w:eastAsia="仿宋_GB2312" w:cs="仿宋_GB2312"/>
        </w:rPr>
        <w:t>3. 立足建设美丽冠县，打造时尚宜居之城</w:t>
      </w:r>
      <w:bookmarkEnd w:id="82"/>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（1）打造生态宜居城市</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厚植绿色发展理念，持续推动城市生活垃圾分类处置和厨余垃圾收运处置工作。结合“文明城市”“文明机关”“绿色学校”“绿色社区”等创建工作，推动生活领域“无废细胞”建设，践行绿色低碳生活方式。重视建设项目与城市环境相融合，推动自然景观与人文景观相协调。到2025年，生活领域“无废细胞”示范单位至少创建14个。</w:t>
      </w:r>
      <w:r>
        <w:rPr>
          <w:rFonts w:eastAsia="楷体_GB2312"/>
          <w:szCs w:val="24"/>
        </w:rPr>
        <w:t>（</w:t>
      </w:r>
      <w:bookmarkStart w:id="83" w:name="_Hlk117948191"/>
      <w:r>
        <w:rPr>
          <w:rFonts w:hint="eastAsia" w:eastAsia="楷体_GB2312"/>
          <w:szCs w:val="24"/>
        </w:rPr>
        <w:t>牵头单位：</w:t>
      </w:r>
      <w:r>
        <w:rPr>
          <w:rFonts w:hint="eastAsia" w:eastAsia="楷体_GB2312"/>
        </w:rPr>
        <w:t>县综合行政</w:t>
      </w:r>
      <w:r>
        <w:rPr>
          <w:rFonts w:eastAsia="楷体_GB2312"/>
        </w:rPr>
        <w:t>执法局</w:t>
      </w:r>
      <w:r>
        <w:rPr>
          <w:rFonts w:hint="eastAsia" w:eastAsia="楷体_GB2312"/>
          <w:szCs w:val="24"/>
        </w:rPr>
        <w:t>、</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hint="eastAsia" w:eastAsia="楷体_GB2312"/>
          <w:szCs w:val="24"/>
        </w:rPr>
        <w:t>县教育体育局、县住房城乡建设局、县农业农村局、县商务投资促进局、县文化和旅游局</w:t>
      </w:r>
      <w:bookmarkEnd w:id="83"/>
      <w:r>
        <w:rPr>
          <w:rFonts w:eastAsia="楷体_GB2312"/>
        </w:rPr>
        <w:t>；责任单位：</w:t>
      </w:r>
      <w:r>
        <w:rPr>
          <w:rFonts w:hint="eastAsia" w:eastAsia="楷体_GB2312"/>
        </w:rPr>
        <w:t>各乡镇、</w:t>
      </w:r>
      <w:r>
        <w:rPr>
          <w:rFonts w:eastAsia="楷体_GB2312"/>
        </w:rPr>
        <w:t>街道</w:t>
      </w:r>
      <w:r>
        <w:rPr>
          <w:rFonts w:eastAsia="楷体_GB2312"/>
          <w:szCs w:val="24"/>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（2）改善农村人居环境</w:t>
      </w:r>
    </w:p>
    <w:p>
      <w:pPr>
        <w:pageBreakBefore w:val="0"/>
        <w:widowControl w:val="0"/>
        <w:kinsoku/>
        <w:wordWrap/>
        <w:overflowPunct/>
        <w:topLinePunct w:val="0"/>
        <w:autoSpaceDE/>
        <w:autoSpaceDN/>
        <w:bidi w:val="0"/>
        <w:spacing w:line="600" w:lineRule="exact"/>
        <w:ind w:firstLine="610"/>
        <w:textAlignment w:val="auto"/>
      </w:pPr>
      <w:r>
        <w:rPr>
          <w:rFonts w:hint="eastAsia" w:ascii="仿宋_GB2312" w:hAnsi="仿宋_GB2312" w:eastAsia="仿宋_GB2312" w:cs="仿宋_GB2312"/>
        </w:rPr>
        <w:t>整治提升农村人居环境，健全完善农村基础设施和公共服务体系。全面提升农村生活垃圾治理水平，探索农村生活垃圾就地就近处理的资源化利用方式。持续推广应用化肥农药减量、有机肥替代、生物防控等技术，农业固体废物资源化利用技术，推进规模化种植，强化绿色养殖，推进现代养殖模式发展，建设“无废农场”。结合乡村清洁专项治理行动，全面推动乡村环境大改善、大提升，建设“无废农村”。到2025年，全县城乡环卫一体化垃圾收运体系有效运行，全县农村人居环境水平明显提升，生态宜居美丽乡村建设取得新进步，农业农村领域“无废细胞”示范单位至少创建6个。</w:t>
      </w:r>
      <w:r>
        <w:rPr>
          <w:rFonts w:eastAsia="楷体_GB2312"/>
          <w:szCs w:val="24"/>
        </w:rPr>
        <w:t>（</w:t>
      </w:r>
      <w:r>
        <w:rPr>
          <w:rFonts w:hint="eastAsia" w:eastAsia="楷体_GB2312"/>
          <w:szCs w:val="24"/>
        </w:rPr>
        <w:t>牵头</w:t>
      </w:r>
      <w:r>
        <w:rPr>
          <w:rFonts w:eastAsia="楷体_GB2312"/>
          <w:szCs w:val="24"/>
        </w:rPr>
        <w:t>单位</w:t>
      </w:r>
      <w:r>
        <w:rPr>
          <w:rFonts w:hint="eastAsia" w:eastAsia="楷体_GB2312"/>
          <w:szCs w:val="24"/>
        </w:rPr>
        <w:t>：县农业农村局</w:t>
      </w:r>
      <w:r>
        <w:rPr>
          <w:rFonts w:eastAsia="楷体_GB2312"/>
        </w:rPr>
        <w:t>；责任单位：</w:t>
      </w:r>
      <w:r>
        <w:rPr>
          <w:rFonts w:hint="eastAsia" w:eastAsia="楷体_GB2312"/>
        </w:rPr>
        <w:t>各乡镇、</w:t>
      </w:r>
      <w:r>
        <w:rPr>
          <w:rFonts w:eastAsia="楷体_GB2312"/>
        </w:rPr>
        <w:t>街道</w:t>
      </w:r>
      <w:r>
        <w:rPr>
          <w:rFonts w:eastAsia="楷体_GB2312"/>
          <w:szCs w:val="24"/>
        </w:rPr>
        <w:t>）</w:t>
      </w:r>
    </w:p>
    <w:p>
      <w:pPr>
        <w:pStyle w:val="6"/>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rPr>
      </w:pPr>
      <w:r>
        <w:rPr>
          <w:rFonts w:hint="eastAsia" w:ascii="仿宋_GB2312" w:hAnsi="仿宋_GB2312" w:eastAsia="仿宋_GB2312" w:cs="仿宋_GB2312"/>
        </w:rPr>
        <w:t>（3）建设绿色生态廊道</w:t>
      </w:r>
    </w:p>
    <w:p>
      <w:pPr>
        <w:pageBreakBefore w:val="0"/>
        <w:widowControl w:val="0"/>
        <w:kinsoku/>
        <w:wordWrap/>
        <w:overflowPunct/>
        <w:topLinePunct w:val="0"/>
        <w:autoSpaceDE/>
        <w:autoSpaceDN/>
        <w:bidi w:val="0"/>
        <w:spacing w:line="600" w:lineRule="exact"/>
        <w:ind w:firstLine="610"/>
        <w:textAlignment w:val="auto"/>
        <w:rPr>
          <w:rFonts w:eastAsia="楷体_GB2312" w:cs="Times New Roman"/>
          <w:szCs w:val="24"/>
        </w:rPr>
      </w:pPr>
      <w:r>
        <w:rPr>
          <w:rFonts w:hint="eastAsia" w:ascii="仿宋_GB2312" w:hAnsi="仿宋_GB2312" w:eastAsia="仿宋_GB2312" w:cs="仿宋_GB2312"/>
        </w:rPr>
        <w:t>围绕现代水网建设，综合考虑建设风格、居住规模、服务功能、产业形态等因素，立足乡村实际、注重特色，科学规划村庄，深入实施“净化”行动，推动黄河冲积平原美丽乡村示范建设。依托运河文化、特色农业等优势，培育发展乡村观光旅游、现代民宿、运动休闲、养生养老等新兴业态，打造农村经济新的增长点。</w:t>
      </w:r>
      <w:r>
        <w:rPr>
          <w:rFonts w:eastAsia="楷体_GB2312"/>
          <w:szCs w:val="24"/>
        </w:rPr>
        <w:t>（</w:t>
      </w:r>
      <w:r>
        <w:rPr>
          <w:rFonts w:hint="eastAsia" w:eastAsia="楷体_GB2312"/>
          <w:szCs w:val="24"/>
        </w:rPr>
        <w:t>牵头单位：县</w:t>
      </w:r>
      <w:r>
        <w:rPr>
          <w:rFonts w:eastAsia="楷体_GB2312"/>
          <w:szCs w:val="24"/>
        </w:rPr>
        <w:t>生态环境</w:t>
      </w:r>
      <w:r>
        <w:rPr>
          <w:rFonts w:hint="eastAsia" w:eastAsia="楷体_GB2312"/>
          <w:szCs w:val="24"/>
        </w:rPr>
        <w:t>分</w:t>
      </w:r>
      <w:r>
        <w:rPr>
          <w:rFonts w:eastAsia="楷体_GB2312"/>
          <w:szCs w:val="24"/>
        </w:rPr>
        <w:t>局</w:t>
      </w:r>
      <w:r>
        <w:rPr>
          <w:rFonts w:hint="eastAsia" w:eastAsia="楷体_GB2312"/>
          <w:szCs w:val="24"/>
        </w:rPr>
        <w:t>、</w:t>
      </w:r>
      <w:r>
        <w:rPr>
          <w:rFonts w:hint="eastAsia" w:eastAsia="楷体_GB2312"/>
        </w:rPr>
        <w:t>县</w:t>
      </w:r>
      <w:r>
        <w:rPr>
          <w:rFonts w:eastAsia="楷体_GB2312"/>
        </w:rPr>
        <w:t>发展</w:t>
      </w:r>
      <w:r>
        <w:rPr>
          <w:rFonts w:hint="eastAsia" w:eastAsia="楷体_GB2312"/>
        </w:rPr>
        <w:t>和</w:t>
      </w:r>
      <w:r>
        <w:rPr>
          <w:rFonts w:eastAsia="楷体_GB2312"/>
        </w:rPr>
        <w:t>改革</w:t>
      </w:r>
      <w:r>
        <w:rPr>
          <w:rFonts w:hint="eastAsia" w:eastAsia="楷体_GB2312"/>
        </w:rPr>
        <w:t>局</w:t>
      </w:r>
      <w:r>
        <w:rPr>
          <w:rFonts w:eastAsia="楷体_GB2312"/>
          <w:szCs w:val="24"/>
        </w:rPr>
        <w:t>、</w:t>
      </w:r>
      <w:r>
        <w:rPr>
          <w:rFonts w:hint="eastAsia" w:eastAsia="楷体_GB2312"/>
          <w:szCs w:val="24"/>
        </w:rPr>
        <w:t>县自然资源和规划局、县水利局</w:t>
      </w:r>
      <w:bookmarkStart w:id="84" w:name="_Hlk122362546"/>
      <w:r>
        <w:rPr>
          <w:rFonts w:hint="eastAsia" w:eastAsia="楷体_GB2312"/>
          <w:szCs w:val="24"/>
        </w:rPr>
        <w:t>、县交通运输局</w:t>
      </w:r>
      <w:bookmarkEnd w:id="84"/>
      <w:r>
        <w:rPr>
          <w:rFonts w:hint="eastAsia" w:eastAsia="楷体_GB2312"/>
          <w:szCs w:val="24"/>
        </w:rPr>
        <w:t>、县文化和旅游局、县</w:t>
      </w:r>
      <w:r>
        <w:rPr>
          <w:rFonts w:eastAsia="楷体_GB2312"/>
          <w:szCs w:val="24"/>
        </w:rPr>
        <w:t>农业农村局、</w:t>
      </w:r>
      <w:r>
        <w:rPr>
          <w:rFonts w:hint="eastAsia" w:eastAsia="楷体_GB2312"/>
        </w:rPr>
        <w:t>县综合行政</w:t>
      </w:r>
      <w:r>
        <w:rPr>
          <w:rFonts w:eastAsia="楷体_GB2312"/>
        </w:rPr>
        <w:t>执法局</w:t>
      </w:r>
      <w:r>
        <w:rPr>
          <w:rFonts w:eastAsia="楷体_GB2312"/>
          <w:szCs w:val="24"/>
        </w:rPr>
        <w:t>、</w:t>
      </w:r>
      <w:r>
        <w:rPr>
          <w:rFonts w:hint="eastAsia" w:eastAsia="楷体_GB2312"/>
          <w:szCs w:val="24"/>
        </w:rPr>
        <w:t>县</w:t>
      </w:r>
      <w:r>
        <w:rPr>
          <w:rFonts w:eastAsia="楷体_GB2312"/>
          <w:szCs w:val="24"/>
        </w:rPr>
        <w:t>住房城乡建设局</w:t>
      </w:r>
      <w:r>
        <w:rPr>
          <w:rFonts w:eastAsia="楷体_GB2312"/>
        </w:rPr>
        <w:t>；责任单位：</w:t>
      </w:r>
      <w:r>
        <w:rPr>
          <w:rFonts w:hint="eastAsia" w:eastAsia="楷体_GB2312"/>
        </w:rPr>
        <w:t>各乡镇、</w:t>
      </w:r>
      <w:r>
        <w:rPr>
          <w:rFonts w:eastAsia="楷体_GB2312"/>
        </w:rPr>
        <w:t>街道</w:t>
      </w:r>
      <w:r>
        <w:rPr>
          <w:rFonts w:eastAsia="楷体_GB2312"/>
          <w:szCs w:val="24"/>
        </w:rPr>
        <w:t>）</w:t>
      </w:r>
    </w:p>
    <w:p>
      <w:pPr>
        <w:pStyle w:val="3"/>
        <w:pageBreakBefore w:val="0"/>
        <w:widowControl w:val="0"/>
        <w:kinsoku/>
        <w:wordWrap/>
        <w:overflowPunct/>
        <w:topLinePunct w:val="0"/>
        <w:autoSpaceDE/>
        <w:autoSpaceDN/>
        <w:bidi w:val="0"/>
        <w:spacing w:line="600" w:lineRule="exact"/>
        <w:ind w:firstLine="610"/>
        <w:textAlignment w:val="auto"/>
      </w:pPr>
      <w:bookmarkStart w:id="85" w:name="_Toc121508292"/>
      <w:bookmarkStart w:id="86" w:name="_Toc116148491"/>
      <w:bookmarkStart w:id="87" w:name="_Hlk114127151"/>
      <w:r>
        <w:rPr>
          <w:rFonts w:hint="eastAsia"/>
        </w:rPr>
        <w:t>四、打造“1+</w:t>
      </w:r>
      <w:r>
        <w:t>6</w:t>
      </w:r>
      <w:r>
        <w:rPr>
          <w:rFonts w:hint="eastAsia"/>
        </w:rPr>
        <w:t>”智慧平台，</w:t>
      </w:r>
      <w:r>
        <w:t>赋能“无废城市”建设</w:t>
      </w:r>
      <w:bookmarkEnd w:id="85"/>
      <w:bookmarkEnd w:id="86"/>
    </w:p>
    <w:p>
      <w:pPr>
        <w:pStyle w:val="4"/>
        <w:pageBreakBefore w:val="0"/>
        <w:widowControl w:val="0"/>
        <w:kinsoku/>
        <w:wordWrap/>
        <w:overflowPunct/>
        <w:topLinePunct w:val="0"/>
        <w:autoSpaceDE/>
        <w:autoSpaceDN/>
        <w:bidi w:val="0"/>
        <w:spacing w:line="600" w:lineRule="exact"/>
        <w:ind w:firstLine="610"/>
        <w:textAlignment w:val="auto"/>
        <w:rPr>
          <w:b/>
          <w:bCs/>
        </w:rPr>
      </w:pPr>
      <w:bookmarkStart w:id="88" w:name="_Toc116148492"/>
      <w:bookmarkStart w:id="89" w:name="_Toc121508293"/>
      <w:r>
        <w:rPr>
          <w:rFonts w:hint="eastAsia"/>
          <w:b/>
          <w:bCs/>
        </w:rPr>
        <w:t>（一）</w:t>
      </w:r>
      <w:r>
        <w:rPr>
          <w:b/>
          <w:bCs/>
        </w:rPr>
        <w:t>打造“无废城市”智慧监管平台，实时跟踪</w:t>
      </w:r>
      <w:r>
        <w:rPr>
          <w:rFonts w:hint="eastAsia"/>
          <w:b/>
          <w:bCs/>
        </w:rPr>
        <w:t>严格监管</w:t>
      </w:r>
      <w:bookmarkEnd w:id="88"/>
      <w:bookmarkEnd w:id="89"/>
    </w:p>
    <w:p>
      <w:pPr>
        <w:pageBreakBefore w:val="0"/>
        <w:widowControl w:val="0"/>
        <w:kinsoku/>
        <w:wordWrap/>
        <w:overflowPunct/>
        <w:topLinePunct w:val="0"/>
        <w:autoSpaceDE/>
        <w:autoSpaceDN/>
        <w:bidi w:val="0"/>
        <w:spacing w:line="600" w:lineRule="exact"/>
        <w:ind w:firstLine="610"/>
        <w:textAlignment w:val="auto"/>
        <w:rPr>
          <w:rFonts w:eastAsia="楷体_GB2312"/>
        </w:rPr>
      </w:pPr>
      <w:r>
        <w:rPr>
          <w:rFonts w:hint="eastAsia" w:ascii="仿宋_GB2312" w:hAnsi="仿宋_GB2312" w:eastAsia="仿宋_GB2312" w:cs="仿宋_GB2312"/>
          <w:color w:val="000000" w:themeColor="text1"/>
          <w14:textFill>
            <w14:solidFill>
              <w14:schemeClr w14:val="tx1"/>
            </w14:solidFill>
          </w14:textFill>
        </w:rPr>
        <w:t>配合市级部门开展全域</w:t>
      </w:r>
      <w:r>
        <w:rPr>
          <w:rFonts w:hint="eastAsia" w:ascii="仿宋_GB2312" w:hAnsi="仿宋_GB2312" w:eastAsia="仿宋_GB2312" w:cs="仿宋_GB2312"/>
        </w:rPr>
        <w:t>“无废城市”智慧监管平台建设，分领域、按步骤推动工业固体废物、农业固体废物、生活垃圾、建筑垃圾、危险废物、再生资源等</w:t>
      </w:r>
      <w:bookmarkStart w:id="90" w:name="_Hlk121903773"/>
      <w:r>
        <w:rPr>
          <w:rFonts w:hint="eastAsia" w:ascii="仿宋_GB2312" w:hAnsi="仿宋_GB2312" w:eastAsia="仿宋_GB2312" w:cs="仿宋_GB2312"/>
        </w:rPr>
        <w:t>专项管理信息系统</w:t>
      </w:r>
      <w:bookmarkEnd w:id="90"/>
      <w:r>
        <w:rPr>
          <w:rFonts w:hint="eastAsia" w:ascii="仿宋_GB2312" w:hAnsi="仿宋_GB2312" w:eastAsia="仿宋_GB2312" w:cs="仿宋_GB2312"/>
        </w:rPr>
        <w:t>建设，形成“1+6”智慧平台。面向管理需求开发多领域“无废”建设应用场景，集成各类固体废物管理信息，实现各部门间信息共享；充分利用“互联网+监管”，加强对固体废物产生单位和利用处置单位事中事后监管。推动建立“无废城市”各类固体废物数据信息协调联动共享机制</w:t>
      </w:r>
      <w:bookmarkStart w:id="91" w:name="_Hlk121857288"/>
      <w:r>
        <w:rPr>
          <w:rFonts w:hint="eastAsia" w:ascii="仿宋_GB2312" w:hAnsi="仿宋_GB2312" w:eastAsia="仿宋_GB2312" w:cs="仿宋_GB2312"/>
        </w:rPr>
        <w:t>，打造信息监管“一张网”</w:t>
      </w:r>
      <w:bookmarkEnd w:id="91"/>
      <w:r>
        <w:rPr>
          <w:rFonts w:hint="eastAsia" w:ascii="仿宋_GB2312" w:hAnsi="仿宋_GB2312" w:eastAsia="仿宋_GB2312" w:cs="仿宋_GB2312"/>
        </w:rPr>
        <w:t>。到2025年，在重点领域投入使用。</w:t>
      </w:r>
      <w:r>
        <w:rPr>
          <w:rFonts w:eastAsia="楷体_GB2312"/>
        </w:rPr>
        <w:t>（</w:t>
      </w:r>
      <w:r>
        <w:rPr>
          <w:rFonts w:hint="eastAsia" w:eastAsia="楷体_GB2312"/>
          <w:szCs w:val="24"/>
        </w:rPr>
        <w:t>牵头单位：</w:t>
      </w:r>
      <w:r>
        <w:rPr>
          <w:rFonts w:hint="eastAsia" w:eastAsia="楷体_GB2312"/>
        </w:rPr>
        <w:t>县</w:t>
      </w:r>
      <w:r>
        <w:rPr>
          <w:rFonts w:eastAsia="楷体_GB2312"/>
        </w:rPr>
        <w:t>生态环境</w:t>
      </w:r>
      <w:r>
        <w:rPr>
          <w:rFonts w:hint="eastAsia" w:eastAsia="楷体_GB2312"/>
        </w:rPr>
        <w:t>分</w:t>
      </w:r>
      <w:r>
        <w:rPr>
          <w:rFonts w:eastAsia="楷体_GB2312"/>
        </w:rPr>
        <w:t>局、</w:t>
      </w:r>
      <w:r>
        <w:rPr>
          <w:rFonts w:hint="eastAsia" w:eastAsia="楷体_GB2312"/>
        </w:rPr>
        <w:t>县综合行政</w:t>
      </w:r>
      <w:r>
        <w:rPr>
          <w:rFonts w:eastAsia="楷体_GB2312"/>
        </w:rPr>
        <w:t>执法局</w:t>
      </w:r>
      <w:r>
        <w:rPr>
          <w:rFonts w:eastAsia="楷体_GB2312"/>
          <w:szCs w:val="24"/>
        </w:rPr>
        <w:t>、</w:t>
      </w:r>
      <w:r>
        <w:rPr>
          <w:rFonts w:hint="eastAsia" w:eastAsia="楷体_GB2312"/>
        </w:rPr>
        <w:t>县</w:t>
      </w:r>
      <w:r>
        <w:rPr>
          <w:rFonts w:eastAsia="楷体_GB2312"/>
        </w:rPr>
        <w:t>住房城乡建设局、</w:t>
      </w:r>
      <w:r>
        <w:rPr>
          <w:rFonts w:hint="eastAsia" w:eastAsia="楷体_GB2312"/>
        </w:rPr>
        <w:t>县</w:t>
      </w:r>
      <w:r>
        <w:rPr>
          <w:rFonts w:eastAsia="楷体_GB2312"/>
        </w:rPr>
        <w:t>商务投资促进局、</w:t>
      </w:r>
      <w:r>
        <w:rPr>
          <w:rFonts w:hint="eastAsia" w:eastAsia="楷体_GB2312"/>
        </w:rPr>
        <w:t>县</w:t>
      </w:r>
      <w:r>
        <w:rPr>
          <w:rFonts w:eastAsia="楷体_GB2312"/>
        </w:rPr>
        <w:t>农业农村局、</w:t>
      </w:r>
      <w:r>
        <w:rPr>
          <w:rFonts w:hint="eastAsia" w:eastAsia="楷体_GB2312"/>
        </w:rPr>
        <w:t>县</w:t>
      </w:r>
      <w:r>
        <w:rPr>
          <w:rFonts w:eastAsia="楷体_GB2312"/>
        </w:rPr>
        <w:t>交通运输局；责任单位：</w:t>
      </w:r>
      <w:r>
        <w:rPr>
          <w:rFonts w:hint="eastAsia" w:eastAsia="楷体_GB2312"/>
        </w:rPr>
        <w:t>各乡镇、</w:t>
      </w:r>
      <w:r>
        <w:rPr>
          <w:rFonts w:eastAsia="楷体_GB2312"/>
        </w:rPr>
        <w:t>街道）</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92" w:name="_Toc116148496"/>
      <w:bookmarkStart w:id="93" w:name="_Toc121508294"/>
      <w:r>
        <w:rPr>
          <w:rFonts w:hint="eastAsia"/>
          <w:b/>
          <w:bCs/>
        </w:rPr>
        <w:t>（二）打通部门数据壁垒，实现联管联控</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加强一般工业固体废物智慧监管，</w:t>
      </w:r>
      <w:bookmarkEnd w:id="92"/>
      <w:bookmarkEnd w:id="93"/>
      <w:r>
        <w:rPr>
          <w:rFonts w:hint="eastAsia" w:ascii="仿宋_GB2312" w:hAnsi="仿宋_GB2312" w:eastAsia="仿宋_GB2312" w:cs="仿宋_GB2312"/>
          <w:sz w:val="32"/>
          <w:szCs w:val="32"/>
        </w:rPr>
        <w:t>实现全程追溯</w:t>
      </w:r>
    </w:p>
    <w:p>
      <w:pPr>
        <w:pageBreakBefore w:val="0"/>
        <w:widowControl w:val="0"/>
        <w:kinsoku/>
        <w:wordWrap/>
        <w:overflowPunct/>
        <w:topLinePunct w:val="0"/>
        <w:autoSpaceDE/>
        <w:autoSpaceDN/>
        <w:bidi w:val="0"/>
        <w:spacing w:line="600" w:lineRule="exact"/>
        <w:ind w:firstLine="610"/>
        <w:textAlignment w:val="auto"/>
        <w:rPr>
          <w:sz w:val="32"/>
          <w:szCs w:val="32"/>
        </w:rPr>
      </w:pPr>
      <w:r>
        <w:rPr>
          <w:rFonts w:hint="eastAsia" w:ascii="仿宋_GB2312" w:hAnsi="仿宋_GB2312" w:eastAsia="仿宋_GB2312" w:cs="仿宋_GB2312"/>
          <w:sz w:val="32"/>
          <w:szCs w:val="32"/>
        </w:rPr>
        <w:t>建设工业固体废物信息化系统，明确工业固体废物产生单位申报责任，确保工业固体废物产生单位使用工业固体废物管理信息系统开展申报登记。研发一般工业固体废物收运管理系统，加强一般工业固体废物产生、转运、利用处置数据统计，切实掌握一般工业固体废物的收集、处置、利用情况。到2025年, 大宗工业固体废物全部实现网上申报登记。</w:t>
      </w:r>
      <w:r>
        <w:rPr>
          <w:rFonts w:eastAsia="楷体_GB2312"/>
          <w:sz w:val="32"/>
          <w:szCs w:val="32"/>
        </w:rPr>
        <w:t>（</w:t>
      </w:r>
      <w:r>
        <w:rPr>
          <w:rFonts w:hint="eastAsia" w:eastAsia="楷体_GB2312"/>
          <w:sz w:val="32"/>
          <w:szCs w:val="32"/>
        </w:rPr>
        <w:t>牵头单位：县生态环境分局、县工业和信息化局</w:t>
      </w:r>
      <w:r>
        <w:rPr>
          <w:rFonts w:eastAsia="楷体_GB2312"/>
          <w:sz w:val="32"/>
          <w:szCs w:val="32"/>
        </w:rPr>
        <w:t>；责任单位：</w:t>
      </w:r>
      <w:r>
        <w:rPr>
          <w:rFonts w:hint="eastAsia" w:eastAsia="楷体_GB2312"/>
          <w:sz w:val="32"/>
          <w:szCs w:val="32"/>
        </w:rPr>
        <w:t>各乡镇、街道</w:t>
      </w:r>
      <w:r>
        <w:rPr>
          <w:rFonts w:eastAsia="楷体_GB2312"/>
          <w:sz w:val="32"/>
          <w:szCs w:val="32"/>
        </w:rPr>
        <w:t>）</w:t>
      </w:r>
    </w:p>
    <w:p>
      <w:pPr>
        <w:pStyle w:val="5"/>
        <w:pageBreakBefore w:val="0"/>
        <w:widowControl w:val="0"/>
        <w:kinsoku/>
        <w:wordWrap/>
        <w:overflowPunct/>
        <w:topLinePunct w:val="0"/>
        <w:autoSpaceDE/>
        <w:autoSpaceDN/>
        <w:bidi w:val="0"/>
        <w:spacing w:line="600" w:lineRule="exact"/>
        <w:ind w:firstLine="610"/>
        <w:textAlignment w:val="auto"/>
        <w:rPr>
          <w:sz w:val="32"/>
          <w:szCs w:val="32"/>
        </w:rPr>
      </w:pPr>
      <w:bookmarkStart w:id="94" w:name="_Toc116148499"/>
      <w:bookmarkStart w:id="95" w:name="_Toc121508295"/>
      <w:r>
        <w:rPr>
          <w:rFonts w:hint="eastAsia"/>
          <w:sz w:val="32"/>
          <w:szCs w:val="32"/>
        </w:rPr>
        <w:t>2</w:t>
      </w:r>
      <w:r>
        <w:rPr>
          <w:sz w:val="32"/>
          <w:szCs w:val="32"/>
        </w:rPr>
        <w:t xml:space="preserve">. </w:t>
      </w:r>
      <w:r>
        <w:rPr>
          <w:rFonts w:hint="eastAsia"/>
          <w:sz w:val="32"/>
          <w:szCs w:val="32"/>
        </w:rPr>
        <w:t>加强</w:t>
      </w:r>
      <w:r>
        <w:rPr>
          <w:sz w:val="32"/>
          <w:szCs w:val="32"/>
        </w:rPr>
        <w:t>农业固体废物</w:t>
      </w:r>
      <w:r>
        <w:rPr>
          <w:rFonts w:hint="eastAsia"/>
          <w:sz w:val="32"/>
          <w:szCs w:val="32"/>
        </w:rPr>
        <w:t>智慧监管</w:t>
      </w:r>
      <w:r>
        <w:rPr>
          <w:sz w:val="32"/>
          <w:szCs w:val="32"/>
        </w:rPr>
        <w:t>，提高</w:t>
      </w:r>
      <w:bookmarkEnd w:id="94"/>
      <w:r>
        <w:rPr>
          <w:rFonts w:hint="eastAsia"/>
          <w:sz w:val="32"/>
          <w:szCs w:val="32"/>
        </w:rPr>
        <w:t>监管能力</w:t>
      </w:r>
      <w:bookmarkEnd w:id="95"/>
    </w:p>
    <w:p>
      <w:pPr>
        <w:pageBreakBefore w:val="0"/>
        <w:widowControl w:val="0"/>
        <w:kinsoku/>
        <w:wordWrap/>
        <w:overflowPunct/>
        <w:topLinePunct w:val="0"/>
        <w:autoSpaceDE/>
        <w:autoSpaceDN/>
        <w:bidi w:val="0"/>
        <w:spacing w:line="600" w:lineRule="exact"/>
        <w:ind w:firstLine="610"/>
        <w:textAlignment w:val="auto"/>
        <w:rPr>
          <w:b/>
          <w:sz w:val="32"/>
          <w:szCs w:val="32"/>
        </w:rPr>
      </w:pPr>
      <w:r>
        <w:rPr>
          <w:rFonts w:cs="Times New Roman"/>
          <w:sz w:val="32"/>
          <w:szCs w:val="32"/>
        </w:rPr>
        <w:t>按照“风险可控、定点定向、全程追溯”的原则，探索建设农业固体废物信息化系统，逐步实现收集、运输、回收利用、处置全过程信息化管理。基于农业</w:t>
      </w:r>
      <w:r>
        <w:rPr>
          <w:sz w:val="32"/>
          <w:szCs w:val="32"/>
        </w:rPr>
        <w:t>固体废物产生特点，形成集信息查询</w:t>
      </w:r>
      <w:r>
        <w:rPr>
          <w:rFonts w:hint="eastAsia"/>
          <w:sz w:val="32"/>
          <w:szCs w:val="32"/>
        </w:rPr>
        <w:t>、</w:t>
      </w:r>
      <w:r>
        <w:rPr>
          <w:sz w:val="32"/>
          <w:szCs w:val="32"/>
        </w:rPr>
        <w:t>去向追溯等一体的数字化网络平台。</w:t>
      </w:r>
      <w:r>
        <w:rPr>
          <w:rFonts w:eastAsia="楷体_GB2312"/>
          <w:sz w:val="32"/>
          <w:szCs w:val="32"/>
        </w:rPr>
        <w:t>（</w:t>
      </w:r>
      <w:r>
        <w:rPr>
          <w:rFonts w:hint="eastAsia" w:eastAsia="楷体_GB2312"/>
          <w:sz w:val="32"/>
          <w:szCs w:val="32"/>
        </w:rPr>
        <w:t>牵头单位：县农业农村局；</w:t>
      </w:r>
      <w:r>
        <w:rPr>
          <w:rFonts w:eastAsia="楷体_GB2312"/>
          <w:sz w:val="32"/>
          <w:szCs w:val="32"/>
        </w:rPr>
        <w:t>责任单位：</w:t>
      </w:r>
      <w:r>
        <w:rPr>
          <w:rFonts w:hint="eastAsia" w:eastAsia="楷体_GB2312"/>
          <w:sz w:val="32"/>
          <w:szCs w:val="32"/>
        </w:rPr>
        <w:t>各乡镇、街道</w:t>
      </w:r>
      <w:r>
        <w:rPr>
          <w:rFonts w:eastAsia="楷体_GB2312"/>
          <w:sz w:val="32"/>
          <w:szCs w:val="3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sz w:val="32"/>
          <w:szCs w:val="32"/>
        </w:rPr>
      </w:pPr>
      <w:bookmarkStart w:id="96" w:name="_Toc121508296"/>
      <w:bookmarkStart w:id="97" w:name="_Toc116148502"/>
      <w:r>
        <w:rPr>
          <w:rFonts w:hint="eastAsia" w:ascii="仿宋_GB2312" w:hAnsi="仿宋_GB2312" w:eastAsia="仿宋_GB2312" w:cs="仿宋_GB2312"/>
          <w:sz w:val="32"/>
          <w:szCs w:val="32"/>
        </w:rPr>
        <w:t>3. 加强城市生活垃圾智慧监管，推进精细管理</w:t>
      </w:r>
      <w:bookmarkEnd w:id="96"/>
      <w:bookmarkEnd w:id="97"/>
    </w:p>
    <w:p>
      <w:pPr>
        <w:pageBreakBefore w:val="0"/>
        <w:widowControl w:val="0"/>
        <w:kinsoku/>
        <w:wordWrap/>
        <w:overflowPunct/>
        <w:topLinePunct w:val="0"/>
        <w:autoSpaceDE/>
        <w:autoSpaceDN/>
        <w:bidi w:val="0"/>
        <w:spacing w:line="600" w:lineRule="exact"/>
        <w:ind w:firstLine="610"/>
        <w:textAlignment w:val="auto"/>
        <w:rPr>
          <w:rFonts w:eastAsia="楷体_GB2312"/>
          <w:sz w:val="32"/>
          <w:szCs w:val="32"/>
        </w:rPr>
      </w:pPr>
      <w:r>
        <w:rPr>
          <w:rFonts w:hint="eastAsia" w:ascii="仿宋_GB2312" w:hAnsi="仿宋_GB2312" w:eastAsia="仿宋_GB2312" w:cs="仿宋_GB2312"/>
          <w:sz w:val="32"/>
          <w:szCs w:val="32"/>
        </w:rPr>
        <w:t>推进生活垃圾分类智慧监管系统建设，探索开发智能采集、智能识别、智能计量等功能，实现生活垃圾分类清运处置的实时数据分析。在生活垃圾处理企业安装智能计量称重设备，实时上传智慧化平台。探索建立居民“智能账户”，在小区垃圾收集站安装使用识别系统，推进生活垃圾处理企业运行动态可视化监控。处置企业全部纳入信息化监管平台。探索建立污水处理厂污泥处理处置智慧化信息监控平台，对污泥运输、计量、安全处置等环节，实施全过程监管。</w:t>
      </w:r>
      <w:r>
        <w:rPr>
          <w:rFonts w:eastAsia="楷体_GB2312"/>
          <w:sz w:val="32"/>
          <w:szCs w:val="32"/>
        </w:rPr>
        <w:t>（</w:t>
      </w:r>
      <w:r>
        <w:rPr>
          <w:rFonts w:hint="eastAsia" w:eastAsia="楷体_GB2312"/>
          <w:sz w:val="32"/>
          <w:szCs w:val="32"/>
        </w:rPr>
        <w:t>牵头单位：县综合行政</w:t>
      </w:r>
      <w:r>
        <w:rPr>
          <w:rFonts w:eastAsia="楷体_GB2312"/>
          <w:sz w:val="32"/>
          <w:szCs w:val="32"/>
        </w:rPr>
        <w:t>执法局、</w:t>
      </w:r>
      <w:r>
        <w:rPr>
          <w:rFonts w:hint="eastAsia" w:eastAsia="楷体_GB2312"/>
          <w:sz w:val="32"/>
          <w:szCs w:val="32"/>
        </w:rPr>
        <w:t>县</w:t>
      </w:r>
      <w:r>
        <w:rPr>
          <w:rFonts w:eastAsia="楷体_GB2312"/>
          <w:sz w:val="32"/>
          <w:szCs w:val="32"/>
        </w:rPr>
        <w:t>住房城乡建设局；责任单位：</w:t>
      </w:r>
      <w:r>
        <w:rPr>
          <w:rFonts w:hint="eastAsia" w:eastAsia="楷体_GB2312"/>
          <w:sz w:val="32"/>
          <w:szCs w:val="32"/>
        </w:rPr>
        <w:t>各乡镇、街道</w:t>
      </w:r>
      <w:r>
        <w:rPr>
          <w:rFonts w:eastAsia="楷体_GB2312"/>
          <w:sz w:val="32"/>
          <w:szCs w:val="3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sz w:val="32"/>
          <w:szCs w:val="32"/>
        </w:rPr>
      </w:pPr>
      <w:bookmarkStart w:id="98" w:name="_Toc116148505"/>
      <w:bookmarkStart w:id="99" w:name="_Toc121508297"/>
      <w:r>
        <w:rPr>
          <w:rFonts w:hint="eastAsia" w:ascii="仿宋_GB2312" w:hAnsi="仿宋_GB2312" w:eastAsia="仿宋_GB2312" w:cs="仿宋_GB2312"/>
          <w:sz w:val="32"/>
          <w:szCs w:val="32"/>
        </w:rPr>
        <w:t>4. 加强建筑垃圾智慧监管，实现来源去向清晰</w:t>
      </w:r>
      <w:bookmarkEnd w:id="98"/>
      <w:bookmarkEnd w:id="99"/>
    </w:p>
    <w:p>
      <w:pPr>
        <w:pageBreakBefore w:val="0"/>
        <w:widowControl w:val="0"/>
        <w:kinsoku/>
        <w:wordWrap/>
        <w:overflowPunct/>
        <w:topLinePunct w:val="0"/>
        <w:autoSpaceDE/>
        <w:autoSpaceDN/>
        <w:bidi w:val="0"/>
        <w:spacing w:line="600" w:lineRule="exact"/>
        <w:ind w:firstLine="610"/>
        <w:textAlignment w:val="auto"/>
        <w:rPr>
          <w:rFonts w:eastAsia="楷体_GB2312"/>
          <w:sz w:val="32"/>
          <w:szCs w:val="32"/>
        </w:rPr>
      </w:pPr>
      <w:r>
        <w:rPr>
          <w:rFonts w:hint="eastAsia" w:ascii="仿宋_GB2312" w:hAnsi="仿宋_GB2312" w:eastAsia="仿宋_GB2312" w:cs="仿宋_GB2312"/>
          <w:sz w:val="32"/>
          <w:szCs w:val="32"/>
        </w:rPr>
        <w:t>建设建筑垃圾全过程信息化智慧监管系统，实现从源头产生、中间收运到末端处置的全过程数字化闭环监管。建立建筑垃圾电子转移联单管理制度，实现审批全流程信息化。共享建筑垃圾产生量、运输与处置量等基础信息，公开建筑垃圾再生产品供求信息。探索建立实时报警系统，通过设定预警评估模型，对可能发生的违规行为进行实时报警，助力高效执法。</w:t>
      </w:r>
      <w:r>
        <w:rPr>
          <w:rFonts w:eastAsia="楷体_GB2312"/>
          <w:sz w:val="32"/>
          <w:szCs w:val="32"/>
        </w:rPr>
        <w:t>（</w:t>
      </w:r>
      <w:r>
        <w:rPr>
          <w:rFonts w:hint="eastAsia" w:eastAsia="楷体_GB2312"/>
          <w:sz w:val="32"/>
          <w:szCs w:val="32"/>
        </w:rPr>
        <w:t>牵头单位：县综合行政</w:t>
      </w:r>
      <w:r>
        <w:rPr>
          <w:rFonts w:eastAsia="楷体_GB2312"/>
          <w:sz w:val="32"/>
          <w:szCs w:val="32"/>
        </w:rPr>
        <w:t>执法局</w:t>
      </w:r>
      <w:r>
        <w:rPr>
          <w:rFonts w:hint="eastAsia" w:eastAsia="楷体_GB2312"/>
          <w:sz w:val="32"/>
          <w:szCs w:val="32"/>
        </w:rPr>
        <w:t>、县住房城乡建设局</w:t>
      </w:r>
      <w:r>
        <w:rPr>
          <w:rFonts w:eastAsia="楷体_GB2312"/>
          <w:sz w:val="32"/>
          <w:szCs w:val="32"/>
        </w:rPr>
        <w:t>；责任单位：</w:t>
      </w:r>
      <w:r>
        <w:rPr>
          <w:rFonts w:hint="eastAsia" w:eastAsia="楷体_GB2312"/>
          <w:sz w:val="32"/>
          <w:szCs w:val="32"/>
        </w:rPr>
        <w:t>各乡镇、街道</w:t>
      </w:r>
      <w:r>
        <w:rPr>
          <w:rFonts w:eastAsia="楷体_GB2312"/>
          <w:sz w:val="32"/>
          <w:szCs w:val="3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sz w:val="32"/>
          <w:szCs w:val="32"/>
        </w:rPr>
      </w:pPr>
      <w:bookmarkStart w:id="100" w:name="_Toc121508298"/>
      <w:bookmarkStart w:id="101" w:name="_Toc116148509"/>
      <w:r>
        <w:rPr>
          <w:rFonts w:hint="eastAsia" w:ascii="仿宋_GB2312" w:hAnsi="仿宋_GB2312" w:eastAsia="仿宋_GB2312" w:cs="仿宋_GB2312"/>
          <w:sz w:val="32"/>
          <w:szCs w:val="32"/>
        </w:rPr>
        <w:t>5. 加强危险废物智慧监管，强化风险全程管控</w:t>
      </w:r>
      <w:bookmarkEnd w:id="100"/>
      <w:bookmarkEnd w:id="101"/>
    </w:p>
    <w:p>
      <w:pPr>
        <w:pageBreakBefore w:val="0"/>
        <w:widowControl w:val="0"/>
        <w:kinsoku/>
        <w:wordWrap/>
        <w:overflowPunct/>
        <w:topLinePunct w:val="0"/>
        <w:autoSpaceDE/>
        <w:autoSpaceDN/>
        <w:bidi w:val="0"/>
        <w:spacing w:line="600" w:lineRule="exact"/>
        <w:ind w:firstLine="610"/>
        <w:textAlignment w:val="auto"/>
        <w:rPr>
          <w:rFonts w:eastAsia="楷体_GB2312"/>
          <w:b/>
          <w:bCs/>
          <w:sz w:val="32"/>
          <w:szCs w:val="32"/>
        </w:rPr>
      </w:pPr>
      <w:r>
        <w:rPr>
          <w:rFonts w:hint="eastAsia" w:ascii="仿宋_GB2312" w:hAnsi="仿宋_GB2312" w:eastAsia="仿宋_GB2312" w:cs="仿宋_GB2312"/>
          <w:sz w:val="32"/>
          <w:szCs w:val="32"/>
        </w:rPr>
        <w:t>依托省级部门建设的危险废物信息化系统。针对重点园区和企业，充分利用GPS定位系统、可视化系统、电子标签、二维码等，对工业危险废物、医疗废物实行全流程可追溯管控。在重点单位、重点环节和重要节点，应用视频监控实现全过程跟踪管理。与危险货物运输管理系统互联互通和数据共享，实现危险废物转移运输轨迹实时在线监控和联动监管。到2024年底，完成危险废物重点监管单位全过程监管系统建设；到2025年，实现全面应用。</w:t>
      </w:r>
      <w:r>
        <w:rPr>
          <w:rFonts w:eastAsia="楷体_GB2312"/>
          <w:sz w:val="32"/>
          <w:szCs w:val="32"/>
        </w:rPr>
        <w:t>（</w:t>
      </w:r>
      <w:r>
        <w:rPr>
          <w:rFonts w:hint="eastAsia" w:eastAsia="楷体_GB2312"/>
          <w:sz w:val="32"/>
          <w:szCs w:val="32"/>
        </w:rPr>
        <w:t>牵头单位：县</w:t>
      </w:r>
      <w:r>
        <w:rPr>
          <w:rFonts w:eastAsia="楷体_GB2312"/>
          <w:sz w:val="32"/>
          <w:szCs w:val="32"/>
        </w:rPr>
        <w:t>生态环境</w:t>
      </w:r>
      <w:r>
        <w:rPr>
          <w:rFonts w:hint="eastAsia" w:eastAsia="楷体_GB2312"/>
          <w:sz w:val="32"/>
          <w:szCs w:val="32"/>
        </w:rPr>
        <w:t>分</w:t>
      </w:r>
      <w:r>
        <w:rPr>
          <w:rFonts w:eastAsia="楷体_GB2312"/>
          <w:sz w:val="32"/>
          <w:szCs w:val="32"/>
        </w:rPr>
        <w:t>局</w:t>
      </w:r>
      <w:r>
        <w:rPr>
          <w:rFonts w:hint="eastAsia" w:eastAsia="楷体_GB2312"/>
          <w:sz w:val="32"/>
          <w:szCs w:val="32"/>
        </w:rPr>
        <w:t>、县交通运输局、县</w:t>
      </w:r>
      <w:r>
        <w:rPr>
          <w:rFonts w:eastAsia="楷体_GB2312"/>
          <w:sz w:val="32"/>
          <w:szCs w:val="32"/>
        </w:rPr>
        <w:t>卫生健康</w:t>
      </w:r>
      <w:r>
        <w:rPr>
          <w:rFonts w:hint="eastAsia" w:eastAsia="楷体_GB2312"/>
          <w:sz w:val="32"/>
          <w:szCs w:val="32"/>
        </w:rPr>
        <w:t>局</w:t>
      </w:r>
      <w:r>
        <w:rPr>
          <w:rFonts w:eastAsia="楷体_GB2312"/>
          <w:sz w:val="32"/>
          <w:szCs w:val="32"/>
        </w:rPr>
        <w:t>；责任单位：</w:t>
      </w:r>
      <w:r>
        <w:rPr>
          <w:rFonts w:hint="eastAsia" w:eastAsia="楷体_GB2312"/>
          <w:sz w:val="32"/>
          <w:szCs w:val="32"/>
        </w:rPr>
        <w:t>各乡镇、街道</w:t>
      </w:r>
      <w:r>
        <w:rPr>
          <w:rFonts w:eastAsia="楷体_GB2312"/>
          <w:sz w:val="32"/>
          <w:szCs w:val="32"/>
        </w:rPr>
        <w:t>）</w:t>
      </w:r>
    </w:p>
    <w:p>
      <w:pPr>
        <w:pStyle w:val="5"/>
        <w:pageBreakBefore w:val="0"/>
        <w:widowControl w:val="0"/>
        <w:kinsoku/>
        <w:wordWrap/>
        <w:overflowPunct/>
        <w:topLinePunct w:val="0"/>
        <w:autoSpaceDE/>
        <w:autoSpaceDN/>
        <w:bidi w:val="0"/>
        <w:spacing w:line="600" w:lineRule="exact"/>
        <w:ind w:firstLine="610"/>
        <w:textAlignment w:val="auto"/>
        <w:rPr>
          <w:rFonts w:hint="eastAsia" w:ascii="仿宋_GB2312" w:hAnsi="仿宋_GB2312" w:eastAsia="仿宋_GB2312" w:cs="仿宋_GB2312"/>
          <w:sz w:val="32"/>
          <w:szCs w:val="32"/>
        </w:rPr>
      </w:pPr>
      <w:bookmarkStart w:id="102" w:name="_Toc121508299"/>
      <w:bookmarkStart w:id="103" w:name="_Toc116148512"/>
      <w:r>
        <w:rPr>
          <w:rFonts w:hint="eastAsia" w:ascii="仿宋_GB2312" w:hAnsi="仿宋_GB2312" w:eastAsia="仿宋_GB2312" w:cs="仿宋_GB2312"/>
          <w:sz w:val="32"/>
          <w:szCs w:val="32"/>
        </w:rPr>
        <w:t>6. 加强再生资源智慧监管，提升资源利用效能</w:t>
      </w:r>
      <w:bookmarkEnd w:id="102"/>
      <w:bookmarkEnd w:id="103"/>
    </w:p>
    <w:p>
      <w:pPr>
        <w:pageBreakBefore w:val="0"/>
        <w:widowControl w:val="0"/>
        <w:kinsoku/>
        <w:wordWrap/>
        <w:overflowPunct/>
        <w:topLinePunct w:val="0"/>
        <w:autoSpaceDE/>
        <w:autoSpaceDN/>
        <w:bidi w:val="0"/>
        <w:spacing w:line="600" w:lineRule="exact"/>
        <w:ind w:firstLine="610"/>
        <w:textAlignment w:val="auto"/>
        <w:rPr>
          <w:rFonts w:eastAsia="楷体_GB2312"/>
          <w:sz w:val="32"/>
          <w:szCs w:val="32"/>
        </w:rPr>
      </w:pPr>
      <w:r>
        <w:rPr>
          <w:rFonts w:hint="eastAsia" w:ascii="仿宋_GB2312" w:hAnsi="仿宋_GB2312" w:eastAsia="仿宋_GB2312" w:cs="仿宋_GB2312"/>
          <w:sz w:val="32"/>
          <w:szCs w:val="32"/>
        </w:rPr>
        <w:t>构建再生资源“互联网+”回收平台，推动再生资源分拣中心和回收网（站）点依托“互联网+”回收平台进行信息申报，全流程监控，将上游回收主体纳入信息化系统监控范围，加强再生资源数据掌控，提高数据透明度。</w:t>
      </w:r>
      <w:r>
        <w:rPr>
          <w:rFonts w:eastAsia="楷体_GB2312"/>
          <w:sz w:val="32"/>
          <w:szCs w:val="32"/>
        </w:rPr>
        <w:t>（</w:t>
      </w:r>
      <w:r>
        <w:rPr>
          <w:rFonts w:hint="eastAsia" w:eastAsia="楷体_GB2312"/>
          <w:sz w:val="32"/>
          <w:szCs w:val="32"/>
        </w:rPr>
        <w:t>牵头单位：县</w:t>
      </w:r>
      <w:r>
        <w:rPr>
          <w:rFonts w:eastAsia="楷体_GB2312"/>
          <w:sz w:val="32"/>
          <w:szCs w:val="32"/>
        </w:rPr>
        <w:t>商务投资促进局</w:t>
      </w:r>
      <w:r>
        <w:rPr>
          <w:rFonts w:hint="eastAsia" w:eastAsia="楷体_GB2312"/>
          <w:sz w:val="32"/>
          <w:szCs w:val="32"/>
        </w:rPr>
        <w:t>、县综合行政</w:t>
      </w:r>
      <w:r>
        <w:rPr>
          <w:rFonts w:eastAsia="楷体_GB2312"/>
          <w:sz w:val="32"/>
          <w:szCs w:val="32"/>
        </w:rPr>
        <w:t>执法局、市住房城乡建设局；责任单位：</w:t>
      </w:r>
      <w:r>
        <w:rPr>
          <w:rFonts w:hint="eastAsia" w:eastAsia="楷体_GB2312"/>
          <w:sz w:val="32"/>
          <w:szCs w:val="32"/>
        </w:rPr>
        <w:t>各乡镇、街道</w:t>
      </w:r>
      <w:r>
        <w:rPr>
          <w:rFonts w:eastAsia="楷体_GB2312"/>
          <w:sz w:val="32"/>
          <w:szCs w:val="32"/>
        </w:rPr>
        <w:t>）</w:t>
      </w:r>
    </w:p>
    <w:p>
      <w:pPr>
        <w:pStyle w:val="4"/>
        <w:pageBreakBefore w:val="0"/>
        <w:widowControl w:val="0"/>
        <w:kinsoku/>
        <w:wordWrap/>
        <w:overflowPunct/>
        <w:topLinePunct w:val="0"/>
        <w:autoSpaceDE/>
        <w:autoSpaceDN/>
        <w:bidi w:val="0"/>
        <w:spacing w:line="600" w:lineRule="exact"/>
        <w:ind w:firstLine="610"/>
        <w:textAlignment w:val="auto"/>
        <w:rPr>
          <w:rFonts w:ascii="楷体_GB2312"/>
          <w:b/>
          <w:bCs/>
          <w:sz w:val="32"/>
          <w:szCs w:val="32"/>
        </w:rPr>
      </w:pPr>
      <w:bookmarkStart w:id="104" w:name="_Toc116148495"/>
      <w:r>
        <w:rPr>
          <w:rFonts w:hint="eastAsia"/>
          <w:b/>
          <w:bCs/>
          <w:sz w:val="32"/>
          <w:szCs w:val="32"/>
        </w:rPr>
        <w:t>（三）</w:t>
      </w:r>
      <w:r>
        <w:rPr>
          <w:b/>
          <w:bCs/>
          <w:sz w:val="32"/>
          <w:szCs w:val="32"/>
        </w:rPr>
        <w:t>强化数据归集运用，科学评估成效</w:t>
      </w:r>
      <w:bookmarkEnd w:id="104"/>
    </w:p>
    <w:p>
      <w:pPr>
        <w:pageBreakBefore w:val="0"/>
        <w:widowControl w:val="0"/>
        <w:kinsoku/>
        <w:wordWrap/>
        <w:overflowPunct/>
        <w:topLinePunct w:val="0"/>
        <w:autoSpaceDE/>
        <w:autoSpaceDN/>
        <w:bidi w:val="0"/>
        <w:spacing w:line="600" w:lineRule="exact"/>
        <w:ind w:firstLine="610"/>
        <w:textAlignment w:val="auto"/>
        <w:rPr>
          <w:rFonts w:eastAsia="楷体_GB2312"/>
          <w:sz w:val="32"/>
          <w:szCs w:val="32"/>
        </w:rPr>
      </w:pPr>
      <w:r>
        <w:rPr>
          <w:sz w:val="32"/>
          <w:szCs w:val="32"/>
        </w:rPr>
        <w:t>在</w:t>
      </w:r>
      <w:r>
        <w:rPr>
          <w:rFonts w:hint="eastAsia"/>
          <w:sz w:val="32"/>
          <w:szCs w:val="32"/>
        </w:rPr>
        <w:t>一般</w:t>
      </w:r>
      <w:r>
        <w:rPr>
          <w:sz w:val="32"/>
          <w:szCs w:val="32"/>
        </w:rPr>
        <w:t>工业固体废物、农业固体废物、生活垃圾、建筑垃圾、</w:t>
      </w:r>
      <w:r>
        <w:rPr>
          <w:rFonts w:cs="Times New Roman"/>
          <w:sz w:val="32"/>
          <w:szCs w:val="32"/>
        </w:rPr>
        <w:t>危险废物、再生资源等全领域实现电子化申报，形成固体废物产生“一本账”，实现一屏掌控“无废城市”建设成效、各类数据“一口清”，逐步将智慧监管平台和各专项管理信息系统纳入城市运行管理服务平台。</w:t>
      </w:r>
      <w:r>
        <w:rPr>
          <w:rFonts w:eastAsia="楷体_GB2312" w:cs="Times New Roman"/>
          <w:sz w:val="32"/>
          <w:szCs w:val="32"/>
        </w:rPr>
        <w:t>（牵头单位：</w:t>
      </w:r>
      <w:r>
        <w:rPr>
          <w:rFonts w:hint="eastAsia" w:eastAsia="楷体_GB2312" w:cs="Times New Roman"/>
          <w:sz w:val="32"/>
          <w:szCs w:val="32"/>
        </w:rPr>
        <w:t>县</w:t>
      </w:r>
      <w:r>
        <w:rPr>
          <w:rFonts w:eastAsia="楷体_GB2312" w:cs="Times New Roman"/>
          <w:sz w:val="32"/>
          <w:szCs w:val="32"/>
        </w:rPr>
        <w:t>生态环境</w:t>
      </w:r>
      <w:r>
        <w:rPr>
          <w:rFonts w:hint="eastAsia" w:eastAsia="楷体_GB2312" w:cs="Times New Roman"/>
          <w:sz w:val="32"/>
          <w:szCs w:val="32"/>
        </w:rPr>
        <w:t>分</w:t>
      </w:r>
      <w:r>
        <w:rPr>
          <w:rFonts w:eastAsia="楷体_GB2312" w:cs="Times New Roman"/>
          <w:sz w:val="32"/>
          <w:szCs w:val="32"/>
        </w:rPr>
        <w:t>局、</w:t>
      </w:r>
      <w:r>
        <w:rPr>
          <w:rFonts w:hint="eastAsia" w:eastAsia="楷体_GB2312"/>
          <w:sz w:val="32"/>
          <w:szCs w:val="32"/>
        </w:rPr>
        <w:t>县工业和信息化局、县综合行政</w:t>
      </w:r>
      <w:r>
        <w:rPr>
          <w:rFonts w:eastAsia="楷体_GB2312"/>
          <w:sz w:val="32"/>
          <w:szCs w:val="32"/>
        </w:rPr>
        <w:t>执法局、</w:t>
      </w:r>
      <w:r>
        <w:rPr>
          <w:rFonts w:hint="eastAsia" w:eastAsia="楷体_GB2312"/>
          <w:sz w:val="32"/>
          <w:szCs w:val="32"/>
        </w:rPr>
        <w:t>县</w:t>
      </w:r>
      <w:r>
        <w:rPr>
          <w:rFonts w:eastAsia="楷体_GB2312"/>
          <w:sz w:val="32"/>
          <w:szCs w:val="32"/>
        </w:rPr>
        <w:t>住房城乡建设局、</w:t>
      </w:r>
      <w:r>
        <w:rPr>
          <w:rFonts w:hint="eastAsia" w:eastAsia="楷体_GB2312"/>
          <w:sz w:val="32"/>
          <w:szCs w:val="32"/>
        </w:rPr>
        <w:t>县</w:t>
      </w:r>
      <w:r>
        <w:rPr>
          <w:rFonts w:eastAsia="楷体_GB2312"/>
          <w:sz w:val="32"/>
          <w:szCs w:val="32"/>
        </w:rPr>
        <w:t>商务投资促进局、</w:t>
      </w:r>
      <w:r>
        <w:rPr>
          <w:rFonts w:hint="eastAsia" w:eastAsia="楷体_GB2312"/>
          <w:sz w:val="32"/>
          <w:szCs w:val="32"/>
        </w:rPr>
        <w:t>县</w:t>
      </w:r>
      <w:r>
        <w:rPr>
          <w:rFonts w:eastAsia="楷体_GB2312"/>
          <w:sz w:val="32"/>
          <w:szCs w:val="32"/>
        </w:rPr>
        <w:t>农业农村局、</w:t>
      </w:r>
      <w:r>
        <w:rPr>
          <w:rFonts w:hint="eastAsia" w:eastAsia="楷体_GB2312"/>
          <w:sz w:val="32"/>
          <w:szCs w:val="32"/>
        </w:rPr>
        <w:t>县</w:t>
      </w:r>
      <w:r>
        <w:rPr>
          <w:rFonts w:eastAsia="楷体_GB2312"/>
          <w:sz w:val="32"/>
          <w:szCs w:val="32"/>
        </w:rPr>
        <w:t>交通运输局</w:t>
      </w:r>
      <w:r>
        <w:rPr>
          <w:rFonts w:hint="eastAsia" w:eastAsia="楷体_GB2312"/>
          <w:sz w:val="32"/>
          <w:szCs w:val="32"/>
        </w:rPr>
        <w:t>、县大数据中心</w:t>
      </w:r>
      <w:r>
        <w:rPr>
          <w:rFonts w:eastAsia="楷体_GB2312"/>
          <w:sz w:val="32"/>
          <w:szCs w:val="32"/>
        </w:rPr>
        <w:t>；责任单位：</w:t>
      </w:r>
      <w:r>
        <w:rPr>
          <w:rFonts w:hint="eastAsia" w:eastAsia="楷体_GB2312"/>
          <w:sz w:val="32"/>
          <w:szCs w:val="32"/>
        </w:rPr>
        <w:t>各乡镇、街道</w:t>
      </w:r>
      <w:r>
        <w:rPr>
          <w:rFonts w:eastAsia="楷体_GB2312"/>
          <w:sz w:val="32"/>
          <w:szCs w:val="32"/>
        </w:rPr>
        <w:t>）</w:t>
      </w:r>
    </w:p>
    <w:p>
      <w:pPr>
        <w:pStyle w:val="3"/>
        <w:pageBreakBefore w:val="0"/>
        <w:widowControl w:val="0"/>
        <w:kinsoku/>
        <w:wordWrap/>
        <w:overflowPunct/>
        <w:topLinePunct w:val="0"/>
        <w:autoSpaceDE/>
        <w:autoSpaceDN/>
        <w:bidi w:val="0"/>
        <w:spacing w:line="600" w:lineRule="exact"/>
        <w:ind w:firstLine="610"/>
        <w:textAlignment w:val="auto"/>
      </w:pPr>
      <w:bookmarkStart w:id="105" w:name="_Toc121508300"/>
      <w:r>
        <w:rPr>
          <w:rFonts w:hint="eastAsia"/>
        </w:rPr>
        <w:t>五、全场景发力</w:t>
      </w:r>
      <w:r>
        <w:t>，展</w:t>
      </w:r>
      <w:r>
        <w:rPr>
          <w:rFonts w:hint="eastAsia"/>
        </w:rPr>
        <w:t>现冠县</w:t>
      </w:r>
      <w:r>
        <w:t>“无废文化”</w:t>
      </w:r>
      <w:bookmarkEnd w:id="105"/>
    </w:p>
    <w:p>
      <w:pPr>
        <w:pStyle w:val="4"/>
        <w:pageBreakBefore w:val="0"/>
        <w:widowControl w:val="0"/>
        <w:kinsoku/>
        <w:wordWrap/>
        <w:overflowPunct/>
        <w:topLinePunct w:val="0"/>
        <w:autoSpaceDE/>
        <w:autoSpaceDN/>
        <w:bidi w:val="0"/>
        <w:spacing w:line="600" w:lineRule="exact"/>
        <w:ind w:firstLine="610"/>
        <w:textAlignment w:val="auto"/>
        <w:rPr>
          <w:b/>
          <w:bCs/>
        </w:rPr>
      </w:pPr>
      <w:bookmarkStart w:id="106" w:name="_Toc121508301"/>
      <w:r>
        <w:rPr>
          <w:rFonts w:hint="eastAsia"/>
          <w:b/>
          <w:bCs/>
        </w:rPr>
        <w:t>（一）宣传“</w:t>
      </w:r>
      <w:r>
        <w:rPr>
          <w:b/>
          <w:bCs/>
        </w:rPr>
        <w:t>无废</w:t>
      </w:r>
      <w:r>
        <w:rPr>
          <w:rFonts w:hint="eastAsia"/>
          <w:b/>
          <w:bCs/>
        </w:rPr>
        <w:t>”</w:t>
      </w:r>
      <w:r>
        <w:rPr>
          <w:b/>
          <w:bCs/>
        </w:rPr>
        <w:t>理念</w:t>
      </w:r>
      <w:bookmarkEnd w:id="106"/>
      <w:r>
        <w:rPr>
          <w:b/>
          <w:bCs/>
        </w:rPr>
        <w:t>，</w:t>
      </w:r>
      <w:r>
        <w:rPr>
          <w:rFonts w:hint="eastAsia"/>
          <w:b/>
          <w:bCs/>
        </w:rPr>
        <w:t>提升知晓度</w:t>
      </w:r>
    </w:p>
    <w:p>
      <w:pPr>
        <w:pageBreakBefore w:val="0"/>
        <w:widowControl w:val="0"/>
        <w:kinsoku/>
        <w:wordWrap/>
        <w:overflowPunct/>
        <w:topLinePunct w:val="0"/>
        <w:autoSpaceDE/>
        <w:autoSpaceDN/>
        <w:bidi w:val="0"/>
        <w:spacing w:line="600" w:lineRule="exact"/>
        <w:ind w:firstLine="610"/>
        <w:textAlignment w:val="auto"/>
      </w:pPr>
      <w:r>
        <w:t>制定</w:t>
      </w:r>
      <w:r>
        <w:rPr>
          <w:rFonts w:cs="Times New Roman"/>
        </w:rPr>
        <w:t>年度“无废城市”建设宣传计划，开展形式多样、内容丰富的宣传活动。依托主流媒体和平台，开设“无废城市”建设宣传专栏，定期公布“无废城市”建设情况。通过视频、动漫等形式，宣传“无废城市”建设理念。</w:t>
      </w:r>
      <w:r>
        <w:rPr>
          <w:rFonts w:eastAsia="楷体_GB2312"/>
          <w:color w:val="000000" w:themeColor="text1"/>
          <w:kern w:val="0"/>
          <w14:textFill>
            <w14:solidFill>
              <w14:schemeClr w14:val="tx1"/>
            </w14:solidFill>
          </w14:textFill>
        </w:rPr>
        <w:t>（</w:t>
      </w:r>
      <w:r>
        <w:rPr>
          <w:rFonts w:eastAsia="楷体_GB2312"/>
          <w:color w:val="000000" w:themeColor="text1"/>
          <w:kern w:val="0"/>
          <w:sz w:val="31"/>
          <w:szCs w:val="31"/>
          <w14:textFill>
            <w14:solidFill>
              <w14:schemeClr w14:val="tx1"/>
            </w14:solidFill>
          </w14:textFill>
        </w:rPr>
        <w:t>牵头单位：</w:t>
      </w:r>
      <w:r>
        <w:rPr>
          <w:rFonts w:hint="eastAsia" w:eastAsia="楷体_GB2312"/>
          <w:color w:val="000000" w:themeColor="text1"/>
          <w:kern w:val="0"/>
          <w:sz w:val="31"/>
          <w:szCs w:val="31"/>
          <w14:textFill>
            <w14:solidFill>
              <w14:schemeClr w14:val="tx1"/>
            </w14:solidFill>
          </w14:textFill>
        </w:rPr>
        <w:t>县委宣传部、县生态环境分局</w:t>
      </w:r>
      <w:r>
        <w:rPr>
          <w:rFonts w:eastAsia="楷体_GB2312"/>
          <w:color w:val="000000" w:themeColor="text1"/>
          <w:kern w:val="0"/>
          <w:sz w:val="31"/>
          <w:szCs w:val="31"/>
          <w14:textFill>
            <w14:solidFill>
              <w14:schemeClr w14:val="tx1"/>
            </w14:solidFill>
          </w14:textFill>
        </w:rPr>
        <w:t>；责任单位：</w:t>
      </w:r>
      <w:r>
        <w:rPr>
          <w:rFonts w:hint="eastAsia" w:eastAsia="楷体_GB2312"/>
        </w:rPr>
        <w:t>县综合行政</w:t>
      </w:r>
      <w:r>
        <w:rPr>
          <w:rFonts w:eastAsia="楷体_GB2312"/>
        </w:rPr>
        <w:t>执法局</w:t>
      </w:r>
      <w:r>
        <w:rPr>
          <w:rFonts w:eastAsia="楷体_GB2312"/>
          <w:szCs w:val="24"/>
        </w:rPr>
        <w:t>、</w:t>
      </w:r>
      <w:r>
        <w:rPr>
          <w:rFonts w:hint="eastAsia" w:eastAsia="楷体_GB2312"/>
          <w:color w:val="000000" w:themeColor="text1"/>
          <w:kern w:val="0"/>
          <w:sz w:val="31"/>
          <w:szCs w:val="31"/>
          <w14:textFill>
            <w14:solidFill>
              <w14:schemeClr w14:val="tx1"/>
            </w14:solidFill>
          </w14:textFill>
        </w:rPr>
        <w:t>县发展和改革局、县教育体育局、县住房城乡建设局、县农业农村局、</w:t>
      </w:r>
      <w:r>
        <w:rPr>
          <w:rFonts w:hint="eastAsia" w:eastAsia="楷体_GB2312"/>
          <w:sz w:val="31"/>
          <w:szCs w:val="31"/>
        </w:rPr>
        <w:t>县工业和信息化局、</w:t>
      </w:r>
      <w:r>
        <w:rPr>
          <w:rFonts w:hint="eastAsia" w:eastAsia="楷体_GB2312"/>
          <w:color w:val="000000" w:themeColor="text1"/>
          <w:kern w:val="0"/>
          <w:sz w:val="31"/>
          <w:szCs w:val="31"/>
          <w14:textFill>
            <w14:solidFill>
              <w14:schemeClr w14:val="tx1"/>
            </w14:solidFill>
          </w14:textFill>
        </w:rPr>
        <w:t>县商务投资促进局、县文化和旅游局、县卫生健康局</w:t>
      </w:r>
      <w:r>
        <w:rPr>
          <w:rFonts w:hint="eastAsia" w:eastAsia="楷体_GB2312"/>
          <w:sz w:val="31"/>
          <w:szCs w:val="31"/>
        </w:rPr>
        <w:t>，各乡镇、</w:t>
      </w:r>
      <w:r>
        <w:rPr>
          <w:rFonts w:eastAsia="楷体_GB2312"/>
          <w:sz w:val="31"/>
          <w:szCs w:val="31"/>
        </w:rPr>
        <w:t>街道</w:t>
      </w:r>
      <w:r>
        <w:rPr>
          <w:rFonts w:eastAsia="楷体_GB2312"/>
          <w:color w:val="000000" w:themeColor="text1"/>
          <w:kern w:val="0"/>
          <w14:textFill>
            <w14:solidFill>
              <w14:schemeClr w14:val="tx1"/>
            </w14:solidFill>
          </w14:textFill>
        </w:rPr>
        <w:t>）</w:t>
      </w:r>
    </w:p>
    <w:p>
      <w:pPr>
        <w:pageBreakBefore w:val="0"/>
        <w:widowControl w:val="0"/>
        <w:kinsoku/>
        <w:wordWrap/>
        <w:overflowPunct/>
        <w:topLinePunct w:val="0"/>
        <w:autoSpaceDE/>
        <w:autoSpaceDN/>
        <w:bidi w:val="0"/>
        <w:spacing w:line="600" w:lineRule="exact"/>
        <w:ind w:firstLine="610"/>
        <w:textAlignment w:val="auto"/>
        <w:rPr>
          <w:rFonts w:eastAsia="楷体_GB2312"/>
          <w:color w:val="000000" w:themeColor="text1"/>
          <w:kern w:val="0"/>
          <w14:textFill>
            <w14:solidFill>
              <w14:schemeClr w14:val="tx1"/>
            </w14:solidFill>
          </w14:textFill>
        </w:rPr>
      </w:pPr>
      <w:r>
        <w:rPr>
          <w:rFonts w:cs="Times New Roman"/>
        </w:rPr>
        <w:t>利用“报、网、端、微、抖”等媒体，推动“无废城市”进社</w:t>
      </w:r>
      <w:r>
        <w:rPr>
          <w:rFonts w:hint="eastAsia"/>
        </w:rPr>
        <w:t>区</w:t>
      </w:r>
      <w:r>
        <w:t>、进机关、进校园、进企业等</w:t>
      </w:r>
      <w:r>
        <w:rPr>
          <w:rFonts w:hint="eastAsia"/>
        </w:rPr>
        <w:t>，</w:t>
      </w:r>
      <w:r>
        <w:t>组织</w:t>
      </w:r>
      <w:r>
        <w:rPr>
          <w:rFonts w:hint="eastAsia"/>
        </w:rPr>
        <w:t>系列活动，</w:t>
      </w:r>
      <w:r>
        <w:t>开展</w:t>
      </w:r>
      <w:r>
        <w:rPr>
          <w:rFonts w:hint="eastAsia"/>
        </w:rPr>
        <w:t>宣传教育</w:t>
      </w:r>
      <w:r>
        <w:t>，营造良好舆论氛围。</w:t>
      </w:r>
      <w:r>
        <w:rPr>
          <w:rFonts w:eastAsia="楷体_GB2312"/>
          <w:color w:val="000000" w:themeColor="text1"/>
          <w:kern w:val="0"/>
          <w14:textFill>
            <w14:solidFill>
              <w14:schemeClr w14:val="tx1"/>
            </w14:solidFill>
          </w14:textFill>
        </w:rPr>
        <w:t>（</w:t>
      </w:r>
      <w:r>
        <w:rPr>
          <w:rFonts w:hint="eastAsia" w:eastAsia="楷体_GB2312"/>
          <w:color w:val="000000" w:themeColor="text1"/>
          <w:kern w:val="0"/>
          <w14:textFill>
            <w14:solidFill>
              <w14:schemeClr w14:val="tx1"/>
            </w14:solidFill>
          </w14:textFill>
        </w:rPr>
        <w:t>牵头单位：县生态环境分局</w:t>
      </w:r>
      <w:bookmarkStart w:id="107" w:name="_Hlk118272107"/>
      <w:r>
        <w:rPr>
          <w:rFonts w:hint="eastAsia" w:eastAsia="楷体_GB2312"/>
          <w:color w:val="000000" w:themeColor="text1"/>
          <w:kern w:val="0"/>
          <w14:textFill>
            <w14:solidFill>
              <w14:schemeClr w14:val="tx1"/>
            </w14:solidFill>
          </w14:textFill>
        </w:rPr>
        <w:t>、</w:t>
      </w:r>
      <w:r>
        <w:rPr>
          <w:rFonts w:hint="eastAsia" w:eastAsia="楷体_GB2312"/>
        </w:rPr>
        <w:t>县综合行政</w:t>
      </w:r>
      <w:r>
        <w:rPr>
          <w:rFonts w:eastAsia="楷体_GB2312"/>
        </w:rPr>
        <w:t>执法局</w:t>
      </w:r>
      <w:r>
        <w:rPr>
          <w:rFonts w:eastAsia="楷体_GB2312"/>
          <w:szCs w:val="24"/>
        </w:rPr>
        <w:t>、</w:t>
      </w:r>
      <w:r>
        <w:rPr>
          <w:rFonts w:hint="eastAsia" w:eastAsia="楷体_GB2312"/>
          <w:color w:val="000000" w:themeColor="text1"/>
          <w:kern w:val="0"/>
          <w:sz w:val="31"/>
          <w:szCs w:val="31"/>
          <w14:textFill>
            <w14:solidFill>
              <w14:schemeClr w14:val="tx1"/>
            </w14:solidFill>
          </w14:textFill>
        </w:rPr>
        <w:t>县发展和改革局、</w:t>
      </w:r>
      <w:r>
        <w:rPr>
          <w:rFonts w:hint="eastAsia" w:eastAsia="楷体_GB2312"/>
          <w:color w:val="000000" w:themeColor="text1"/>
          <w:kern w:val="0"/>
          <w14:textFill>
            <w14:solidFill>
              <w14:schemeClr w14:val="tx1"/>
            </w14:solidFill>
          </w14:textFill>
        </w:rPr>
        <w:t>县教育体育局、县住房城乡建设局、县农业农村局、</w:t>
      </w:r>
      <w:r>
        <w:rPr>
          <w:rFonts w:hint="eastAsia" w:eastAsia="楷体_GB2312"/>
        </w:rPr>
        <w:t>县工业和信息化局、</w:t>
      </w:r>
      <w:r>
        <w:rPr>
          <w:rFonts w:hint="eastAsia" w:eastAsia="楷体_GB2312"/>
          <w:color w:val="000000" w:themeColor="text1"/>
          <w:kern w:val="0"/>
          <w14:textFill>
            <w14:solidFill>
              <w14:schemeClr w14:val="tx1"/>
            </w14:solidFill>
          </w14:textFill>
        </w:rPr>
        <w:t>县商务投资促进局、县文化和旅游局、</w:t>
      </w:r>
      <w:r>
        <w:rPr>
          <w:rFonts w:hint="eastAsia" w:eastAsia="楷体_GB2312"/>
          <w:color w:val="000000" w:themeColor="text1"/>
          <w:kern w:val="0"/>
          <w:sz w:val="31"/>
          <w:szCs w:val="31"/>
          <w14:textFill>
            <w14:solidFill>
              <w14:schemeClr w14:val="tx1"/>
            </w14:solidFill>
          </w14:textFill>
        </w:rPr>
        <w:t>县卫生健康局</w:t>
      </w:r>
      <w:r>
        <w:rPr>
          <w:rFonts w:hint="eastAsia" w:eastAsia="楷体_GB2312"/>
          <w:color w:val="000000" w:themeColor="text1"/>
          <w:kern w:val="0"/>
          <w14:textFill>
            <w14:solidFill>
              <w14:schemeClr w14:val="tx1"/>
            </w14:solidFill>
          </w14:textFill>
        </w:rPr>
        <w:t>；责任单位：</w:t>
      </w:r>
      <w:bookmarkEnd w:id="107"/>
      <w:r>
        <w:rPr>
          <w:rFonts w:hint="eastAsia" w:eastAsia="楷体_GB2312"/>
          <w:sz w:val="31"/>
          <w:szCs w:val="31"/>
        </w:rPr>
        <w:t>各乡镇、</w:t>
      </w:r>
      <w:r>
        <w:rPr>
          <w:rFonts w:eastAsia="楷体_GB2312"/>
          <w:sz w:val="31"/>
          <w:szCs w:val="31"/>
        </w:rPr>
        <w:t>街道</w:t>
      </w:r>
      <w:r>
        <w:rPr>
          <w:rFonts w:eastAsia="楷体_GB2312"/>
          <w:color w:val="000000" w:themeColor="text1"/>
          <w:kern w:val="0"/>
          <w14:textFill>
            <w14:solidFill>
              <w14:schemeClr w14:val="tx1"/>
            </w14:solidFill>
          </w14:textFill>
        </w:rPr>
        <w:t>）</w:t>
      </w:r>
    </w:p>
    <w:p>
      <w:pPr>
        <w:pageBreakBefore w:val="0"/>
        <w:widowControl w:val="0"/>
        <w:kinsoku/>
        <w:wordWrap/>
        <w:overflowPunct/>
        <w:topLinePunct w:val="0"/>
        <w:autoSpaceDE/>
        <w:autoSpaceDN/>
        <w:bidi w:val="0"/>
        <w:spacing w:line="600" w:lineRule="exact"/>
        <w:ind w:firstLine="610"/>
        <w:textAlignment w:val="auto"/>
        <w:rPr>
          <w:rFonts w:eastAsia="楷体_GB2312"/>
          <w:color w:val="000000" w:themeColor="text1"/>
          <w:kern w:val="0"/>
          <w14:textFill>
            <w14:solidFill>
              <w14:schemeClr w14:val="tx1"/>
            </w14:solidFill>
          </w14:textFill>
        </w:rPr>
      </w:pPr>
      <w:r>
        <w:rPr>
          <w:rFonts w:cs="Times New Roman"/>
        </w:rPr>
        <w:t>建立“无废城市”宣传科普基地，提升公众对“无废城市”建设的认知度。积极推进城市固体废物利用处</w:t>
      </w:r>
      <w:r>
        <w:rPr>
          <w:rFonts w:hint="eastAsia"/>
        </w:rPr>
        <w:t>置基础设施向公众开放。</w:t>
      </w:r>
      <w:r>
        <w:rPr>
          <w:rFonts w:eastAsia="楷体_GB2312"/>
          <w:szCs w:val="24"/>
        </w:rPr>
        <w:t>（</w:t>
      </w:r>
      <w:r>
        <w:rPr>
          <w:rFonts w:hint="eastAsia" w:eastAsia="楷体_GB2312"/>
          <w:szCs w:val="24"/>
        </w:rPr>
        <w:t>牵头单位：</w:t>
      </w:r>
      <w:r>
        <w:rPr>
          <w:rFonts w:hint="eastAsia" w:eastAsia="楷体_GB2312"/>
          <w:color w:val="000000" w:themeColor="text1"/>
          <w:kern w:val="0"/>
          <w14:textFill>
            <w14:solidFill>
              <w14:schemeClr w14:val="tx1"/>
            </w14:solidFill>
          </w14:textFill>
        </w:rPr>
        <w:t>县</w:t>
      </w:r>
      <w:r>
        <w:rPr>
          <w:rFonts w:eastAsia="楷体_GB2312"/>
          <w:color w:val="000000" w:themeColor="text1"/>
          <w:kern w:val="0"/>
          <w14:textFill>
            <w14:solidFill>
              <w14:schemeClr w14:val="tx1"/>
            </w14:solidFill>
          </w14:textFill>
        </w:rPr>
        <w:t>文化和旅游局、</w:t>
      </w:r>
      <w:r>
        <w:rPr>
          <w:rFonts w:hint="eastAsia" w:eastAsia="楷体_GB2312"/>
          <w:color w:val="000000" w:themeColor="text1"/>
          <w:kern w:val="0"/>
          <w14:textFill>
            <w14:solidFill>
              <w14:schemeClr w14:val="tx1"/>
            </w14:solidFill>
          </w14:textFill>
        </w:rPr>
        <w:t>县</w:t>
      </w:r>
      <w:r>
        <w:rPr>
          <w:rFonts w:eastAsia="楷体_GB2312"/>
          <w:color w:val="000000" w:themeColor="text1"/>
          <w:kern w:val="0"/>
          <w14:textFill>
            <w14:solidFill>
              <w14:schemeClr w14:val="tx1"/>
            </w14:solidFill>
          </w14:textFill>
        </w:rPr>
        <w:t>商务投资促进局、</w:t>
      </w:r>
      <w:r>
        <w:rPr>
          <w:rFonts w:hint="eastAsia" w:eastAsia="楷体_GB2312"/>
          <w:color w:val="000000" w:themeColor="text1"/>
          <w:kern w:val="0"/>
          <w14:textFill>
            <w14:solidFill>
              <w14:schemeClr w14:val="tx1"/>
            </w14:solidFill>
          </w14:textFill>
        </w:rPr>
        <w:t>县</w:t>
      </w:r>
      <w:r>
        <w:rPr>
          <w:rFonts w:eastAsia="楷体_GB2312"/>
          <w:color w:val="000000" w:themeColor="text1"/>
          <w:kern w:val="0"/>
          <w14:textFill>
            <w14:solidFill>
              <w14:schemeClr w14:val="tx1"/>
            </w14:solidFill>
          </w14:textFill>
        </w:rPr>
        <w:t>工业和信息化局、</w:t>
      </w:r>
      <w:r>
        <w:rPr>
          <w:rFonts w:hint="eastAsia" w:eastAsia="楷体_GB2312"/>
          <w:color w:val="000000" w:themeColor="text1"/>
          <w:kern w:val="0"/>
          <w14:textFill>
            <w14:solidFill>
              <w14:schemeClr w14:val="tx1"/>
            </w14:solidFill>
          </w14:textFill>
        </w:rPr>
        <w:t>县</w:t>
      </w:r>
      <w:r>
        <w:rPr>
          <w:rFonts w:eastAsia="楷体_GB2312"/>
          <w:color w:val="000000" w:themeColor="text1"/>
          <w:kern w:val="0"/>
          <w14:textFill>
            <w14:solidFill>
              <w14:schemeClr w14:val="tx1"/>
            </w14:solidFill>
          </w14:textFill>
        </w:rPr>
        <w:t>生态环境</w:t>
      </w:r>
      <w:r>
        <w:rPr>
          <w:rFonts w:hint="eastAsia" w:eastAsia="楷体_GB2312"/>
          <w:color w:val="000000" w:themeColor="text1"/>
          <w:kern w:val="0"/>
          <w14:textFill>
            <w14:solidFill>
              <w14:schemeClr w14:val="tx1"/>
            </w14:solidFill>
          </w14:textFill>
        </w:rPr>
        <w:t>分</w:t>
      </w:r>
      <w:r>
        <w:rPr>
          <w:rFonts w:eastAsia="楷体_GB2312"/>
          <w:color w:val="000000" w:themeColor="text1"/>
          <w:kern w:val="0"/>
          <w14:textFill>
            <w14:solidFill>
              <w14:schemeClr w14:val="tx1"/>
            </w14:solidFill>
          </w14:textFill>
        </w:rPr>
        <w:t>局</w:t>
      </w:r>
      <w:r>
        <w:rPr>
          <w:rFonts w:hint="eastAsia" w:eastAsia="楷体_GB2312"/>
          <w:color w:val="000000" w:themeColor="text1"/>
          <w:kern w:val="0"/>
          <w14:textFill>
            <w14:solidFill>
              <w14:schemeClr w14:val="tx1"/>
            </w14:solidFill>
          </w14:textFill>
        </w:rPr>
        <w:t>；责任单位：</w:t>
      </w:r>
      <w:r>
        <w:rPr>
          <w:rFonts w:hint="eastAsia" w:eastAsia="楷体_GB2312"/>
        </w:rPr>
        <w:t>各乡镇、</w:t>
      </w:r>
      <w:r>
        <w:rPr>
          <w:rFonts w:eastAsia="楷体_GB2312"/>
        </w:rPr>
        <w:t>街道</w:t>
      </w:r>
      <w:r>
        <w:rPr>
          <w:rFonts w:eastAsia="楷体_GB2312"/>
          <w:color w:val="000000" w:themeColor="text1"/>
          <w:kern w:val="0"/>
          <w14:textFill>
            <w14:solidFill>
              <w14:schemeClr w14:val="tx1"/>
            </w14:solidFill>
          </w14:textFill>
        </w:rPr>
        <w:t>）</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108" w:name="_Toc121508305"/>
      <w:r>
        <w:rPr>
          <w:rFonts w:hint="eastAsia"/>
          <w:b/>
          <w:bCs/>
        </w:rPr>
        <w:t>（二）创建“</w:t>
      </w:r>
      <w:r>
        <w:rPr>
          <w:b/>
          <w:bCs/>
        </w:rPr>
        <w:t>无废细胞</w:t>
      </w:r>
      <w:r>
        <w:rPr>
          <w:rFonts w:hint="eastAsia"/>
          <w:b/>
          <w:bCs/>
        </w:rPr>
        <w:t>”</w:t>
      </w:r>
      <w:bookmarkEnd w:id="108"/>
      <w:r>
        <w:rPr>
          <w:rFonts w:hint="eastAsia"/>
          <w:b/>
          <w:bCs/>
        </w:rPr>
        <w:t>，提升参与度</w:t>
      </w:r>
    </w:p>
    <w:p>
      <w:pPr>
        <w:pageBreakBefore w:val="0"/>
        <w:widowControl w:val="0"/>
        <w:kinsoku/>
        <w:wordWrap/>
        <w:overflowPunct/>
        <w:topLinePunct w:val="0"/>
        <w:autoSpaceDE/>
        <w:autoSpaceDN/>
        <w:bidi w:val="0"/>
        <w:spacing w:line="600" w:lineRule="exact"/>
        <w:ind w:firstLine="610"/>
        <w:textAlignment w:val="auto"/>
      </w:pPr>
      <w:bookmarkStart w:id="109" w:name="_Toc121508306"/>
      <w:r>
        <w:t>结合</w:t>
      </w:r>
      <w:r>
        <w:rPr>
          <w:rFonts w:hint="eastAsia"/>
        </w:rPr>
        <w:t>绿色生活创建活动</w:t>
      </w:r>
      <w:r>
        <w:t>，</w:t>
      </w:r>
      <w:r>
        <w:rPr>
          <w:rFonts w:cs="Times New Roman"/>
        </w:rPr>
        <w:t>打造“无废社</w:t>
      </w:r>
      <w:r>
        <w:rPr>
          <w:rFonts w:hint="eastAsia" w:cs="Times New Roman"/>
        </w:rPr>
        <w:t>区</w:t>
      </w:r>
      <w:r>
        <w:rPr>
          <w:rFonts w:cs="Times New Roman"/>
        </w:rPr>
        <w:t>”“无废学校”“无废景</w:t>
      </w:r>
      <w:r>
        <w:rPr>
          <w:rFonts w:hint="eastAsia" w:cs="Times New Roman"/>
        </w:rPr>
        <w:t>区</w:t>
      </w:r>
      <w:r>
        <w:rPr>
          <w:rFonts w:cs="Times New Roman"/>
        </w:rPr>
        <w:t>”“无废集团”等多场景的“无废细胞”。定期发布宣传视频、专栏文章等，展示“无废细胞”创建优秀样板、成</w:t>
      </w:r>
      <w:r>
        <w:t>果成效，扩</w:t>
      </w:r>
      <w:r>
        <w:rPr>
          <w:rFonts w:cs="Times New Roman"/>
        </w:rPr>
        <w:t>大“无废”理念传播范围。培养居民共享共建意识，全面提升公众参与度</w:t>
      </w:r>
      <w:r>
        <w:rPr>
          <w:rFonts w:hint="eastAsia"/>
        </w:rPr>
        <w:t>。</w:t>
      </w:r>
      <w:bookmarkEnd w:id="109"/>
    </w:p>
    <w:p>
      <w:pPr>
        <w:pageBreakBefore w:val="0"/>
        <w:widowControl w:val="0"/>
        <w:kinsoku/>
        <w:wordWrap/>
        <w:overflowPunct/>
        <w:topLinePunct w:val="0"/>
        <w:autoSpaceDE/>
        <w:autoSpaceDN/>
        <w:bidi w:val="0"/>
        <w:spacing w:line="600" w:lineRule="exact"/>
        <w:ind w:firstLine="610"/>
        <w:textAlignment w:val="auto"/>
        <w:rPr>
          <w:rFonts w:eastAsia="楷体_GB2312"/>
          <w:color w:val="000000" w:themeColor="text1"/>
          <w:kern w:val="0"/>
          <w:szCs w:val="28"/>
          <w14:textFill>
            <w14:solidFill>
              <w14:schemeClr w14:val="tx1"/>
            </w14:solidFill>
          </w14:textFill>
        </w:rPr>
      </w:pPr>
      <w:r>
        <w:t>培育绿色消费市场，促进</w:t>
      </w:r>
      <w:r>
        <w:rPr>
          <w:rFonts w:hint="eastAsia"/>
        </w:rPr>
        <w:t>绿色交通、绿色用品</w:t>
      </w:r>
      <w:r>
        <w:t>消费</w:t>
      </w:r>
      <w:r>
        <w:rPr>
          <w:rFonts w:hint="eastAsia"/>
        </w:rPr>
        <w:t>以及文旅领域的绿色消费</w:t>
      </w:r>
      <w:r>
        <w:t>。在餐饮服务场所设置节俭消费标识，提示消费者适量点餐，积极践行</w:t>
      </w:r>
      <w:r>
        <w:rPr>
          <w:rFonts w:cs="Times New Roman"/>
        </w:rPr>
        <w:t>“光盘行动”</w:t>
      </w:r>
      <w:r>
        <w:t>。鼓励宾馆、饭店、景</w:t>
      </w:r>
      <w:r>
        <w:rPr>
          <w:rFonts w:hint="eastAsia"/>
        </w:rPr>
        <w:t>区</w:t>
      </w:r>
      <w:r>
        <w:t>推出绿色消费措施</w:t>
      </w:r>
      <w:r>
        <w:rPr>
          <w:rFonts w:hint="eastAsia"/>
        </w:rPr>
        <w:t>，引导群众自觉践</w:t>
      </w:r>
      <w:r>
        <w:rPr>
          <w:rFonts w:cs="Times New Roman"/>
        </w:rPr>
        <w:t>行“无废”理念</w:t>
      </w:r>
      <w:r>
        <w:t>。</w:t>
      </w:r>
      <w:r>
        <w:rPr>
          <w:rFonts w:eastAsia="楷体_GB2312"/>
          <w:color w:val="000000" w:themeColor="text1"/>
          <w:kern w:val="0"/>
          <w14:textFill>
            <w14:solidFill>
              <w14:schemeClr w14:val="tx1"/>
            </w14:solidFill>
          </w14:textFill>
        </w:rPr>
        <w:t>（</w:t>
      </w:r>
      <w:r>
        <w:rPr>
          <w:rFonts w:hint="eastAsia" w:eastAsia="楷体_GB2312"/>
          <w:color w:val="000000" w:themeColor="text1"/>
          <w:kern w:val="0"/>
          <w14:textFill>
            <w14:solidFill>
              <w14:schemeClr w14:val="tx1"/>
            </w14:solidFill>
          </w14:textFill>
        </w:rPr>
        <w:t>牵头单位：县生态环境分局、</w:t>
      </w:r>
      <w:r>
        <w:rPr>
          <w:rFonts w:hint="eastAsia" w:eastAsia="楷体_GB2312"/>
        </w:rPr>
        <w:t>县综合行政</w:t>
      </w:r>
      <w:r>
        <w:rPr>
          <w:rFonts w:eastAsia="楷体_GB2312"/>
        </w:rPr>
        <w:t>执法局</w:t>
      </w:r>
      <w:r>
        <w:rPr>
          <w:rFonts w:eastAsia="楷体_GB2312"/>
          <w:szCs w:val="24"/>
        </w:rPr>
        <w:t>、</w:t>
      </w:r>
      <w:r>
        <w:rPr>
          <w:rFonts w:hint="eastAsia" w:eastAsia="楷体_GB2312"/>
          <w:color w:val="000000" w:themeColor="text1"/>
          <w:kern w:val="0"/>
          <w:sz w:val="31"/>
          <w:szCs w:val="31"/>
          <w14:textFill>
            <w14:solidFill>
              <w14:schemeClr w14:val="tx1"/>
            </w14:solidFill>
          </w14:textFill>
        </w:rPr>
        <w:t>县发展和改革局、</w:t>
      </w:r>
      <w:r>
        <w:rPr>
          <w:rFonts w:hint="eastAsia" w:eastAsia="楷体_GB2312"/>
          <w:color w:val="000000" w:themeColor="text1"/>
          <w:kern w:val="0"/>
          <w14:textFill>
            <w14:solidFill>
              <w14:schemeClr w14:val="tx1"/>
            </w14:solidFill>
          </w14:textFill>
        </w:rPr>
        <w:t>县教育体育局、县住房城乡建设局、县市场监管局、县农业农村局、</w:t>
      </w:r>
      <w:r>
        <w:rPr>
          <w:rFonts w:hint="eastAsia" w:eastAsia="楷体_GB2312"/>
        </w:rPr>
        <w:t>县工业和信息化局、</w:t>
      </w:r>
      <w:r>
        <w:rPr>
          <w:rFonts w:hint="eastAsia" w:eastAsia="楷体_GB2312"/>
          <w:color w:val="000000" w:themeColor="text1"/>
          <w:kern w:val="0"/>
          <w14:textFill>
            <w14:solidFill>
              <w14:schemeClr w14:val="tx1"/>
            </w14:solidFill>
          </w14:textFill>
        </w:rPr>
        <w:t>县商务投资促进局、县文化和旅游局、县卫生健康局、县交通运输局；责任单位：</w:t>
      </w:r>
      <w:r>
        <w:rPr>
          <w:rFonts w:hint="eastAsia" w:eastAsia="楷体_GB2312"/>
        </w:rPr>
        <w:t>各乡镇、</w:t>
      </w:r>
      <w:r>
        <w:rPr>
          <w:rFonts w:eastAsia="楷体_GB2312"/>
        </w:rPr>
        <w:t>街道</w:t>
      </w:r>
      <w:r>
        <w:rPr>
          <w:rFonts w:eastAsia="楷体_GB2312"/>
          <w:color w:val="000000" w:themeColor="text1"/>
          <w:kern w:val="0"/>
          <w14:textFill>
            <w14:solidFill>
              <w14:schemeClr w14:val="tx1"/>
            </w14:solidFill>
          </w14:textFill>
        </w:rPr>
        <w:t>）</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110" w:name="_Toc121508314"/>
      <w:r>
        <w:rPr>
          <w:rFonts w:hint="eastAsia"/>
          <w:b/>
          <w:bCs/>
        </w:rPr>
        <w:t>（三）</w:t>
      </w:r>
      <w:r>
        <w:rPr>
          <w:b/>
          <w:bCs/>
        </w:rPr>
        <w:t>推进信息公开，</w:t>
      </w:r>
      <w:r>
        <w:rPr>
          <w:rFonts w:hint="eastAsia"/>
          <w:b/>
          <w:bCs/>
        </w:rPr>
        <w:t>提升满意度</w:t>
      </w:r>
      <w:bookmarkEnd w:id="110"/>
    </w:p>
    <w:p>
      <w:pPr>
        <w:pageBreakBefore w:val="0"/>
        <w:widowControl w:val="0"/>
        <w:kinsoku/>
        <w:wordWrap/>
        <w:overflowPunct/>
        <w:topLinePunct w:val="0"/>
        <w:autoSpaceDE/>
        <w:autoSpaceDN/>
        <w:bidi w:val="0"/>
        <w:spacing w:line="600" w:lineRule="exact"/>
        <w:ind w:firstLine="610"/>
        <w:textAlignment w:val="auto"/>
        <w:rPr>
          <w:sz w:val="32"/>
          <w:szCs w:val="32"/>
        </w:rPr>
      </w:pPr>
      <w:r>
        <w:t>建</w:t>
      </w:r>
      <w:r>
        <w:rPr>
          <w:rFonts w:cs="Times New Roman"/>
        </w:rPr>
        <w:t>立“无废城市”信息公开宣传机制，在政府网站开设信息公开专栏，向社会公示“无废城市”建设相</w:t>
      </w:r>
      <w:r>
        <w:t>关政策、</w:t>
      </w:r>
      <w:r>
        <w:rPr>
          <w:rFonts w:hint="eastAsia"/>
        </w:rPr>
        <w:t>“</w:t>
      </w:r>
      <w:r>
        <w:t>无废细胞</w:t>
      </w:r>
      <w:r>
        <w:rPr>
          <w:rFonts w:hint="eastAsia"/>
        </w:rPr>
        <w:t>”</w:t>
      </w:r>
      <w:r>
        <w:t>创建情况等</w:t>
      </w:r>
      <w:r>
        <w:rPr>
          <w:rFonts w:hint="eastAsia"/>
        </w:rPr>
        <w:t>，</w:t>
      </w:r>
      <w:r>
        <w:t>做到管理公开、数据可视。</w:t>
      </w:r>
      <w:r>
        <w:rPr>
          <w:rFonts w:eastAsia="楷体_GB2312"/>
          <w:color w:val="000000" w:themeColor="text1"/>
          <w:kern w:val="0"/>
          <w14:textFill>
            <w14:solidFill>
              <w14:schemeClr w14:val="tx1"/>
            </w14:solidFill>
          </w14:textFill>
        </w:rPr>
        <w:t>（</w:t>
      </w:r>
      <w:r>
        <w:rPr>
          <w:rFonts w:hint="eastAsia" w:eastAsia="楷体_GB2312"/>
          <w:color w:val="000000" w:themeColor="text1"/>
          <w:kern w:val="0"/>
          <w14:textFill>
            <w14:solidFill>
              <w14:schemeClr w14:val="tx1"/>
            </w14:solidFill>
          </w14:textFill>
        </w:rPr>
        <w:t>牵头单位：县政府办公室、县生态环境分局、</w:t>
      </w:r>
      <w:r>
        <w:rPr>
          <w:rFonts w:hint="eastAsia" w:eastAsia="楷体_GB2312"/>
        </w:rPr>
        <w:t>县综合行政</w:t>
      </w:r>
      <w:r>
        <w:rPr>
          <w:rFonts w:eastAsia="楷体_GB2312"/>
        </w:rPr>
        <w:t>执法局</w:t>
      </w:r>
      <w:r>
        <w:rPr>
          <w:rFonts w:eastAsia="楷体_GB2312"/>
          <w:szCs w:val="24"/>
        </w:rPr>
        <w:t>、</w:t>
      </w:r>
      <w:r>
        <w:rPr>
          <w:rFonts w:hint="eastAsia" w:eastAsia="楷体_GB2312"/>
          <w:color w:val="000000" w:themeColor="text1"/>
          <w:kern w:val="0"/>
          <w:sz w:val="31"/>
          <w:szCs w:val="31"/>
          <w14:textFill>
            <w14:solidFill>
              <w14:schemeClr w14:val="tx1"/>
            </w14:solidFill>
          </w14:textFill>
        </w:rPr>
        <w:t>县发展和改革</w:t>
      </w:r>
      <w:r>
        <w:rPr>
          <w:rFonts w:hint="eastAsia" w:eastAsia="楷体_GB2312"/>
          <w:color w:val="000000" w:themeColor="text1"/>
          <w:kern w:val="0"/>
          <w:sz w:val="32"/>
          <w:szCs w:val="32"/>
          <w14:textFill>
            <w14:solidFill>
              <w14:schemeClr w14:val="tx1"/>
            </w14:solidFill>
          </w14:textFill>
        </w:rPr>
        <w:t>局、县教育体育局、县住房城乡建设局、县农业农村局、</w:t>
      </w:r>
      <w:r>
        <w:rPr>
          <w:rFonts w:hint="eastAsia" w:eastAsia="楷体_GB2312"/>
          <w:sz w:val="32"/>
          <w:szCs w:val="32"/>
        </w:rPr>
        <w:t>县工业和信息化局、</w:t>
      </w:r>
      <w:r>
        <w:rPr>
          <w:rFonts w:hint="eastAsia" w:eastAsia="楷体_GB2312"/>
          <w:color w:val="000000" w:themeColor="text1"/>
          <w:kern w:val="0"/>
          <w:sz w:val="32"/>
          <w:szCs w:val="32"/>
          <w14:textFill>
            <w14:solidFill>
              <w14:schemeClr w14:val="tx1"/>
            </w14:solidFill>
          </w14:textFill>
        </w:rPr>
        <w:t>县商务投资促进局、县文化和旅游局、县卫生健康局</w:t>
      </w:r>
      <w:r>
        <w:rPr>
          <w:rFonts w:eastAsia="楷体_GB2312"/>
          <w:sz w:val="32"/>
          <w:szCs w:val="32"/>
        </w:rPr>
        <w:t>；责任单位：</w:t>
      </w:r>
      <w:r>
        <w:rPr>
          <w:rFonts w:hint="eastAsia" w:eastAsia="楷体_GB2312"/>
          <w:sz w:val="32"/>
          <w:szCs w:val="32"/>
        </w:rPr>
        <w:t>各乡镇、街道</w:t>
      </w:r>
      <w:r>
        <w:rPr>
          <w:rFonts w:eastAsia="楷体_GB2312"/>
          <w:color w:val="000000" w:themeColor="text1"/>
          <w:kern w:val="0"/>
          <w:sz w:val="32"/>
          <w:szCs w:val="32"/>
          <w14:textFill>
            <w14:solidFill>
              <w14:schemeClr w14:val="tx1"/>
            </w14:solidFill>
          </w14:textFill>
        </w:rPr>
        <w:t>）</w:t>
      </w:r>
    </w:p>
    <w:p>
      <w:pPr>
        <w:pageBreakBefore w:val="0"/>
        <w:widowControl w:val="0"/>
        <w:kinsoku/>
        <w:wordWrap/>
        <w:overflowPunct/>
        <w:topLinePunct w:val="0"/>
        <w:autoSpaceDE/>
        <w:autoSpaceDN/>
        <w:bidi w:val="0"/>
        <w:spacing w:line="600" w:lineRule="exact"/>
        <w:ind w:firstLine="610"/>
        <w:textAlignment w:val="auto"/>
        <w:rPr>
          <w:rFonts w:eastAsia="楷体_GB2312"/>
          <w:color w:val="000000" w:themeColor="text1"/>
          <w:kern w:val="0"/>
          <w14:textFill>
            <w14:solidFill>
              <w14:schemeClr w14:val="tx1"/>
            </w14:solidFill>
          </w14:textFill>
        </w:rPr>
      </w:pPr>
      <w:r>
        <w:rPr>
          <w:sz w:val="32"/>
          <w:szCs w:val="32"/>
        </w:rPr>
        <w:t>通过电话、网站、微信公众号等</w:t>
      </w:r>
      <w:bookmarkStart w:id="111" w:name="_Hlk113349858"/>
      <w:r>
        <w:rPr>
          <w:sz w:val="32"/>
          <w:szCs w:val="32"/>
        </w:rPr>
        <w:t>，</w:t>
      </w:r>
      <w:r>
        <w:rPr>
          <w:rFonts w:hint="eastAsia"/>
          <w:sz w:val="32"/>
          <w:szCs w:val="32"/>
        </w:rPr>
        <w:t>广</w:t>
      </w:r>
      <w:r>
        <w:rPr>
          <w:rFonts w:cs="Times New Roman"/>
          <w:sz w:val="32"/>
          <w:szCs w:val="32"/>
        </w:rPr>
        <w:t>泛听取“无废城市”建设</w:t>
      </w:r>
      <w:r>
        <w:rPr>
          <w:sz w:val="32"/>
          <w:szCs w:val="32"/>
        </w:rPr>
        <w:t>的意见</w:t>
      </w:r>
      <w:r>
        <w:rPr>
          <w:rFonts w:hint="eastAsia"/>
          <w:sz w:val="32"/>
          <w:szCs w:val="32"/>
        </w:rPr>
        <w:t>、</w:t>
      </w:r>
      <w:r>
        <w:rPr>
          <w:sz w:val="32"/>
          <w:szCs w:val="32"/>
        </w:rPr>
        <w:t>建议，及时、全面了解</w:t>
      </w:r>
      <w:r>
        <w:rPr>
          <w:rFonts w:hint="eastAsia"/>
          <w:sz w:val="32"/>
          <w:szCs w:val="32"/>
        </w:rPr>
        <w:t>和提升社会公众对</w:t>
      </w:r>
      <w:r>
        <w:rPr>
          <w:sz w:val="32"/>
          <w:szCs w:val="32"/>
        </w:rPr>
        <w:t>“无废城市”建设成效</w:t>
      </w:r>
      <w:r>
        <w:rPr>
          <w:rFonts w:hint="eastAsia"/>
          <w:sz w:val="32"/>
          <w:szCs w:val="32"/>
        </w:rPr>
        <w:t>的满意度</w:t>
      </w:r>
      <w:r>
        <w:rPr>
          <w:sz w:val="32"/>
          <w:szCs w:val="32"/>
        </w:rPr>
        <w:t>。</w:t>
      </w:r>
      <w:r>
        <w:rPr>
          <w:rFonts w:eastAsia="楷体_GB2312"/>
          <w:color w:val="000000" w:themeColor="text1"/>
          <w:kern w:val="0"/>
          <w:sz w:val="32"/>
          <w:szCs w:val="32"/>
          <w14:textFill>
            <w14:solidFill>
              <w14:schemeClr w14:val="tx1"/>
            </w14:solidFill>
          </w14:textFill>
        </w:rPr>
        <w:t>（</w:t>
      </w:r>
      <w:r>
        <w:rPr>
          <w:rFonts w:hint="eastAsia" w:eastAsia="楷体_GB2312"/>
          <w:color w:val="000000" w:themeColor="text1"/>
          <w:kern w:val="0"/>
          <w:sz w:val="32"/>
          <w:szCs w:val="32"/>
          <w14:textFill>
            <w14:solidFill>
              <w14:schemeClr w14:val="tx1"/>
            </w14:solidFill>
          </w14:textFill>
        </w:rPr>
        <w:t>牵头单位：县分生态环境局、</w:t>
      </w:r>
      <w:r>
        <w:rPr>
          <w:rFonts w:hint="eastAsia" w:eastAsia="楷体_GB2312"/>
          <w:sz w:val="32"/>
          <w:szCs w:val="32"/>
        </w:rPr>
        <w:t>县综合行政</w:t>
      </w:r>
      <w:r>
        <w:rPr>
          <w:rFonts w:eastAsia="楷体_GB2312"/>
          <w:sz w:val="32"/>
          <w:szCs w:val="32"/>
        </w:rPr>
        <w:t>执法局、</w:t>
      </w:r>
      <w:r>
        <w:rPr>
          <w:rFonts w:hint="eastAsia" w:eastAsia="楷体_GB2312"/>
          <w:color w:val="000000" w:themeColor="text1"/>
          <w:kern w:val="0"/>
          <w:sz w:val="32"/>
          <w:szCs w:val="32"/>
          <w14:textFill>
            <w14:solidFill>
              <w14:schemeClr w14:val="tx1"/>
            </w14:solidFill>
          </w14:textFill>
        </w:rPr>
        <w:t>县发展和改革局、县教育体育局、县住房城乡建设局、县农业农村局、</w:t>
      </w:r>
      <w:r>
        <w:rPr>
          <w:rFonts w:hint="eastAsia" w:eastAsia="楷体_GB2312"/>
          <w:sz w:val="32"/>
          <w:szCs w:val="32"/>
        </w:rPr>
        <w:t>县工业和信息化局、</w:t>
      </w:r>
      <w:r>
        <w:rPr>
          <w:rFonts w:hint="eastAsia" w:eastAsia="楷体_GB2312"/>
          <w:color w:val="000000" w:themeColor="text1"/>
          <w:kern w:val="0"/>
          <w:sz w:val="32"/>
          <w:szCs w:val="32"/>
          <w14:textFill>
            <w14:solidFill>
              <w14:schemeClr w14:val="tx1"/>
            </w14:solidFill>
          </w14:textFill>
        </w:rPr>
        <w:t>县商务投资</w:t>
      </w:r>
      <w:r>
        <w:rPr>
          <w:rFonts w:hint="eastAsia" w:eastAsia="楷体_GB2312"/>
          <w:color w:val="000000" w:themeColor="text1"/>
          <w:kern w:val="0"/>
          <w14:textFill>
            <w14:solidFill>
              <w14:schemeClr w14:val="tx1"/>
            </w14:solidFill>
          </w14:textFill>
        </w:rPr>
        <w:t>促进局、县文化和旅游局、县卫生健康局；责任单位：</w:t>
      </w:r>
      <w:r>
        <w:rPr>
          <w:rFonts w:hint="eastAsia" w:eastAsia="楷体_GB2312"/>
        </w:rPr>
        <w:t>各乡镇、</w:t>
      </w:r>
      <w:r>
        <w:rPr>
          <w:rFonts w:eastAsia="楷体_GB2312"/>
        </w:rPr>
        <w:t>街道</w:t>
      </w:r>
      <w:r>
        <w:rPr>
          <w:rFonts w:eastAsia="楷体_GB2312"/>
          <w:color w:val="000000" w:themeColor="text1"/>
          <w:kern w:val="0"/>
          <w14:textFill>
            <w14:solidFill>
              <w14:schemeClr w14:val="tx1"/>
            </w14:solidFill>
          </w14:textFill>
        </w:rPr>
        <w:t>）</w:t>
      </w:r>
    </w:p>
    <w:bookmarkEnd w:id="87"/>
    <w:bookmarkEnd w:id="111"/>
    <w:p>
      <w:pPr>
        <w:pStyle w:val="3"/>
        <w:pageBreakBefore w:val="0"/>
        <w:widowControl w:val="0"/>
        <w:kinsoku/>
        <w:wordWrap/>
        <w:overflowPunct/>
        <w:topLinePunct w:val="0"/>
        <w:autoSpaceDE/>
        <w:autoSpaceDN/>
        <w:bidi w:val="0"/>
        <w:spacing w:line="600" w:lineRule="exact"/>
        <w:ind w:firstLine="610"/>
        <w:textAlignment w:val="auto"/>
      </w:pPr>
      <w:bookmarkStart w:id="112" w:name="_Toc121508325"/>
      <w:r>
        <w:rPr>
          <w:rFonts w:hint="eastAsia"/>
        </w:rPr>
        <w:t>六、</w:t>
      </w:r>
      <w:r>
        <w:t>保障措施</w:t>
      </w:r>
      <w:bookmarkEnd w:id="112"/>
    </w:p>
    <w:p>
      <w:pPr>
        <w:pStyle w:val="4"/>
        <w:pageBreakBefore w:val="0"/>
        <w:widowControl w:val="0"/>
        <w:kinsoku/>
        <w:wordWrap/>
        <w:overflowPunct/>
        <w:topLinePunct w:val="0"/>
        <w:autoSpaceDE/>
        <w:autoSpaceDN/>
        <w:bidi w:val="0"/>
        <w:spacing w:line="600" w:lineRule="exact"/>
        <w:ind w:firstLine="610"/>
        <w:textAlignment w:val="auto"/>
        <w:rPr>
          <w:b/>
          <w:bCs/>
        </w:rPr>
      </w:pPr>
      <w:bookmarkStart w:id="113" w:name="_Toc121508326"/>
      <w:bookmarkStart w:id="114" w:name="_Toc111217285"/>
      <w:r>
        <w:rPr>
          <w:rFonts w:hint="eastAsia"/>
          <w:b/>
          <w:bCs/>
        </w:rPr>
        <w:t>（一）</w:t>
      </w:r>
      <w:r>
        <w:rPr>
          <w:b/>
          <w:bCs/>
        </w:rPr>
        <w:t>加强组织领导</w:t>
      </w:r>
      <w:bookmarkEnd w:id="113"/>
      <w:bookmarkEnd w:id="114"/>
    </w:p>
    <w:p>
      <w:pPr>
        <w:pageBreakBefore w:val="0"/>
        <w:widowControl w:val="0"/>
        <w:kinsoku/>
        <w:wordWrap/>
        <w:overflowPunct/>
        <w:topLinePunct w:val="0"/>
        <w:autoSpaceDE/>
        <w:autoSpaceDN/>
        <w:bidi w:val="0"/>
        <w:spacing w:line="600" w:lineRule="exact"/>
        <w:ind w:firstLine="610"/>
        <w:textAlignment w:val="auto"/>
      </w:pPr>
      <w:bookmarkStart w:id="115" w:name="_Hlk113007374"/>
      <w:r>
        <w:rPr>
          <w:rFonts w:cs="Times New Roman"/>
        </w:rPr>
        <w:t>成立“无废城市”建设领导小组，</w:t>
      </w:r>
      <w:bookmarkEnd w:id="115"/>
      <w:r>
        <w:rPr>
          <w:rFonts w:cs="Times New Roman"/>
        </w:rPr>
        <w:t>研究解决“无废城市”建设工作中的全局性、方向性重大问题和事项，部署“无废城市”建设工作各阶段实施计划、目标任务，认真组织实施。组建工作专班，落实“无废城市”建设过程中的具体工作。</w:t>
      </w:r>
      <w:r>
        <w:rPr>
          <w:rFonts w:hint="eastAsia" w:cs="Times New Roman"/>
        </w:rPr>
        <w:t>各相关部门，</w:t>
      </w:r>
      <w:r>
        <w:rPr>
          <w:rFonts w:cs="Times New Roman"/>
        </w:rPr>
        <w:t>各</w:t>
      </w:r>
      <w:r>
        <w:rPr>
          <w:rFonts w:hint="eastAsia" w:cs="Times New Roman"/>
        </w:rPr>
        <w:t>乡镇、街道</w:t>
      </w:r>
      <w:r>
        <w:rPr>
          <w:rFonts w:hint="eastAsia"/>
        </w:rPr>
        <w:t>同步建立相应协调机制，抓好工作落实。</w:t>
      </w:r>
    </w:p>
    <w:p>
      <w:pPr>
        <w:pStyle w:val="4"/>
        <w:pageBreakBefore w:val="0"/>
        <w:widowControl w:val="0"/>
        <w:kinsoku/>
        <w:wordWrap/>
        <w:overflowPunct/>
        <w:topLinePunct w:val="0"/>
        <w:autoSpaceDE/>
        <w:autoSpaceDN/>
        <w:bidi w:val="0"/>
        <w:spacing w:line="600" w:lineRule="exact"/>
        <w:ind w:firstLine="610"/>
        <w:textAlignment w:val="auto"/>
        <w:rPr>
          <w:b/>
          <w:bCs/>
          <w:i w:val="0"/>
          <w:iCs w:val="0"/>
        </w:rPr>
      </w:pPr>
      <w:bookmarkStart w:id="116" w:name="_Toc121508327"/>
      <w:r>
        <w:rPr>
          <w:rFonts w:hint="eastAsia"/>
          <w:b/>
          <w:bCs/>
          <w:i w:val="0"/>
          <w:iCs w:val="0"/>
        </w:rPr>
        <w:t>（二）</w:t>
      </w:r>
      <w:r>
        <w:rPr>
          <w:b/>
          <w:bCs/>
          <w:i w:val="0"/>
          <w:iCs w:val="0"/>
        </w:rPr>
        <w:t>强</w:t>
      </w:r>
      <w:r>
        <w:rPr>
          <w:rFonts w:hint="eastAsia"/>
          <w:b/>
          <w:bCs/>
          <w:i w:val="0"/>
          <w:iCs w:val="0"/>
        </w:rPr>
        <w:t>化</w:t>
      </w:r>
      <w:r>
        <w:rPr>
          <w:b/>
          <w:bCs/>
          <w:i w:val="0"/>
          <w:iCs w:val="0"/>
        </w:rPr>
        <w:t>监督考核</w:t>
      </w:r>
      <w:bookmarkEnd w:id="116"/>
      <w:r>
        <w:rPr>
          <w:b/>
          <w:bCs/>
          <w:i w:val="0"/>
          <w:iCs w:val="0"/>
        </w:rPr>
        <w:tab/>
      </w:r>
    </w:p>
    <w:p>
      <w:pPr>
        <w:pageBreakBefore w:val="0"/>
        <w:widowControl w:val="0"/>
        <w:kinsoku/>
        <w:wordWrap/>
        <w:overflowPunct/>
        <w:topLinePunct w:val="0"/>
        <w:autoSpaceDE/>
        <w:autoSpaceDN/>
        <w:bidi w:val="0"/>
        <w:spacing w:line="600" w:lineRule="exact"/>
        <w:ind w:firstLine="610"/>
        <w:textAlignment w:val="auto"/>
      </w:pPr>
      <w:r>
        <w:t>建</w:t>
      </w:r>
      <w:r>
        <w:rPr>
          <w:rFonts w:cs="Times New Roman"/>
        </w:rPr>
        <w:t>立“无废城市”建设考核机制和评估机制。</w:t>
      </w:r>
      <w:r>
        <w:rPr>
          <w:rFonts w:hint="eastAsia" w:cs="Times New Roman"/>
        </w:rPr>
        <w:t>各级各</w:t>
      </w:r>
      <w:r>
        <w:rPr>
          <w:rFonts w:cs="Times New Roman"/>
        </w:rPr>
        <w:t>部门认真落实实施方案要求，积极推进任务落实，每年对实施方案落实情况进行总结。围绕“无废城市”建设目标指标、重点任务、重大工程进展情况，每年度对</w:t>
      </w:r>
      <w:r>
        <w:rPr>
          <w:rFonts w:hint="eastAsia" w:cs="Times New Roman"/>
        </w:rPr>
        <w:t>各级各</w:t>
      </w:r>
      <w:r>
        <w:rPr>
          <w:rFonts w:cs="Times New Roman"/>
        </w:rPr>
        <w:t>部门</w:t>
      </w:r>
      <w:r>
        <w:t>工作</w:t>
      </w:r>
      <w:r>
        <w:rPr>
          <w:rFonts w:hint="eastAsia"/>
        </w:rPr>
        <w:t>落实</w:t>
      </w:r>
      <w:r>
        <w:t>情况进行考核评估，评估结果作为对领导班子和领导干部考核评价的</w:t>
      </w:r>
      <w:r>
        <w:rPr>
          <w:rFonts w:hint="eastAsia"/>
        </w:rPr>
        <w:t>参考</w:t>
      </w:r>
      <w:r>
        <w:t>。</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117" w:name="_Toc121508328"/>
      <w:r>
        <w:rPr>
          <w:rFonts w:hint="eastAsia"/>
          <w:b/>
          <w:bCs/>
        </w:rPr>
        <w:t>（三）狠抓</w:t>
      </w:r>
      <w:r>
        <w:rPr>
          <w:b/>
          <w:bCs/>
        </w:rPr>
        <w:t>制度建设</w:t>
      </w:r>
      <w:bookmarkEnd w:id="117"/>
    </w:p>
    <w:p>
      <w:pPr>
        <w:pageBreakBefore w:val="0"/>
        <w:widowControl w:val="0"/>
        <w:kinsoku/>
        <w:wordWrap/>
        <w:overflowPunct/>
        <w:topLinePunct w:val="0"/>
        <w:autoSpaceDE/>
        <w:autoSpaceDN/>
        <w:bidi w:val="0"/>
        <w:spacing w:line="600" w:lineRule="exact"/>
        <w:ind w:firstLine="610"/>
        <w:textAlignment w:val="auto"/>
      </w:pPr>
      <w:r>
        <w:t>逐步开展</w:t>
      </w:r>
      <w:r>
        <w:rPr>
          <w:rFonts w:hint="eastAsia"/>
        </w:rPr>
        <w:t>固体废物领域的</w:t>
      </w:r>
      <w:r>
        <w:t>专项立法工作，形成完善的地方性法规体系。将</w:t>
      </w:r>
      <w:r>
        <w:rPr>
          <w:rFonts w:cs="Times New Roman"/>
        </w:rPr>
        <w:t>“无废城市”建设融入城市发展总体规划、各相关领域专项规划、“十四五”规</w:t>
      </w:r>
      <w:r>
        <w:t>划及中长期规划的实施过程。出台针对再生资源回收体系建设、工业固体废物处理处置、农业固体废物利用处置等指导意见</w:t>
      </w:r>
      <w:r>
        <w:rPr>
          <w:rFonts w:hint="eastAsia"/>
        </w:rPr>
        <w:t>和</w:t>
      </w:r>
      <w:r>
        <w:t>工作方案</w:t>
      </w:r>
      <w:r>
        <w:rPr>
          <w:rFonts w:hint="eastAsia"/>
        </w:rPr>
        <w:t>，</w:t>
      </w:r>
      <w:r>
        <w:rPr>
          <w:rFonts w:hint="eastAsia" w:cs="Times New Roman"/>
        </w:rPr>
        <w:t>确保</w:t>
      </w:r>
      <w:r>
        <w:rPr>
          <w:rFonts w:cs="Times New Roman"/>
        </w:rPr>
        <w:t>“无废城市”建</w:t>
      </w:r>
      <w:r>
        <w:rPr>
          <w:rFonts w:hint="eastAsia"/>
        </w:rPr>
        <w:t>设健康发展</w:t>
      </w:r>
      <w:r>
        <w:t>。</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118" w:name="_Toc121508329"/>
      <w:r>
        <w:rPr>
          <w:rFonts w:hint="eastAsia"/>
          <w:b/>
          <w:bCs/>
        </w:rPr>
        <w:t>（四）</w:t>
      </w:r>
      <w:r>
        <w:rPr>
          <w:b/>
          <w:bCs/>
        </w:rPr>
        <w:t>提升</w:t>
      </w:r>
      <w:r>
        <w:rPr>
          <w:rFonts w:hint="eastAsia"/>
          <w:b/>
          <w:bCs/>
        </w:rPr>
        <w:t>素质</w:t>
      </w:r>
      <w:r>
        <w:rPr>
          <w:b/>
          <w:bCs/>
        </w:rPr>
        <w:t>能力</w:t>
      </w:r>
      <w:bookmarkEnd w:id="118"/>
    </w:p>
    <w:p>
      <w:pPr>
        <w:pageBreakBefore w:val="0"/>
        <w:widowControl w:val="0"/>
        <w:kinsoku/>
        <w:wordWrap/>
        <w:overflowPunct/>
        <w:topLinePunct w:val="0"/>
        <w:autoSpaceDE/>
        <w:autoSpaceDN/>
        <w:bidi w:val="0"/>
        <w:spacing w:line="600" w:lineRule="exact"/>
        <w:ind w:firstLine="610"/>
        <w:textAlignment w:val="auto"/>
        <w:rPr>
          <w:rFonts w:cs="Times New Roman"/>
        </w:rPr>
      </w:pPr>
      <w:r>
        <w:t>加强基层固体废物管理能力建设。科学制定培训计划，拓宽培训渠道，加快解决干部队伍能力建设短板，通过业务培训、比赛竞赛、经验交流等多种方式，</w:t>
      </w:r>
      <w:r>
        <w:rPr>
          <w:rFonts w:hint="eastAsia"/>
        </w:rPr>
        <w:t>提升能力本领。</w:t>
      </w:r>
      <w:r>
        <w:t>注重选树、宣传、推广担当作为、狠抓落实</w:t>
      </w:r>
      <w:r>
        <w:rPr>
          <w:rFonts w:cs="Times New Roman"/>
        </w:rPr>
        <w:t>先进典型，激发工作干劲。组织开展院士专家行、技术帮扶等活动，解决“无废城市”建设中遇到的问题和困难。</w:t>
      </w:r>
    </w:p>
    <w:p>
      <w:pPr>
        <w:pStyle w:val="4"/>
        <w:pageBreakBefore w:val="0"/>
        <w:widowControl w:val="0"/>
        <w:kinsoku/>
        <w:wordWrap/>
        <w:overflowPunct/>
        <w:topLinePunct w:val="0"/>
        <w:autoSpaceDE/>
        <w:autoSpaceDN/>
        <w:bidi w:val="0"/>
        <w:spacing w:line="600" w:lineRule="exact"/>
        <w:ind w:firstLine="610"/>
        <w:textAlignment w:val="auto"/>
        <w:rPr>
          <w:b/>
          <w:bCs/>
        </w:rPr>
      </w:pPr>
      <w:bookmarkStart w:id="119" w:name="_Toc121508330"/>
      <w:r>
        <w:rPr>
          <w:rFonts w:hint="eastAsia"/>
          <w:b/>
          <w:bCs/>
        </w:rPr>
        <w:t>（五）</w:t>
      </w:r>
      <w:r>
        <w:rPr>
          <w:b/>
          <w:bCs/>
        </w:rPr>
        <w:t>加大</w:t>
      </w:r>
      <w:r>
        <w:rPr>
          <w:rFonts w:hint="eastAsia"/>
          <w:b/>
          <w:bCs/>
        </w:rPr>
        <w:t>资金保障</w:t>
      </w:r>
      <w:bookmarkEnd w:id="119"/>
    </w:p>
    <w:p>
      <w:pPr>
        <w:pageBreakBefore w:val="0"/>
        <w:widowControl w:val="0"/>
        <w:kinsoku/>
        <w:wordWrap/>
        <w:overflowPunct/>
        <w:topLinePunct w:val="0"/>
        <w:autoSpaceDE/>
        <w:autoSpaceDN/>
        <w:bidi w:val="0"/>
        <w:spacing w:line="600" w:lineRule="exact"/>
        <w:ind w:firstLine="610"/>
        <w:textAlignment w:val="auto"/>
        <w:rPr>
          <w:rFonts w:cs="Times New Roman"/>
        </w:rPr>
      </w:pPr>
      <w:bookmarkStart w:id="120" w:name="_Hlk121866530"/>
      <w:r>
        <w:rPr>
          <w:rFonts w:hint="eastAsia"/>
        </w:rPr>
        <w:t>积极争取各级政策、项目、资金支持。强化政策资金统筹，</w:t>
      </w:r>
      <w:r>
        <w:t>将相关工作经费纳入</w:t>
      </w:r>
      <w:r>
        <w:rPr>
          <w:rFonts w:hint="eastAsia"/>
        </w:rPr>
        <w:t>年度</w:t>
      </w:r>
      <w:r>
        <w:t>预算，</w:t>
      </w:r>
      <w:r>
        <w:rPr>
          <w:rFonts w:hint="eastAsia"/>
        </w:rPr>
        <w:t>发挥财政资金的引</w:t>
      </w:r>
      <w:r>
        <w:rPr>
          <w:rFonts w:cs="Times New Roman"/>
        </w:rPr>
        <w:t>导和杠杆作用，撬动更多金融资本和社会资本加大投入，努力构建多元化“无废城市”建设资金保障机制。</w:t>
      </w:r>
      <w:bookmarkEnd w:id="120"/>
    </w:p>
    <w:p>
      <w:pPr>
        <w:pageBreakBefore w:val="0"/>
        <w:widowControl w:val="0"/>
        <w:kinsoku/>
        <w:wordWrap/>
        <w:overflowPunct/>
        <w:topLinePunct w:val="0"/>
        <w:autoSpaceDE/>
        <w:autoSpaceDN/>
        <w:bidi w:val="0"/>
        <w:spacing w:line="600" w:lineRule="exact"/>
        <w:ind w:firstLine="610"/>
        <w:textAlignment w:val="auto"/>
        <w:rPr>
          <w:rFonts w:cs="Times New Roman"/>
        </w:rPr>
      </w:pPr>
    </w:p>
    <w:p>
      <w:pPr>
        <w:pageBreakBefore w:val="0"/>
        <w:widowControl w:val="0"/>
        <w:kinsoku/>
        <w:wordWrap/>
        <w:overflowPunct/>
        <w:topLinePunct w:val="0"/>
        <w:autoSpaceDE/>
        <w:autoSpaceDN/>
        <w:bidi w:val="0"/>
        <w:spacing w:line="600" w:lineRule="exact"/>
        <w:ind w:firstLine="610"/>
        <w:textAlignment w:val="auto"/>
      </w:pPr>
      <w:r>
        <w:rPr>
          <w:rFonts w:hint="eastAsia" w:ascii="黑体" w:hAnsi="黑体" w:eastAsia="黑体" w:cs="黑体"/>
        </w:rPr>
        <w:t>附件：</w:t>
      </w:r>
      <w:r>
        <w:rPr>
          <w:rFonts w:hint="eastAsia"/>
        </w:rPr>
        <w:t>冠县</w:t>
      </w:r>
      <w:r>
        <w:rPr>
          <w:rFonts w:cs="Times New Roman"/>
        </w:rPr>
        <w:t>“十四五”时期“无废城市”</w:t>
      </w:r>
      <w:r>
        <w:rPr>
          <w:rFonts w:hint="eastAsia"/>
        </w:rPr>
        <w:t>建设指标体系</w:t>
      </w:r>
    </w:p>
    <w:p>
      <w:pPr>
        <w:pageBreakBefore w:val="0"/>
        <w:widowControl w:val="0"/>
        <w:kinsoku/>
        <w:wordWrap/>
        <w:overflowPunct/>
        <w:topLinePunct w:val="0"/>
        <w:autoSpaceDE/>
        <w:autoSpaceDN/>
        <w:bidi w:val="0"/>
        <w:spacing w:line="600" w:lineRule="exact"/>
        <w:ind w:left="0" w:leftChars="0" w:firstLine="0" w:firstLineChars="0"/>
        <w:textAlignment w:val="auto"/>
        <w:rPr>
          <w:rFonts w:hint="eastAsia" w:ascii="黑体" w:hAnsi="黑体" w:eastAsia="黑体" w:cs="黑体"/>
        </w:rPr>
      </w:pPr>
      <w:bookmarkStart w:id="121" w:name="_Toc121483487"/>
    </w:p>
    <w:p>
      <w:pPr>
        <w:pageBreakBefore w:val="0"/>
        <w:widowControl w:val="0"/>
        <w:kinsoku/>
        <w:wordWrap/>
        <w:overflowPunct/>
        <w:topLinePunct w:val="0"/>
        <w:autoSpaceDE/>
        <w:autoSpaceDN/>
        <w:bidi w:val="0"/>
        <w:spacing w:line="600" w:lineRule="exact"/>
        <w:ind w:left="0" w:leftChars="0" w:firstLine="0" w:firstLineChars="0"/>
        <w:textAlignment w:val="auto"/>
        <w:rPr>
          <w:rFonts w:hint="eastAsia" w:ascii="黑体" w:hAnsi="黑体" w:eastAsia="黑体" w:cs="黑体"/>
        </w:rPr>
      </w:pPr>
      <w:r>
        <w:rPr>
          <w:rFonts w:hint="eastAsia" w:ascii="黑体" w:hAnsi="黑体" w:eastAsia="黑体" w:cs="黑体"/>
        </w:rPr>
        <w:t>附件</w:t>
      </w:r>
    </w:p>
    <w:p>
      <w:pPr>
        <w:pStyle w:val="3"/>
        <w:pageBreakBefore w:val="0"/>
        <w:widowControl w:val="0"/>
        <w:kinsoku/>
        <w:wordWrap/>
        <w:overflowPunct/>
        <w:topLinePunct w:val="0"/>
        <w:autoSpaceDE/>
        <w:autoSpaceDN/>
        <w:bidi w:val="0"/>
        <w:spacing w:line="600" w:lineRule="exact"/>
        <w:ind w:firstLine="77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冠县“十四五”时期“无废城市”</w:t>
      </w:r>
    </w:p>
    <w:p>
      <w:pPr>
        <w:pageBreakBefore w:val="0"/>
        <w:widowControl w:val="0"/>
        <w:kinsoku/>
        <w:wordWrap/>
        <w:overflowPunct/>
        <w:topLinePunct w:val="0"/>
        <w:autoSpaceDE/>
        <w:autoSpaceDN/>
        <w:bidi w:val="0"/>
        <w:spacing w:line="600" w:lineRule="exact"/>
        <w:ind w:left="61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建 设 指 标 体 系</w:t>
      </w:r>
      <w:bookmarkEnd w:id="121"/>
    </w:p>
    <w:p>
      <w:pPr>
        <w:pageBreakBefore w:val="0"/>
        <w:widowControl w:val="0"/>
        <w:kinsoku/>
        <w:wordWrap/>
        <w:overflowPunct/>
        <w:topLinePunct w:val="0"/>
        <w:autoSpaceDE/>
        <w:autoSpaceDN/>
        <w:bidi w:val="0"/>
        <w:spacing w:line="600" w:lineRule="exact"/>
        <w:ind w:left="610" w:firstLine="0" w:firstLineChars="0"/>
        <w:jc w:val="center"/>
        <w:textAlignment w:val="auto"/>
        <w:rPr>
          <w:rFonts w:ascii="方正小标宋简体" w:hAnsi="方正小标宋简体" w:eastAsia="方正小标宋简体"/>
          <w:sz w:val="40"/>
          <w:szCs w:val="28"/>
        </w:rPr>
      </w:pPr>
    </w:p>
    <w:tbl>
      <w:tblPr>
        <w:tblStyle w:val="32"/>
        <w:tblW w:w="5150" w:type="pct"/>
        <w:jc w:val="center"/>
        <w:tblLayout w:type="fixed"/>
        <w:tblCellMar>
          <w:top w:w="0" w:type="dxa"/>
          <w:left w:w="0" w:type="dxa"/>
          <w:bottom w:w="0" w:type="dxa"/>
          <w:right w:w="0" w:type="dxa"/>
        </w:tblCellMar>
      </w:tblPr>
      <w:tblGrid>
        <w:gridCol w:w="499"/>
        <w:gridCol w:w="603"/>
        <w:gridCol w:w="693"/>
        <w:gridCol w:w="2357"/>
        <w:gridCol w:w="1081"/>
        <w:gridCol w:w="1081"/>
        <w:gridCol w:w="1081"/>
        <w:gridCol w:w="1375"/>
      </w:tblGrid>
      <w:tr>
        <w:tblPrEx>
          <w:tblCellMar>
            <w:top w:w="0" w:type="dxa"/>
            <w:left w:w="0" w:type="dxa"/>
            <w:bottom w:w="0" w:type="dxa"/>
            <w:right w:w="0" w:type="dxa"/>
          </w:tblCellMar>
        </w:tblPrEx>
        <w:trPr>
          <w:trHeight w:val="648" w:hRule="atLeast"/>
          <w:tblHeader/>
          <w:jc w:val="center"/>
        </w:trPr>
        <w:tc>
          <w:tcPr>
            <w:tcW w:w="284"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bookmarkStart w:id="122" w:name="_Hlk121837049"/>
            <w:r>
              <w:rPr>
                <w:rFonts w:hint="eastAsia" w:ascii="黑体" w:hAnsi="黑体" w:eastAsia="黑体" w:cs="黑体"/>
                <w:bCs/>
                <w:sz w:val="20"/>
                <w:szCs w:val="20"/>
              </w:rPr>
              <w:t>序号</w:t>
            </w:r>
          </w:p>
        </w:tc>
        <w:tc>
          <w:tcPr>
            <w:tcW w:w="344"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一级</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指标</w:t>
            </w:r>
          </w:p>
        </w:tc>
        <w:tc>
          <w:tcPr>
            <w:tcW w:w="395"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二级</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指标</w:t>
            </w:r>
          </w:p>
        </w:tc>
        <w:tc>
          <w:tcPr>
            <w:tcW w:w="1344"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三级指标</w:t>
            </w:r>
          </w:p>
        </w:tc>
        <w:tc>
          <w:tcPr>
            <w:tcW w:w="616"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2020</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基准值</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2023</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目标值</w:t>
            </w:r>
          </w:p>
        </w:tc>
        <w:tc>
          <w:tcPr>
            <w:tcW w:w="61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2025</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目标值</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黑体" w:hAnsi="黑体" w:eastAsia="黑体" w:cs="黑体"/>
                <w:bCs/>
                <w:sz w:val="20"/>
                <w:szCs w:val="20"/>
              </w:rPr>
            </w:pPr>
            <w:r>
              <w:rPr>
                <w:rFonts w:hint="eastAsia" w:ascii="黑体" w:hAnsi="黑体" w:eastAsia="黑体" w:cs="黑体"/>
                <w:bCs/>
                <w:sz w:val="20"/>
                <w:szCs w:val="20"/>
              </w:rPr>
              <w:t>责任单位</w:t>
            </w:r>
          </w:p>
        </w:tc>
      </w:tr>
      <w:tr>
        <w:tblPrEx>
          <w:tblCellMar>
            <w:top w:w="0" w:type="dxa"/>
            <w:left w:w="0" w:type="dxa"/>
            <w:bottom w:w="0" w:type="dxa"/>
            <w:right w:w="0" w:type="dxa"/>
          </w:tblCellMar>
        </w:tblPrEx>
        <w:trPr>
          <w:trHeight w:val="977"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w:t>
            </w:r>
          </w:p>
        </w:tc>
        <w:tc>
          <w:tcPr>
            <w:tcW w:w="344"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源头</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减量</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eastAsia" w:ascii="仿宋_GB2312" w:hAnsi="仿宋_GB2312" w:eastAsia="仿宋_GB2312" w:cs="仿宋_GB2312"/>
                <w:sz w:val="20"/>
                <w:szCs w:val="20"/>
              </w:rPr>
            </w:pPr>
          </w:p>
        </w:tc>
        <w:tc>
          <w:tcPr>
            <w:tcW w:w="395" w:type="pct"/>
            <w:vMerge w:val="restar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工业</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源头</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减量</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一般工业固体废物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产生强度★</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3.21吨/万元</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3.00吨/万元</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89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工业危险废物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产生强度★</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0.039吨/万元</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0.035吨/万元</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1100"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通过清洁生产审核</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评估工业企业占比★</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97%</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＞97%</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＞97%</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749"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新增省级以上绿色</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工厂建设数量</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县工业和信息化局</w:t>
            </w:r>
          </w:p>
        </w:tc>
      </w:tr>
      <w:tr>
        <w:tblPrEx>
          <w:tblCellMar>
            <w:top w:w="0" w:type="dxa"/>
            <w:left w:w="0" w:type="dxa"/>
            <w:bottom w:w="0" w:type="dxa"/>
            <w:right w:w="0" w:type="dxa"/>
          </w:tblCellMar>
        </w:tblPrEx>
        <w:trPr>
          <w:trHeight w:val="82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工业</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源头</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减量</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开展循环化改造的工业园区占比</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县发展和改革局</w:t>
            </w:r>
          </w:p>
        </w:tc>
      </w:tr>
      <w:tr>
        <w:tblPrEx>
          <w:tblCellMar>
            <w:top w:w="0" w:type="dxa"/>
            <w:left w:w="0" w:type="dxa"/>
            <w:bottom w:w="0" w:type="dxa"/>
            <w:right w:w="0" w:type="dxa"/>
          </w:tblCellMar>
        </w:tblPrEx>
        <w:trPr>
          <w:trHeight w:val="837"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6</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绿色矿山</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建成率★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县自然资源和规划局</w:t>
            </w:r>
          </w:p>
        </w:tc>
      </w:tr>
      <w:tr>
        <w:tblPrEx>
          <w:tblCellMar>
            <w:top w:w="0" w:type="dxa"/>
            <w:left w:w="0" w:type="dxa"/>
            <w:bottom w:w="0" w:type="dxa"/>
            <w:right w:w="0" w:type="dxa"/>
          </w:tblCellMar>
        </w:tblPrEx>
        <w:trPr>
          <w:trHeight w:val="115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农业</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源头</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减量</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畜禽规模</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养殖比重</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84%</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86%</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88%</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县农业农村局</w:t>
            </w:r>
          </w:p>
        </w:tc>
      </w:tr>
      <w:tr>
        <w:tblPrEx>
          <w:tblCellMar>
            <w:top w:w="0" w:type="dxa"/>
            <w:left w:w="0" w:type="dxa"/>
            <w:bottom w:w="0" w:type="dxa"/>
            <w:right w:w="0" w:type="dxa"/>
          </w:tblCellMar>
        </w:tblPrEx>
        <w:trPr>
          <w:trHeight w:val="720"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nil"/>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建筑业源头</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减量</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绿色建筑占新建</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建筑的比例★</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92.6%</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95%</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县住房城乡建设局</w:t>
            </w:r>
          </w:p>
        </w:tc>
      </w:tr>
      <w:tr>
        <w:tblPrEx>
          <w:tblCellMar>
            <w:top w:w="0" w:type="dxa"/>
            <w:left w:w="0" w:type="dxa"/>
            <w:bottom w:w="0" w:type="dxa"/>
            <w:right w:w="0" w:type="dxa"/>
          </w:tblCellMar>
        </w:tblPrEx>
        <w:trPr>
          <w:trHeight w:val="985"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装配式建筑占新建建筑的比例</w:t>
            </w:r>
          </w:p>
        </w:tc>
        <w:tc>
          <w:tcPr>
            <w:tcW w:w="616"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24.6%</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35%</w:t>
            </w:r>
          </w:p>
        </w:tc>
        <w:tc>
          <w:tcPr>
            <w:tcW w:w="61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45%</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县住房城乡建设局</w:t>
            </w:r>
          </w:p>
        </w:tc>
      </w:tr>
      <w:tr>
        <w:tblPrEx>
          <w:tblCellMar>
            <w:top w:w="0" w:type="dxa"/>
            <w:left w:w="0" w:type="dxa"/>
            <w:bottom w:w="0" w:type="dxa"/>
            <w:right w:w="0" w:type="dxa"/>
          </w:tblCellMar>
        </w:tblPrEx>
        <w:trPr>
          <w:trHeight w:val="1583"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w:t>
            </w:r>
          </w:p>
        </w:tc>
        <w:tc>
          <w:tcPr>
            <w:tcW w:w="344"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领域</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源头</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减量</w:t>
            </w:r>
          </w:p>
        </w:tc>
        <w:tc>
          <w:tcPr>
            <w:tcW w:w="1344"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生活垃圾清运量★</w:t>
            </w:r>
          </w:p>
        </w:tc>
        <w:tc>
          <w:tcPr>
            <w:tcW w:w="616" w:type="pc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5.27万吨</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6.5万吨</w:t>
            </w:r>
          </w:p>
        </w:tc>
        <w:tc>
          <w:tcPr>
            <w:tcW w:w="61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7万吨</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县综合行政执法局、县住房城乡建设局</w:t>
            </w:r>
          </w:p>
        </w:tc>
      </w:tr>
      <w:tr>
        <w:tblPrEx>
          <w:tblCellMar>
            <w:top w:w="0" w:type="dxa"/>
            <w:left w:w="0" w:type="dxa"/>
            <w:bottom w:w="0" w:type="dxa"/>
            <w:right w:w="0" w:type="dxa"/>
          </w:tblCellMar>
        </w:tblPrEx>
        <w:trPr>
          <w:trHeight w:val="1477"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11</w:t>
            </w:r>
          </w:p>
        </w:tc>
        <w:tc>
          <w:tcPr>
            <w:tcW w:w="344" w:type="pct"/>
            <w:vMerge w:val="restart"/>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源头</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减量</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nil"/>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领域</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源头</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减量</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城市居民小区生活垃圾分类覆盖率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县综合行政执法局</w:t>
            </w:r>
          </w:p>
        </w:tc>
      </w:tr>
      <w:tr>
        <w:tblPrEx>
          <w:tblCellMar>
            <w:top w:w="0" w:type="dxa"/>
            <w:left w:w="0" w:type="dxa"/>
            <w:bottom w:w="0" w:type="dxa"/>
            <w:right w:w="0" w:type="dxa"/>
          </w:tblCellMar>
        </w:tblPrEx>
        <w:trPr>
          <w:trHeight w:val="751"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12</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农村地区生活垃圾分类覆盖率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取得初步成效</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完成省级下达指标</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县住房城乡建设局</w:t>
            </w:r>
          </w:p>
        </w:tc>
      </w:tr>
      <w:tr>
        <w:tblPrEx>
          <w:tblCellMar>
            <w:top w:w="0" w:type="dxa"/>
            <w:left w:w="0" w:type="dxa"/>
            <w:bottom w:w="0" w:type="dxa"/>
            <w:right w:w="0" w:type="dxa"/>
          </w:tblCellMar>
        </w:tblPrEx>
        <w:trPr>
          <w:trHeight w:val="691"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13</w:t>
            </w:r>
          </w:p>
        </w:tc>
        <w:tc>
          <w:tcPr>
            <w:tcW w:w="344"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快递绿色包装</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使用率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75%</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县邮政管理局</w:t>
            </w:r>
          </w:p>
        </w:tc>
      </w:tr>
      <w:tr>
        <w:tblPrEx>
          <w:tblCellMar>
            <w:top w:w="0" w:type="dxa"/>
            <w:left w:w="0" w:type="dxa"/>
            <w:bottom w:w="0" w:type="dxa"/>
            <w:right w:w="0" w:type="dxa"/>
          </w:tblCellMar>
        </w:tblPrEx>
        <w:trPr>
          <w:trHeight w:val="785"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14</w:t>
            </w:r>
          </w:p>
        </w:tc>
        <w:tc>
          <w:tcPr>
            <w:tcW w:w="344"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资源化利用</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nil"/>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工业</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资源化利用</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一般工业固体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废物综合利用率★</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75%</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县工业和信息化局</w:t>
            </w:r>
          </w:p>
        </w:tc>
      </w:tr>
      <w:tr>
        <w:tblPrEx>
          <w:tblCellMar>
            <w:top w:w="0" w:type="dxa"/>
            <w:left w:w="0" w:type="dxa"/>
            <w:bottom w:w="0" w:type="dxa"/>
            <w:right w:w="0" w:type="dxa"/>
          </w:tblCellMar>
        </w:tblPrEx>
        <w:trPr>
          <w:trHeight w:val="83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15</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工业危险废物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综合利用率★</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56.54%</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58%</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60%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801"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16</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农业</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资源化利用</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秸秆综合利用率★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94%</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&gt;95%</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&gt;95%</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县农业农村局</w:t>
            </w:r>
          </w:p>
        </w:tc>
      </w:tr>
      <w:tr>
        <w:tblPrEx>
          <w:tblCellMar>
            <w:top w:w="0" w:type="dxa"/>
            <w:left w:w="0" w:type="dxa"/>
            <w:bottom w:w="0" w:type="dxa"/>
            <w:right w:w="0" w:type="dxa"/>
          </w:tblCellMar>
        </w:tblPrEx>
        <w:trPr>
          <w:trHeight w:val="73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17</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畜禽粪污</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综合利用率★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92.50%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&gt;90%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&gt;90%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县农业农村局</w:t>
            </w:r>
          </w:p>
        </w:tc>
      </w:tr>
      <w:tr>
        <w:tblPrEx>
          <w:tblCellMar>
            <w:top w:w="0" w:type="dxa"/>
            <w:left w:w="0" w:type="dxa"/>
            <w:bottom w:w="0" w:type="dxa"/>
            <w:right w:w="0" w:type="dxa"/>
          </w:tblCellMar>
        </w:tblPrEx>
        <w:trPr>
          <w:trHeight w:val="815"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18</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农膜回收率★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91.39%（2021年）</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91.5%</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&gt;92%</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县农业农村局</w:t>
            </w:r>
          </w:p>
        </w:tc>
      </w:tr>
      <w:tr>
        <w:tblPrEx>
          <w:tblCellMar>
            <w:top w:w="0" w:type="dxa"/>
            <w:left w:w="0" w:type="dxa"/>
            <w:bottom w:w="0" w:type="dxa"/>
            <w:right w:w="0" w:type="dxa"/>
          </w:tblCellMar>
        </w:tblPrEx>
        <w:trPr>
          <w:trHeight w:val="785"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19</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化学农药施用量</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下降幅度</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4.15%（较2019年）</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6%（较2020年）</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10%（较2020年）</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县农业农村局</w:t>
            </w:r>
          </w:p>
        </w:tc>
      </w:tr>
      <w:tr>
        <w:tblPrEx>
          <w:tblCellMar>
            <w:top w:w="0" w:type="dxa"/>
            <w:left w:w="0" w:type="dxa"/>
            <w:bottom w:w="0" w:type="dxa"/>
            <w:right w:w="0" w:type="dxa"/>
          </w:tblCellMar>
        </w:tblPrEx>
        <w:trPr>
          <w:trHeight w:val="841"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化学肥料施用量</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下降幅度</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5.13%（较2019年）</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3%（较2020年）</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6%（较2020年）</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县农业农村局</w:t>
            </w:r>
          </w:p>
        </w:tc>
      </w:tr>
      <w:tr>
        <w:tblPrEx>
          <w:tblCellMar>
            <w:top w:w="0" w:type="dxa"/>
            <w:left w:w="0" w:type="dxa"/>
            <w:bottom w:w="0" w:type="dxa"/>
            <w:right w:w="0" w:type="dxa"/>
          </w:tblCellMar>
        </w:tblPrEx>
        <w:trPr>
          <w:trHeight w:val="1066"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21</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建筑</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垃圾</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资源化利用</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建筑垃圾资源化</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利用率★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县综合行政执法局、县住房城乡建设局</w:t>
            </w:r>
          </w:p>
        </w:tc>
      </w:tr>
      <w:tr>
        <w:tblPrEx>
          <w:tblCellMar>
            <w:top w:w="0" w:type="dxa"/>
            <w:left w:w="0" w:type="dxa"/>
            <w:bottom w:w="0" w:type="dxa"/>
            <w:right w:w="0" w:type="dxa"/>
          </w:tblCellMar>
        </w:tblPrEx>
        <w:trPr>
          <w:trHeight w:val="698"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22</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领域</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资源化利用</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生活垃圾</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回收利用率★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25%</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35%</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县综合行政执法局</w:t>
            </w:r>
          </w:p>
        </w:tc>
      </w:tr>
      <w:tr>
        <w:tblPrEx>
          <w:tblCellMar>
            <w:top w:w="0" w:type="dxa"/>
            <w:left w:w="0" w:type="dxa"/>
            <w:bottom w:w="0" w:type="dxa"/>
            <w:right w:w="0" w:type="dxa"/>
          </w:tblCellMar>
        </w:tblPrEx>
        <w:trPr>
          <w:trHeight w:val="566"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23</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再生资源回收量</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增长率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2.3%</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县商务投资促进局</w:t>
            </w:r>
          </w:p>
        </w:tc>
      </w:tr>
      <w:tr>
        <w:tblPrEx>
          <w:tblCellMar>
            <w:top w:w="0" w:type="dxa"/>
            <w:left w:w="0" w:type="dxa"/>
            <w:bottom w:w="0" w:type="dxa"/>
            <w:right w:w="0" w:type="dxa"/>
          </w:tblCellMar>
        </w:tblPrEx>
        <w:trPr>
          <w:trHeight w:val="345"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24</w:t>
            </w:r>
          </w:p>
        </w:tc>
        <w:tc>
          <w:tcPr>
            <w:tcW w:w="344"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医疗卫生机构</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可回收物回收率★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县生态环境分局、县卫生健康局、县商务投资促进局、县市场监管局</w:t>
            </w:r>
          </w:p>
        </w:tc>
      </w:tr>
      <w:tr>
        <w:tblPrEx>
          <w:tblCellMar>
            <w:top w:w="0" w:type="dxa"/>
            <w:left w:w="0" w:type="dxa"/>
            <w:bottom w:w="0" w:type="dxa"/>
            <w:right w:w="0" w:type="dxa"/>
          </w:tblCellMar>
        </w:tblPrEx>
        <w:trPr>
          <w:trHeight w:val="912"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25</w:t>
            </w:r>
          </w:p>
        </w:tc>
        <w:tc>
          <w:tcPr>
            <w:tcW w:w="344"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最终</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处置</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eastAsia" w:ascii="仿宋_GB2312" w:hAnsi="仿宋_GB2312" w:eastAsia="仿宋_GB2312" w:cs="仿宋_GB2312"/>
                <w:sz w:val="20"/>
                <w:szCs w:val="20"/>
              </w:rPr>
            </w:pPr>
          </w:p>
        </w:tc>
        <w:tc>
          <w:tcPr>
            <w:tcW w:w="395"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危险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处置</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工业危险废物填埋处置量下降幅度★</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39.07%（较2019年）</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5%（较2020年）</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8%（较2020年）</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76"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26</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医疗废物收集</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处置体系覆盖率★</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县生态环境分局、县卫生健康局</w:t>
            </w:r>
          </w:p>
        </w:tc>
      </w:tr>
      <w:tr>
        <w:tblPrEx>
          <w:tblCellMar>
            <w:top w:w="0" w:type="dxa"/>
            <w:left w:w="0" w:type="dxa"/>
            <w:bottom w:w="0" w:type="dxa"/>
            <w:right w:w="0" w:type="dxa"/>
          </w:tblCellMar>
        </w:tblPrEx>
        <w:trPr>
          <w:trHeight w:val="1178"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27</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社会源危险废物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收集处置体系覆盖率</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42.53%</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60%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1078"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28</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一般</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工业</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贮存</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处置</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一般工业固体废物贮存处置量下降幅度★</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4%（较2020年）</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8%（较2020年）</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280"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29</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完成大宗工业固体废物堆存场所综合整治的堆场数量占比</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280"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30</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农业</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处置</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病死畜禽集中</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无害化处理率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93%</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95%</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县农业农村局</w:t>
            </w:r>
          </w:p>
        </w:tc>
      </w:tr>
      <w:tr>
        <w:tblPrEx>
          <w:tblCellMar>
            <w:top w:w="0" w:type="dxa"/>
            <w:left w:w="0" w:type="dxa"/>
            <w:bottom w:w="0" w:type="dxa"/>
            <w:right w:w="0" w:type="dxa"/>
          </w:tblCellMar>
        </w:tblPrEx>
        <w:trPr>
          <w:trHeight w:val="850"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31</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领域</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废物</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处置</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生活垃圾焚烧处理能力占比★</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县综合行政执法局</w:t>
            </w:r>
          </w:p>
        </w:tc>
      </w:tr>
      <w:tr>
        <w:tblPrEx>
          <w:tblCellMar>
            <w:top w:w="0" w:type="dxa"/>
            <w:left w:w="0" w:type="dxa"/>
            <w:bottom w:w="0" w:type="dxa"/>
            <w:right w:w="0" w:type="dxa"/>
          </w:tblCellMar>
        </w:tblPrEx>
        <w:trPr>
          <w:trHeight w:val="85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32</w:t>
            </w:r>
          </w:p>
        </w:tc>
        <w:tc>
          <w:tcPr>
            <w:tcW w:w="344"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城镇污水污泥</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无害化处置率★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县综合行政执法局</w:t>
            </w:r>
          </w:p>
        </w:tc>
      </w:tr>
      <w:tr>
        <w:tblPrEx>
          <w:tblCellMar>
            <w:top w:w="0" w:type="dxa"/>
            <w:left w:w="0" w:type="dxa"/>
            <w:bottom w:w="0" w:type="dxa"/>
            <w:right w:w="0" w:type="dxa"/>
          </w:tblCellMar>
        </w:tblPrEx>
        <w:trPr>
          <w:trHeight w:val="1847"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33</w:t>
            </w:r>
          </w:p>
        </w:tc>
        <w:tc>
          <w:tcPr>
            <w:tcW w:w="344"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保障</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能力</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eastAsia" w:ascii="仿宋_GB2312" w:hAnsi="仿宋_GB2312" w:eastAsia="仿宋_GB2312" w:cs="仿宋_GB2312"/>
                <w:sz w:val="20"/>
                <w:szCs w:val="20"/>
              </w:rPr>
            </w:pPr>
          </w:p>
        </w:tc>
        <w:tc>
          <w:tcPr>
            <w:tcW w:w="395" w:type="pct"/>
            <w:vMerge w:val="restart"/>
            <w:tcBorders>
              <w:top w:val="nil"/>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制度</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体系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“无废城市”建设</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政策性文件及有关规划制定★</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县生态环境分局、县发展和改革局、县综合行政执法局、县工业和信息化局</w:t>
            </w:r>
          </w:p>
        </w:tc>
      </w:tr>
      <w:tr>
        <w:tblPrEx>
          <w:tblCellMar>
            <w:top w:w="0" w:type="dxa"/>
            <w:left w:w="0" w:type="dxa"/>
            <w:bottom w:w="0" w:type="dxa"/>
            <w:right w:w="0" w:type="dxa"/>
          </w:tblCellMar>
        </w:tblPrEx>
        <w:trPr>
          <w:trHeight w:val="93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34</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“无废城市”建设</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协调机制★</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完成</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r>
      <w:tr>
        <w:tblPrEx>
          <w:tblCellMar>
            <w:top w:w="0" w:type="dxa"/>
            <w:left w:w="0" w:type="dxa"/>
            <w:bottom w:w="0" w:type="dxa"/>
            <w:right w:w="0" w:type="dxa"/>
          </w:tblCellMar>
        </w:tblPrEx>
        <w:trPr>
          <w:trHeight w:val="96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35</w:t>
            </w:r>
          </w:p>
        </w:tc>
        <w:tc>
          <w:tcPr>
            <w:tcW w:w="344"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“无废城市”建设成效纳入</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政绩考核情况</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建立工作考核机制</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县委组织部</w:t>
            </w:r>
          </w:p>
        </w:tc>
      </w:tr>
      <w:tr>
        <w:tblPrEx>
          <w:tblCellMar>
            <w:top w:w="0" w:type="dxa"/>
            <w:left w:w="0" w:type="dxa"/>
            <w:bottom w:w="0" w:type="dxa"/>
            <w:right w:w="0" w:type="dxa"/>
          </w:tblCellMar>
        </w:tblPrEx>
        <w:trPr>
          <w:trHeight w:val="2489"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36</w:t>
            </w:r>
          </w:p>
        </w:tc>
        <w:tc>
          <w:tcPr>
            <w:tcW w:w="344" w:type="pct"/>
            <w:vMerge w:val="restart"/>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保障</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能力</w:t>
            </w:r>
          </w:p>
        </w:tc>
        <w:tc>
          <w:tcPr>
            <w:tcW w:w="395"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制度</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体系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开展“无废细胞”建设的单位数量（机关企事业单位、饭店商场、集贸市场、社区、村镇）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31个</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县生态环境分局、县综合行政执法局、县发展和改革局、县教育体育局、县住房城乡建设局、县农业农村局、县商务投资促进局、县文化和旅游局</w:t>
            </w:r>
          </w:p>
        </w:tc>
      </w:tr>
      <w:tr>
        <w:tblPrEx>
          <w:tblCellMar>
            <w:top w:w="0" w:type="dxa"/>
            <w:left w:w="0" w:type="dxa"/>
            <w:bottom w:w="0" w:type="dxa"/>
            <w:right w:w="0" w:type="dxa"/>
          </w:tblCellMar>
        </w:tblPrEx>
        <w:trPr>
          <w:trHeight w:val="802"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37</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市场</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体系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“无废城市”建设</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项目投资总额★</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r>
      <w:tr>
        <w:tblPrEx>
          <w:tblCellMar>
            <w:top w:w="0" w:type="dxa"/>
            <w:left w:w="0" w:type="dxa"/>
            <w:bottom w:w="0" w:type="dxa"/>
            <w:right w:w="0" w:type="dxa"/>
          </w:tblCellMar>
        </w:tblPrEx>
        <w:trPr>
          <w:trHeight w:val="1019"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38</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纳入企业环境信用评价范围的固体废物相关企业数量占比</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县生态环境分局等</w:t>
            </w:r>
          </w:p>
        </w:tc>
      </w:tr>
      <w:tr>
        <w:tblPrEx>
          <w:tblCellMar>
            <w:top w:w="0" w:type="dxa"/>
            <w:left w:w="0" w:type="dxa"/>
            <w:bottom w:w="0" w:type="dxa"/>
            <w:right w:w="0" w:type="dxa"/>
          </w:tblCellMar>
        </w:tblPrEx>
        <w:trPr>
          <w:trHeight w:val="60"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39</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危险废物经营单位环境污染责任保险覆盖率</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县生态环境分局、中国人民银行冠县支行和冠县银保监分局等</w:t>
            </w:r>
          </w:p>
        </w:tc>
      </w:tr>
      <w:tr>
        <w:tblPrEx>
          <w:tblCellMar>
            <w:top w:w="0" w:type="dxa"/>
            <w:left w:w="0" w:type="dxa"/>
            <w:bottom w:w="0" w:type="dxa"/>
            <w:right w:w="0" w:type="dxa"/>
          </w:tblCellMar>
        </w:tblPrEx>
        <w:trPr>
          <w:trHeight w:val="969"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40</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技术</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体系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引导企业和社会组织参与固体废物资源化、无害化技术标准与规范制修订</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固体废物行业主管部门、县市场监管局</w:t>
            </w:r>
          </w:p>
        </w:tc>
      </w:tr>
      <w:tr>
        <w:tblPrEx>
          <w:tblCellMar>
            <w:top w:w="0" w:type="dxa"/>
            <w:left w:w="0" w:type="dxa"/>
            <w:bottom w:w="0" w:type="dxa"/>
            <w:right w:w="0" w:type="dxa"/>
          </w:tblCellMar>
        </w:tblPrEx>
        <w:trPr>
          <w:trHeight w:val="1171"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41</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监管</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体系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固体废物管理</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信息化监管情况★</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开展“无废城市”智慧监管平台建设</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初步建成“无废城市”智慧监管平台</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“无废城市”智慧监管平台建设相关部门</w:t>
            </w:r>
          </w:p>
        </w:tc>
      </w:tr>
      <w:tr>
        <w:tblPrEx>
          <w:tblCellMar>
            <w:top w:w="0" w:type="dxa"/>
            <w:left w:w="0" w:type="dxa"/>
            <w:bottom w:w="0" w:type="dxa"/>
            <w:right w:w="0" w:type="dxa"/>
          </w:tblCellMar>
        </w:tblPrEx>
        <w:trPr>
          <w:trHeight w:val="706"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42</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危险废物规范化</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管理抽查合格率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1015"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43</w:t>
            </w:r>
          </w:p>
        </w:tc>
        <w:tc>
          <w:tcPr>
            <w:tcW w:w="344"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固体废物环境污染</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刑事案件立案率★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县生态环境分局、县公安局</w:t>
            </w:r>
          </w:p>
        </w:tc>
      </w:tr>
      <w:tr>
        <w:tblPrEx>
          <w:tblCellMar>
            <w:top w:w="0" w:type="dxa"/>
            <w:left w:w="0" w:type="dxa"/>
            <w:bottom w:w="0" w:type="dxa"/>
            <w:right w:w="0" w:type="dxa"/>
          </w:tblCellMar>
        </w:tblPrEx>
        <w:trPr>
          <w:trHeight w:val="118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44</w:t>
            </w:r>
          </w:p>
        </w:tc>
        <w:tc>
          <w:tcPr>
            <w:tcW w:w="344" w:type="pct"/>
            <w:vMerge w:val="restart"/>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保障</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能力</w:t>
            </w:r>
          </w:p>
        </w:tc>
        <w:tc>
          <w:tcPr>
            <w:tcW w:w="395" w:type="pct"/>
            <w:vMerge w:val="restart"/>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监管</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体系</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涉固体废物信访、投诉、举报案件办结率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1134"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45</w:t>
            </w:r>
          </w:p>
        </w:tc>
        <w:tc>
          <w:tcPr>
            <w:tcW w:w="344"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固体废物环境污染案件开展生态环境损害赔偿工作的覆盖率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县生态环境分局</w:t>
            </w:r>
          </w:p>
        </w:tc>
      </w:tr>
      <w:tr>
        <w:tblPrEx>
          <w:tblCellMar>
            <w:top w:w="0" w:type="dxa"/>
            <w:left w:w="0" w:type="dxa"/>
            <w:bottom w:w="0" w:type="dxa"/>
            <w:right w:w="0" w:type="dxa"/>
          </w:tblCellMar>
        </w:tblPrEx>
        <w:trPr>
          <w:trHeight w:val="956"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46</w:t>
            </w:r>
          </w:p>
        </w:tc>
        <w:tc>
          <w:tcPr>
            <w:tcW w:w="344"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群众</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获得感</w:t>
            </w:r>
          </w:p>
        </w:tc>
        <w:tc>
          <w:tcPr>
            <w:tcW w:w="395" w:type="pct"/>
            <w:vMerge w:val="restart"/>
            <w:tcBorders>
              <w:top w:val="single" w:color="auto" w:sz="4" w:space="0"/>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群众</w:t>
            </w:r>
          </w:p>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获得感</w:t>
            </w: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“无废城市”建设宣传教育培训普及率</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各相关部门</w:t>
            </w:r>
          </w:p>
        </w:tc>
      </w:tr>
      <w:tr>
        <w:tblPrEx>
          <w:tblCellMar>
            <w:top w:w="0" w:type="dxa"/>
            <w:left w:w="0" w:type="dxa"/>
            <w:bottom w:w="0" w:type="dxa"/>
            <w:right w:w="0" w:type="dxa"/>
          </w:tblCellMar>
        </w:tblPrEx>
        <w:trPr>
          <w:trHeight w:val="1293"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47</w:t>
            </w:r>
          </w:p>
        </w:tc>
        <w:tc>
          <w:tcPr>
            <w:tcW w:w="344"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政府、企事业单位、非政府环境组织、公众对“无废城市”建设的参与程度</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95%</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各相关部门</w:t>
            </w:r>
          </w:p>
        </w:tc>
      </w:tr>
      <w:tr>
        <w:tblPrEx>
          <w:tblCellMar>
            <w:top w:w="0" w:type="dxa"/>
            <w:left w:w="0" w:type="dxa"/>
            <w:bottom w:w="0" w:type="dxa"/>
            <w:right w:w="0" w:type="dxa"/>
          </w:tblCellMar>
        </w:tblPrEx>
        <w:trPr>
          <w:trHeight w:val="1109" w:hRule="atLeast"/>
          <w:jc w:val="center"/>
        </w:trPr>
        <w:tc>
          <w:tcPr>
            <w:tcW w:w="284"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tabs>
                <w:tab w:val="left" w:pos="397"/>
              </w:tabs>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48</w:t>
            </w:r>
          </w:p>
        </w:tc>
        <w:tc>
          <w:tcPr>
            <w:tcW w:w="344"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395" w:type="pct"/>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p>
        </w:tc>
        <w:tc>
          <w:tcPr>
            <w:tcW w:w="1344"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公众对“无废城市”建设成效的满意程度★</w:t>
            </w:r>
          </w:p>
        </w:tc>
        <w:tc>
          <w:tcPr>
            <w:tcW w:w="616"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p>
        </w:tc>
        <w:tc>
          <w:tcPr>
            <w:tcW w:w="61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70%</w:t>
            </w:r>
          </w:p>
        </w:tc>
        <w:tc>
          <w:tcPr>
            <w:tcW w:w="616" w:type="pct"/>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90%</w:t>
            </w:r>
          </w:p>
        </w:tc>
        <w:tc>
          <w:tcPr>
            <w:tcW w:w="7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各相关部门</w:t>
            </w:r>
          </w:p>
        </w:tc>
      </w:tr>
      <w:bookmarkEnd w:id="122"/>
    </w:tbl>
    <w:p>
      <w:pPr>
        <w:pageBreakBefore w:val="0"/>
        <w:widowControl w:val="0"/>
        <w:kinsoku/>
        <w:wordWrap/>
        <w:overflowPunct/>
        <w:topLinePunct w:val="0"/>
        <w:autoSpaceDE/>
        <w:autoSpaceDN/>
        <w:bidi w:val="0"/>
        <w:spacing w:line="600" w:lineRule="exact"/>
        <w:ind w:firstLine="450"/>
        <w:textAlignment w:val="auto"/>
        <w:rPr>
          <w:rFonts w:hint="eastAsia" w:ascii="Segoe UI Symbol" w:hAnsi="Segoe UI Symbol" w:eastAsia="宋体" w:cs="Segoe UI Symbol"/>
          <w:sz w:val="24"/>
          <w:szCs w:val="24"/>
        </w:rPr>
      </w:pPr>
      <w:r>
        <w:rPr>
          <w:rFonts w:hint="eastAsia" w:ascii="Segoe UI Symbol" w:hAnsi="Segoe UI Symbol" w:eastAsia="宋体" w:cs="Segoe UI Symbol"/>
          <w:sz w:val="24"/>
          <w:szCs w:val="24"/>
        </w:rPr>
        <w:t>注：</w:t>
      </w:r>
      <w:r>
        <w:rPr>
          <w:rFonts w:ascii="Segoe UI Symbol" w:hAnsi="Segoe UI Symbol" w:eastAsia="宋体" w:cs="Segoe UI Symbol"/>
          <w:sz w:val="24"/>
          <w:szCs w:val="24"/>
        </w:rPr>
        <w:t>★</w:t>
      </w:r>
      <w:r>
        <w:rPr>
          <w:rFonts w:hint="eastAsia" w:ascii="Segoe UI Symbol" w:hAnsi="Segoe UI Symbol" w:eastAsia="宋体" w:cs="Segoe UI Symbol"/>
          <w:sz w:val="24"/>
          <w:szCs w:val="24"/>
        </w:rPr>
        <w:t>表示必选指标。</w:t>
      </w: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ascii="Segoe UI Symbol" w:hAnsi="Segoe UI Symbol" w:eastAsia="宋体" w:cs="Segoe UI Symbol"/>
          <w:sz w:val="24"/>
          <w:szCs w:val="24"/>
        </w:rPr>
      </w:pPr>
    </w:p>
    <w:p>
      <w:pPr>
        <w:pStyle w:val="13"/>
        <w:rPr>
          <w:rFonts w:hint="eastAsia" w:ascii="Segoe UI Symbol" w:hAnsi="Segoe UI Symbol" w:eastAsia="宋体" w:cs="Segoe UI Symbol"/>
          <w:sz w:val="24"/>
          <w:szCs w:val="24"/>
        </w:rPr>
      </w:pPr>
    </w:p>
    <w:p>
      <w:pPr>
        <w:rPr>
          <w:rFonts w:hint="eastAsia"/>
        </w:rPr>
      </w:pPr>
    </w:p>
    <w:p>
      <w:pPr>
        <w:pStyle w:val="13"/>
        <w:rPr>
          <w:rFonts w:hint="eastAsia" w:ascii="Segoe UI Symbol" w:hAnsi="Segoe UI Symbol" w:eastAsia="宋体" w:cs="Segoe UI Symbol"/>
          <w:sz w:val="24"/>
          <w:szCs w:val="24"/>
        </w:rPr>
      </w:pP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Segoe UI Symbol" w:hAnsi="Segoe UI Symbol" w:eastAsia="宋体" w:cs="Segoe UI Symbol"/>
          <w:sz w:val="24"/>
          <w:szCs w:val="24"/>
        </w:rPr>
      </w:pPr>
    </w:p>
    <w:p>
      <w:pPr>
        <w:rPr>
          <w:rFonts w:hint="eastAsia"/>
        </w:rPr>
      </w:pPr>
    </w:p>
    <w:p>
      <w:pPr>
        <w:pStyle w:val="17"/>
        <w:pageBreakBefore w:val="0"/>
        <w:widowControl/>
        <w:kinsoku/>
        <w:overflowPunct/>
        <w:topLinePunct w:val="0"/>
        <w:autoSpaceDE/>
        <w:autoSpaceDN/>
        <w:bidi w:val="0"/>
        <w:adjustRightInd/>
        <w:snapToGrid/>
        <w:spacing w:before="0" w:after="0" w:line="600" w:lineRule="exact"/>
        <w:textAlignment w:val="auto"/>
        <w:rPr>
          <w:color w:val="000000"/>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-50800</wp:posOffset>
                </wp:positionH>
                <wp:positionV relativeFrom="paragraph">
                  <wp:posOffset>377190</wp:posOffset>
                </wp:positionV>
                <wp:extent cx="53340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4pt;margin-top:29.7pt;height:0.05pt;width:420pt;z-index:251660288;mso-width-relative:page;mso-height-relative:page;" filled="f" stroked="t" coordsize="21600,21600" o:gfxdata="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qJnPtdYAAAAIAQAADwAAAAAAAAABACAAAAA4AAAAZHJzL2Rvd25yZXYueG1sUEsB&#10;AhQAFAAAAAgAh07iQPxni+XhAQAAqQMAAA4AAAAAAAAAAQAgAAAAOwEAAGRycy9lMm9Eb2MueG1s&#10;UEsFBgAAAAAGAAYAWQEAAI4FAAAAAA==&#10;">
                <v:fill on="f" focussize="0,0"/>
                <v:stroke color="#000000" joinstyle="round"/>
                <v:imagedata o:title=""/>
                <o:lock v:ext="edit" aspectratio="f"/>
              </v:line>
            </w:pict>
          </mc:Fallback>
        </mc:AlternateContent>
      </w: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leftChars="0" w:right="-33" w:rightChars="-11" w:firstLine="0" w:firstLineChars="0"/>
        <w:jc w:val="center"/>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 xml:space="preserve">冠县人民政府办公室             </w:t>
      </w:r>
      <w:r>
        <w:rPr>
          <w:rFonts w:hint="eastAsia" w:ascii="仿宋_GB2312" w:hAnsi="仿宋_GB2312" w:cs="仿宋_GB2312"/>
          <w:color w:val="000000"/>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
        </w:rPr>
        <w:t xml:space="preserve">  2023年8月1</w:t>
      </w:r>
      <w:r>
        <w:rPr>
          <w:rFonts w:hint="eastAsia" w:ascii="仿宋_GB2312" w:hAnsi="仿宋_GB2312" w:cs="仿宋_GB2312"/>
          <w:color w:val="000000"/>
          <w:kern w:val="2"/>
          <w:sz w:val="32"/>
          <w:szCs w:val="32"/>
          <w:lang w:val="en-US" w:eastAsia="zh-CN" w:bidi="ar"/>
        </w:rPr>
        <w:t>9</w:t>
      </w:r>
      <w:r>
        <w:rPr>
          <w:rFonts w:hint="eastAsia" w:ascii="仿宋_GB2312" w:hAnsi="仿宋_GB2312" w:eastAsia="仿宋_GB2312" w:cs="仿宋_GB2312"/>
          <w:color w:val="000000"/>
          <w:kern w:val="2"/>
          <w:sz w:val="32"/>
          <w:szCs w:val="32"/>
          <w:lang w:val="en-US" w:eastAsia="zh-CN" w:bidi="ar"/>
        </w:rPr>
        <w:t>日印发</w:t>
      </w:r>
    </w:p>
    <w:p>
      <w:pPr>
        <w:pStyle w:val="5"/>
        <w:pageBreakBefore w:val="0"/>
        <w:widowControl/>
        <w:kinsoku/>
        <w:overflowPunct/>
        <w:topLinePunct w:val="0"/>
        <w:autoSpaceDE/>
        <w:autoSpaceDN/>
        <w:bidi w:val="0"/>
        <w:adjustRightInd/>
        <w:snapToGrid/>
        <w:spacing w:beforeLines="0" w:afterLines="0" w:line="600" w:lineRule="exact"/>
        <w:ind w:left="0" w:firstLine="6405" w:firstLineChars="2100"/>
        <w:textAlignment w:val="auto"/>
      </w:pPr>
      <w:r>
        <w:rPr>
          <w:color w:val="000000"/>
          <w:lang w:eastAsia="zh-CN"/>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3.55pt;margin-top:2.1pt;height:0.05pt;width:420pt;z-index:251661312;mso-width-relative:page;mso-height-relative:page;" filled="f" stroked="t" coordsize="21600,21600" o:gfxdata="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DbzELXUAAAABgEAAA8AAAAAAAAAAQAgAAAAOAAAAGRycy9kb3ducmV2LnhtbFBLAQIU&#10;ABQAAAAIAIdO4kCP2NEL4QEAAKkDAAAOAAAAAAAAAAEAIAAAADk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10</w:t>
      </w:r>
      <w:r>
        <w:rPr>
          <w:rFonts w:hint="eastAsia" w:ascii="仿宋_GB2312" w:hAnsi="仿宋_GB2312" w:eastAsia="仿宋_GB2312" w:cs="仿宋_GB2312"/>
          <w:b w:val="0"/>
          <w:color w:val="000000"/>
          <w:sz w:val="32"/>
          <w:szCs w:val="32"/>
          <w:lang w:eastAsia="zh-CN"/>
        </w:rPr>
        <w:t>份）</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701" w:bottom="1701" w:left="1701" w:header="851" w:footer="1417" w:gutter="0"/>
      <w:pgNumType w:fmt="numberInDash" w:start="1"/>
      <w:cols w:space="0" w:num="1"/>
      <w:rtlGutter w:val="0"/>
      <w:docGrid w:type="linesAndChars" w:linePitch="579" w:charSpace="-30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10"/>
      </w:pPr>
      <w:r>
        <w:separator/>
      </w:r>
    </w:p>
  </w:endnote>
  <w:endnote w:type="continuationSeparator" w:id="1">
    <w:p>
      <w:pPr>
        <w:spacing w:line="240" w:lineRule="auto"/>
        <w:ind w:firstLine="6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Calibri Light">
    <w:altName w:val="DejaVu Sans"/>
    <w:panose1 w:val="020F0302020204030204"/>
    <w:charset w:val="00"/>
    <w:family w:val="swiss"/>
    <w:pitch w:val="default"/>
    <w:sig w:usb0="00000000" w:usb1="00000000" w:usb2="00000009" w:usb3="00000000" w:csb0="200001FF" w:csb1="00000000"/>
  </w:font>
  <w:font w:name="方正大标宋简体">
    <w:altName w:val="方正书宋_GBK"/>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Segoe UI Symbol">
    <w:altName w:val="Noto Sans"/>
    <w:panose1 w:val="020B0502040204020203"/>
    <w:charset w:val="00"/>
    <w:family w:val="swiss"/>
    <w:pitch w:val="default"/>
    <w:sig w:usb0="00000000" w:usb1="00000000" w:usb2="00040000" w:usb3="04000000" w:csb0="00000001" w:csb1="40000000"/>
  </w:font>
  <w:font w:name="URW Bookman">
    <w:panose1 w:val="00000400000000000000"/>
    <w:charset w:val="00"/>
    <w:family w:val="auto"/>
    <w:pitch w:val="default"/>
    <w:sig w:usb0="00000287" w:usb1="00000800" w:usb2="00000000" w:usb3="00000000" w:csb0="600000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等线 Light">
    <w:altName w:val="URW Bookman"/>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Noto Sans">
    <w:panose1 w:val="020B0502040504020204"/>
    <w:charset w:val="00"/>
    <w:family w:val="auto"/>
    <w:pitch w:val="default"/>
    <w:sig w:usb0="E00002FF" w:usb1="4000201F" w:usb2="08000029" w:usb3="001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1"/>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10"/>
      </w:pPr>
      <w:r>
        <w:separator/>
      </w:r>
    </w:p>
  </w:footnote>
  <w:footnote w:type="continuationSeparator" w:id="1">
    <w:p>
      <w:pPr>
        <w:spacing w:line="240" w:lineRule="auto"/>
        <w:ind w:firstLine="6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SpellingErrors/>
  <w:documentProtection w:enforcement="0"/>
  <w:defaultTabStop w:val="420"/>
  <w:drawingGridHorizontalSpacing w:val="305"/>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lMDIxODUxZjAzNTk4Yjc2NzUzOWEzMjM4YWIzMGUifQ=="/>
    <w:docVar w:name="KSO_WPS_MARK_KEY" w:val="8f103d59-285e-469e-a242-ff882641633e"/>
  </w:docVars>
  <w:rsids>
    <w:rsidRoot w:val="00AB6543"/>
    <w:rsid w:val="00000509"/>
    <w:rsid w:val="000008AB"/>
    <w:rsid w:val="00000A48"/>
    <w:rsid w:val="00001882"/>
    <w:rsid w:val="00002A43"/>
    <w:rsid w:val="00002C0D"/>
    <w:rsid w:val="000044AA"/>
    <w:rsid w:val="000050F9"/>
    <w:rsid w:val="000060DC"/>
    <w:rsid w:val="000102D4"/>
    <w:rsid w:val="00010360"/>
    <w:rsid w:val="0001256F"/>
    <w:rsid w:val="0001268A"/>
    <w:rsid w:val="00012B48"/>
    <w:rsid w:val="000137AA"/>
    <w:rsid w:val="00015695"/>
    <w:rsid w:val="0001636F"/>
    <w:rsid w:val="00016743"/>
    <w:rsid w:val="000179AB"/>
    <w:rsid w:val="000208B8"/>
    <w:rsid w:val="00020A15"/>
    <w:rsid w:val="00020AC2"/>
    <w:rsid w:val="00020CCE"/>
    <w:rsid w:val="000219AD"/>
    <w:rsid w:val="00021A6F"/>
    <w:rsid w:val="00022CA2"/>
    <w:rsid w:val="00023661"/>
    <w:rsid w:val="000239B3"/>
    <w:rsid w:val="000239ED"/>
    <w:rsid w:val="000262CF"/>
    <w:rsid w:val="00026E8A"/>
    <w:rsid w:val="00030A17"/>
    <w:rsid w:val="00031011"/>
    <w:rsid w:val="0003164F"/>
    <w:rsid w:val="00034373"/>
    <w:rsid w:val="00034C77"/>
    <w:rsid w:val="000368EE"/>
    <w:rsid w:val="0003759B"/>
    <w:rsid w:val="00037FBE"/>
    <w:rsid w:val="0004141C"/>
    <w:rsid w:val="0004191D"/>
    <w:rsid w:val="00043374"/>
    <w:rsid w:val="00044AD0"/>
    <w:rsid w:val="00045320"/>
    <w:rsid w:val="0004583B"/>
    <w:rsid w:val="0004719E"/>
    <w:rsid w:val="0004759D"/>
    <w:rsid w:val="000478B4"/>
    <w:rsid w:val="000478D5"/>
    <w:rsid w:val="000502E6"/>
    <w:rsid w:val="00050539"/>
    <w:rsid w:val="00051691"/>
    <w:rsid w:val="0005235B"/>
    <w:rsid w:val="000526D7"/>
    <w:rsid w:val="00052B42"/>
    <w:rsid w:val="00052C8F"/>
    <w:rsid w:val="00052E7F"/>
    <w:rsid w:val="00053BC2"/>
    <w:rsid w:val="000540ED"/>
    <w:rsid w:val="00054B2A"/>
    <w:rsid w:val="00055514"/>
    <w:rsid w:val="000558E3"/>
    <w:rsid w:val="0005689B"/>
    <w:rsid w:val="000569B4"/>
    <w:rsid w:val="00056A65"/>
    <w:rsid w:val="00060D38"/>
    <w:rsid w:val="00061223"/>
    <w:rsid w:val="00061A24"/>
    <w:rsid w:val="000627C2"/>
    <w:rsid w:val="00063571"/>
    <w:rsid w:val="0006446A"/>
    <w:rsid w:val="000645EB"/>
    <w:rsid w:val="0006559A"/>
    <w:rsid w:val="00066815"/>
    <w:rsid w:val="00070906"/>
    <w:rsid w:val="000715BF"/>
    <w:rsid w:val="00071F37"/>
    <w:rsid w:val="00072139"/>
    <w:rsid w:val="00072D8A"/>
    <w:rsid w:val="0007364D"/>
    <w:rsid w:val="000742B2"/>
    <w:rsid w:val="00075CCF"/>
    <w:rsid w:val="00076108"/>
    <w:rsid w:val="00077572"/>
    <w:rsid w:val="00080A96"/>
    <w:rsid w:val="00083AA9"/>
    <w:rsid w:val="00084C6B"/>
    <w:rsid w:val="000860CB"/>
    <w:rsid w:val="000865C2"/>
    <w:rsid w:val="00086C54"/>
    <w:rsid w:val="00086E4D"/>
    <w:rsid w:val="00087124"/>
    <w:rsid w:val="000872A9"/>
    <w:rsid w:val="0008747C"/>
    <w:rsid w:val="000879FF"/>
    <w:rsid w:val="000907B7"/>
    <w:rsid w:val="00090998"/>
    <w:rsid w:val="00091769"/>
    <w:rsid w:val="00091BB0"/>
    <w:rsid w:val="00092F2B"/>
    <w:rsid w:val="00095F84"/>
    <w:rsid w:val="00096B12"/>
    <w:rsid w:val="00096F49"/>
    <w:rsid w:val="000A0954"/>
    <w:rsid w:val="000A0A6C"/>
    <w:rsid w:val="000A0D21"/>
    <w:rsid w:val="000A1025"/>
    <w:rsid w:val="000A2ECE"/>
    <w:rsid w:val="000A4D46"/>
    <w:rsid w:val="000A502B"/>
    <w:rsid w:val="000A531F"/>
    <w:rsid w:val="000A5421"/>
    <w:rsid w:val="000A575F"/>
    <w:rsid w:val="000A59B1"/>
    <w:rsid w:val="000A685E"/>
    <w:rsid w:val="000B04AB"/>
    <w:rsid w:val="000B239E"/>
    <w:rsid w:val="000B370A"/>
    <w:rsid w:val="000B4ADC"/>
    <w:rsid w:val="000B4AE0"/>
    <w:rsid w:val="000B511F"/>
    <w:rsid w:val="000B51FE"/>
    <w:rsid w:val="000B59B6"/>
    <w:rsid w:val="000C0207"/>
    <w:rsid w:val="000C0ED0"/>
    <w:rsid w:val="000C2FC5"/>
    <w:rsid w:val="000C36F6"/>
    <w:rsid w:val="000C5644"/>
    <w:rsid w:val="000C57A1"/>
    <w:rsid w:val="000C5C14"/>
    <w:rsid w:val="000C69AE"/>
    <w:rsid w:val="000C6A4C"/>
    <w:rsid w:val="000C6BF7"/>
    <w:rsid w:val="000C771B"/>
    <w:rsid w:val="000D000D"/>
    <w:rsid w:val="000D11E6"/>
    <w:rsid w:val="000D2495"/>
    <w:rsid w:val="000D359E"/>
    <w:rsid w:val="000D3A8C"/>
    <w:rsid w:val="000D41AE"/>
    <w:rsid w:val="000D48B7"/>
    <w:rsid w:val="000E0137"/>
    <w:rsid w:val="000E1EEC"/>
    <w:rsid w:val="000E1F93"/>
    <w:rsid w:val="000E2918"/>
    <w:rsid w:val="000E3A66"/>
    <w:rsid w:val="000E3B23"/>
    <w:rsid w:val="000E4F0B"/>
    <w:rsid w:val="000E519C"/>
    <w:rsid w:val="000E7386"/>
    <w:rsid w:val="000F0BFA"/>
    <w:rsid w:val="000F0F20"/>
    <w:rsid w:val="000F17DF"/>
    <w:rsid w:val="000F2B0F"/>
    <w:rsid w:val="000F3723"/>
    <w:rsid w:val="000F3D9C"/>
    <w:rsid w:val="000F3FC7"/>
    <w:rsid w:val="000F46B3"/>
    <w:rsid w:val="000F57D1"/>
    <w:rsid w:val="000F5C6F"/>
    <w:rsid w:val="000F6C07"/>
    <w:rsid w:val="000F7076"/>
    <w:rsid w:val="000F7948"/>
    <w:rsid w:val="0010108B"/>
    <w:rsid w:val="0010179B"/>
    <w:rsid w:val="00102D9E"/>
    <w:rsid w:val="00103F49"/>
    <w:rsid w:val="001045EB"/>
    <w:rsid w:val="00106039"/>
    <w:rsid w:val="00107ED0"/>
    <w:rsid w:val="00110788"/>
    <w:rsid w:val="001120DD"/>
    <w:rsid w:val="001126CD"/>
    <w:rsid w:val="001133D3"/>
    <w:rsid w:val="0011390A"/>
    <w:rsid w:val="00114219"/>
    <w:rsid w:val="00114A0F"/>
    <w:rsid w:val="00115490"/>
    <w:rsid w:val="00120500"/>
    <w:rsid w:val="00121263"/>
    <w:rsid w:val="0012138C"/>
    <w:rsid w:val="001216DE"/>
    <w:rsid w:val="00122F85"/>
    <w:rsid w:val="00123AE6"/>
    <w:rsid w:val="00123D1B"/>
    <w:rsid w:val="001244A9"/>
    <w:rsid w:val="001245E9"/>
    <w:rsid w:val="001252B0"/>
    <w:rsid w:val="001254A5"/>
    <w:rsid w:val="001259D5"/>
    <w:rsid w:val="00125BD9"/>
    <w:rsid w:val="00126333"/>
    <w:rsid w:val="00126FC9"/>
    <w:rsid w:val="00127FB7"/>
    <w:rsid w:val="00131F60"/>
    <w:rsid w:val="00132A3F"/>
    <w:rsid w:val="0013380A"/>
    <w:rsid w:val="00133B85"/>
    <w:rsid w:val="00134A91"/>
    <w:rsid w:val="00134C26"/>
    <w:rsid w:val="0013521E"/>
    <w:rsid w:val="00135D2B"/>
    <w:rsid w:val="00136C67"/>
    <w:rsid w:val="00136FFF"/>
    <w:rsid w:val="001407BD"/>
    <w:rsid w:val="00140843"/>
    <w:rsid w:val="0014252A"/>
    <w:rsid w:val="00142A72"/>
    <w:rsid w:val="001433B2"/>
    <w:rsid w:val="00144C19"/>
    <w:rsid w:val="00144D61"/>
    <w:rsid w:val="00145B9B"/>
    <w:rsid w:val="001460AD"/>
    <w:rsid w:val="00146297"/>
    <w:rsid w:val="001467C6"/>
    <w:rsid w:val="00147A88"/>
    <w:rsid w:val="00150873"/>
    <w:rsid w:val="00150A03"/>
    <w:rsid w:val="00150C2F"/>
    <w:rsid w:val="0015279A"/>
    <w:rsid w:val="00152B65"/>
    <w:rsid w:val="00155D1E"/>
    <w:rsid w:val="00155DE4"/>
    <w:rsid w:val="00157265"/>
    <w:rsid w:val="001606A2"/>
    <w:rsid w:val="001613FD"/>
    <w:rsid w:val="00161763"/>
    <w:rsid w:val="00161B89"/>
    <w:rsid w:val="00162ADD"/>
    <w:rsid w:val="001636CF"/>
    <w:rsid w:val="001636E1"/>
    <w:rsid w:val="00164689"/>
    <w:rsid w:val="00164D23"/>
    <w:rsid w:val="00165019"/>
    <w:rsid w:val="001676C8"/>
    <w:rsid w:val="00167AF4"/>
    <w:rsid w:val="00170652"/>
    <w:rsid w:val="00171A9B"/>
    <w:rsid w:val="00171CBD"/>
    <w:rsid w:val="0017288E"/>
    <w:rsid w:val="00172B41"/>
    <w:rsid w:val="001749C6"/>
    <w:rsid w:val="001772F0"/>
    <w:rsid w:val="0018004C"/>
    <w:rsid w:val="00181BB5"/>
    <w:rsid w:val="001821A7"/>
    <w:rsid w:val="00183AB4"/>
    <w:rsid w:val="00183E0B"/>
    <w:rsid w:val="00184519"/>
    <w:rsid w:val="00184A36"/>
    <w:rsid w:val="00184AC1"/>
    <w:rsid w:val="001851C3"/>
    <w:rsid w:val="00186028"/>
    <w:rsid w:val="00187FEC"/>
    <w:rsid w:val="0019007E"/>
    <w:rsid w:val="00190712"/>
    <w:rsid w:val="00190FB8"/>
    <w:rsid w:val="00191E46"/>
    <w:rsid w:val="00192370"/>
    <w:rsid w:val="00193232"/>
    <w:rsid w:val="001932AE"/>
    <w:rsid w:val="00194D47"/>
    <w:rsid w:val="001951B6"/>
    <w:rsid w:val="001955FB"/>
    <w:rsid w:val="00195CFD"/>
    <w:rsid w:val="001975D2"/>
    <w:rsid w:val="00197665"/>
    <w:rsid w:val="00197CDB"/>
    <w:rsid w:val="00197F34"/>
    <w:rsid w:val="001A0697"/>
    <w:rsid w:val="001A0A7A"/>
    <w:rsid w:val="001A1787"/>
    <w:rsid w:val="001A1A6F"/>
    <w:rsid w:val="001A1BC7"/>
    <w:rsid w:val="001A290D"/>
    <w:rsid w:val="001A3377"/>
    <w:rsid w:val="001A3BBE"/>
    <w:rsid w:val="001A3D82"/>
    <w:rsid w:val="001A47D0"/>
    <w:rsid w:val="001A4EC0"/>
    <w:rsid w:val="001A58CB"/>
    <w:rsid w:val="001A5DAE"/>
    <w:rsid w:val="001A6337"/>
    <w:rsid w:val="001A6D1C"/>
    <w:rsid w:val="001A6F1C"/>
    <w:rsid w:val="001A76A9"/>
    <w:rsid w:val="001B0321"/>
    <w:rsid w:val="001B159A"/>
    <w:rsid w:val="001B2F5E"/>
    <w:rsid w:val="001B326F"/>
    <w:rsid w:val="001B3DA2"/>
    <w:rsid w:val="001B4D81"/>
    <w:rsid w:val="001B5B0A"/>
    <w:rsid w:val="001B5DCF"/>
    <w:rsid w:val="001B6120"/>
    <w:rsid w:val="001B61B3"/>
    <w:rsid w:val="001B6A9F"/>
    <w:rsid w:val="001B7410"/>
    <w:rsid w:val="001B79A4"/>
    <w:rsid w:val="001B7E2A"/>
    <w:rsid w:val="001C072E"/>
    <w:rsid w:val="001C0EF9"/>
    <w:rsid w:val="001C1472"/>
    <w:rsid w:val="001C2223"/>
    <w:rsid w:val="001C2704"/>
    <w:rsid w:val="001C3AAE"/>
    <w:rsid w:val="001C4144"/>
    <w:rsid w:val="001C5FE5"/>
    <w:rsid w:val="001C6145"/>
    <w:rsid w:val="001C68C8"/>
    <w:rsid w:val="001C72B1"/>
    <w:rsid w:val="001D0919"/>
    <w:rsid w:val="001D0FBE"/>
    <w:rsid w:val="001D1EC0"/>
    <w:rsid w:val="001D25F8"/>
    <w:rsid w:val="001D29D5"/>
    <w:rsid w:val="001D3452"/>
    <w:rsid w:val="001D3C21"/>
    <w:rsid w:val="001D414B"/>
    <w:rsid w:val="001D5356"/>
    <w:rsid w:val="001D5DED"/>
    <w:rsid w:val="001D5E6B"/>
    <w:rsid w:val="001D5F40"/>
    <w:rsid w:val="001D6242"/>
    <w:rsid w:val="001D6F29"/>
    <w:rsid w:val="001D787E"/>
    <w:rsid w:val="001D7C47"/>
    <w:rsid w:val="001E02C9"/>
    <w:rsid w:val="001E0555"/>
    <w:rsid w:val="001E1C62"/>
    <w:rsid w:val="001E1F1D"/>
    <w:rsid w:val="001E3E3E"/>
    <w:rsid w:val="001E4006"/>
    <w:rsid w:val="001E4516"/>
    <w:rsid w:val="001E4EEC"/>
    <w:rsid w:val="001E5289"/>
    <w:rsid w:val="001E5418"/>
    <w:rsid w:val="001E5522"/>
    <w:rsid w:val="001E6A4E"/>
    <w:rsid w:val="001E6B92"/>
    <w:rsid w:val="001E715A"/>
    <w:rsid w:val="001E7361"/>
    <w:rsid w:val="001F0A1F"/>
    <w:rsid w:val="001F37BD"/>
    <w:rsid w:val="001F38BC"/>
    <w:rsid w:val="001F3ED7"/>
    <w:rsid w:val="001F4189"/>
    <w:rsid w:val="001F42E8"/>
    <w:rsid w:val="001F552D"/>
    <w:rsid w:val="001F55ED"/>
    <w:rsid w:val="001F5878"/>
    <w:rsid w:val="001F5D3E"/>
    <w:rsid w:val="001F687F"/>
    <w:rsid w:val="001F742B"/>
    <w:rsid w:val="001F7654"/>
    <w:rsid w:val="001F7A91"/>
    <w:rsid w:val="00200678"/>
    <w:rsid w:val="00201212"/>
    <w:rsid w:val="00201C5F"/>
    <w:rsid w:val="00202405"/>
    <w:rsid w:val="00204AA9"/>
    <w:rsid w:val="00204F06"/>
    <w:rsid w:val="0020508A"/>
    <w:rsid w:val="00205937"/>
    <w:rsid w:val="002068C4"/>
    <w:rsid w:val="00206EFF"/>
    <w:rsid w:val="002072AD"/>
    <w:rsid w:val="0020774B"/>
    <w:rsid w:val="002111E9"/>
    <w:rsid w:val="00212E10"/>
    <w:rsid w:val="00214068"/>
    <w:rsid w:val="00214787"/>
    <w:rsid w:val="002153B1"/>
    <w:rsid w:val="002158C7"/>
    <w:rsid w:val="00216C55"/>
    <w:rsid w:val="002171C9"/>
    <w:rsid w:val="002177B1"/>
    <w:rsid w:val="00217826"/>
    <w:rsid w:val="0022134A"/>
    <w:rsid w:val="002215AB"/>
    <w:rsid w:val="00222538"/>
    <w:rsid w:val="00224B31"/>
    <w:rsid w:val="00225887"/>
    <w:rsid w:val="002259E6"/>
    <w:rsid w:val="00225D0E"/>
    <w:rsid w:val="0022639F"/>
    <w:rsid w:val="00226555"/>
    <w:rsid w:val="00226B29"/>
    <w:rsid w:val="0023104A"/>
    <w:rsid w:val="002313E2"/>
    <w:rsid w:val="0023149B"/>
    <w:rsid w:val="002325D2"/>
    <w:rsid w:val="00232C62"/>
    <w:rsid w:val="002332F0"/>
    <w:rsid w:val="002333C9"/>
    <w:rsid w:val="00233C81"/>
    <w:rsid w:val="00235CF8"/>
    <w:rsid w:val="00235F32"/>
    <w:rsid w:val="00236684"/>
    <w:rsid w:val="00240B24"/>
    <w:rsid w:val="002411D0"/>
    <w:rsid w:val="00241448"/>
    <w:rsid w:val="00241ED3"/>
    <w:rsid w:val="00243335"/>
    <w:rsid w:val="00243EB1"/>
    <w:rsid w:val="00244924"/>
    <w:rsid w:val="00246C6F"/>
    <w:rsid w:val="00247D62"/>
    <w:rsid w:val="002514E1"/>
    <w:rsid w:val="00251CB8"/>
    <w:rsid w:val="0025266F"/>
    <w:rsid w:val="00252DB0"/>
    <w:rsid w:val="002540F5"/>
    <w:rsid w:val="002558A3"/>
    <w:rsid w:val="00256036"/>
    <w:rsid w:val="0025666C"/>
    <w:rsid w:val="00256717"/>
    <w:rsid w:val="00257F6F"/>
    <w:rsid w:val="00260C95"/>
    <w:rsid w:val="00261292"/>
    <w:rsid w:val="00261650"/>
    <w:rsid w:val="00261F13"/>
    <w:rsid w:val="00261FB3"/>
    <w:rsid w:val="002622C0"/>
    <w:rsid w:val="002625C5"/>
    <w:rsid w:val="002643A5"/>
    <w:rsid w:val="00264B3F"/>
    <w:rsid w:val="00264E46"/>
    <w:rsid w:val="00265027"/>
    <w:rsid w:val="00265F6F"/>
    <w:rsid w:val="0026614F"/>
    <w:rsid w:val="0026779D"/>
    <w:rsid w:val="00267B72"/>
    <w:rsid w:val="0027039F"/>
    <w:rsid w:val="00270448"/>
    <w:rsid w:val="00270A1A"/>
    <w:rsid w:val="00270C15"/>
    <w:rsid w:val="00271672"/>
    <w:rsid w:val="00271848"/>
    <w:rsid w:val="0027198A"/>
    <w:rsid w:val="00271F2E"/>
    <w:rsid w:val="00272BCF"/>
    <w:rsid w:val="00272D99"/>
    <w:rsid w:val="00273351"/>
    <w:rsid w:val="0027457F"/>
    <w:rsid w:val="00274C7F"/>
    <w:rsid w:val="00275C92"/>
    <w:rsid w:val="002765F4"/>
    <w:rsid w:val="0028027E"/>
    <w:rsid w:val="00280425"/>
    <w:rsid w:val="00282C4E"/>
    <w:rsid w:val="002846E0"/>
    <w:rsid w:val="00284A4E"/>
    <w:rsid w:val="002851C5"/>
    <w:rsid w:val="0028645C"/>
    <w:rsid w:val="002868FE"/>
    <w:rsid w:val="0028754C"/>
    <w:rsid w:val="002876B7"/>
    <w:rsid w:val="0029105F"/>
    <w:rsid w:val="0029119E"/>
    <w:rsid w:val="0029144A"/>
    <w:rsid w:val="00291C35"/>
    <w:rsid w:val="002929FA"/>
    <w:rsid w:val="00292FCB"/>
    <w:rsid w:val="002935AC"/>
    <w:rsid w:val="002936EC"/>
    <w:rsid w:val="002A0230"/>
    <w:rsid w:val="002A02E0"/>
    <w:rsid w:val="002A10D8"/>
    <w:rsid w:val="002A1362"/>
    <w:rsid w:val="002A27CE"/>
    <w:rsid w:val="002A35D2"/>
    <w:rsid w:val="002A4CF7"/>
    <w:rsid w:val="002A4E5C"/>
    <w:rsid w:val="002A553A"/>
    <w:rsid w:val="002A71F1"/>
    <w:rsid w:val="002B033D"/>
    <w:rsid w:val="002B0AD1"/>
    <w:rsid w:val="002B191F"/>
    <w:rsid w:val="002B2024"/>
    <w:rsid w:val="002B2F96"/>
    <w:rsid w:val="002B36E5"/>
    <w:rsid w:val="002B37E2"/>
    <w:rsid w:val="002B4926"/>
    <w:rsid w:val="002B498B"/>
    <w:rsid w:val="002B4F23"/>
    <w:rsid w:val="002B5437"/>
    <w:rsid w:val="002B5D43"/>
    <w:rsid w:val="002B72B1"/>
    <w:rsid w:val="002C0527"/>
    <w:rsid w:val="002C0AA9"/>
    <w:rsid w:val="002C3B3F"/>
    <w:rsid w:val="002C4E85"/>
    <w:rsid w:val="002C5FA7"/>
    <w:rsid w:val="002C66F4"/>
    <w:rsid w:val="002C767B"/>
    <w:rsid w:val="002D00BF"/>
    <w:rsid w:val="002D378A"/>
    <w:rsid w:val="002D5469"/>
    <w:rsid w:val="002D5533"/>
    <w:rsid w:val="002D64C2"/>
    <w:rsid w:val="002D6C76"/>
    <w:rsid w:val="002D717A"/>
    <w:rsid w:val="002D7334"/>
    <w:rsid w:val="002E18D7"/>
    <w:rsid w:val="002E212C"/>
    <w:rsid w:val="002E24CF"/>
    <w:rsid w:val="002E39AA"/>
    <w:rsid w:val="002E4161"/>
    <w:rsid w:val="002E4A1C"/>
    <w:rsid w:val="002E6B52"/>
    <w:rsid w:val="002E7D97"/>
    <w:rsid w:val="002F00EF"/>
    <w:rsid w:val="002F0377"/>
    <w:rsid w:val="002F0A94"/>
    <w:rsid w:val="002F2365"/>
    <w:rsid w:val="002F3418"/>
    <w:rsid w:val="002F3951"/>
    <w:rsid w:val="002F50F9"/>
    <w:rsid w:val="002F7152"/>
    <w:rsid w:val="003000F3"/>
    <w:rsid w:val="00300640"/>
    <w:rsid w:val="00301ABC"/>
    <w:rsid w:val="00303CB2"/>
    <w:rsid w:val="0030431C"/>
    <w:rsid w:val="00304E6A"/>
    <w:rsid w:val="003066E7"/>
    <w:rsid w:val="00306773"/>
    <w:rsid w:val="00307155"/>
    <w:rsid w:val="003071F2"/>
    <w:rsid w:val="00307AF0"/>
    <w:rsid w:val="003111C3"/>
    <w:rsid w:val="00312EBB"/>
    <w:rsid w:val="0031311C"/>
    <w:rsid w:val="00313462"/>
    <w:rsid w:val="00314647"/>
    <w:rsid w:val="003148F7"/>
    <w:rsid w:val="00314DCB"/>
    <w:rsid w:val="00315332"/>
    <w:rsid w:val="00315567"/>
    <w:rsid w:val="0031588E"/>
    <w:rsid w:val="00316120"/>
    <w:rsid w:val="003164E6"/>
    <w:rsid w:val="003175EA"/>
    <w:rsid w:val="00317B63"/>
    <w:rsid w:val="0032068C"/>
    <w:rsid w:val="003252A7"/>
    <w:rsid w:val="0032554C"/>
    <w:rsid w:val="0032684A"/>
    <w:rsid w:val="00326A49"/>
    <w:rsid w:val="00327162"/>
    <w:rsid w:val="00330043"/>
    <w:rsid w:val="00330553"/>
    <w:rsid w:val="00332EB2"/>
    <w:rsid w:val="00333045"/>
    <w:rsid w:val="0033332F"/>
    <w:rsid w:val="003357FE"/>
    <w:rsid w:val="0033651B"/>
    <w:rsid w:val="00340939"/>
    <w:rsid w:val="0034167D"/>
    <w:rsid w:val="003419CD"/>
    <w:rsid w:val="00342BCF"/>
    <w:rsid w:val="00342EAD"/>
    <w:rsid w:val="00343A1C"/>
    <w:rsid w:val="003447B6"/>
    <w:rsid w:val="00345F63"/>
    <w:rsid w:val="00346200"/>
    <w:rsid w:val="00346BEA"/>
    <w:rsid w:val="00352577"/>
    <w:rsid w:val="00352687"/>
    <w:rsid w:val="00352950"/>
    <w:rsid w:val="00353B0E"/>
    <w:rsid w:val="003549FC"/>
    <w:rsid w:val="00354EC9"/>
    <w:rsid w:val="00354F4E"/>
    <w:rsid w:val="00355677"/>
    <w:rsid w:val="00355B5C"/>
    <w:rsid w:val="003576E4"/>
    <w:rsid w:val="00357D35"/>
    <w:rsid w:val="00360301"/>
    <w:rsid w:val="00360959"/>
    <w:rsid w:val="003615D0"/>
    <w:rsid w:val="003622C1"/>
    <w:rsid w:val="00362544"/>
    <w:rsid w:val="00364457"/>
    <w:rsid w:val="00364CED"/>
    <w:rsid w:val="003653F8"/>
    <w:rsid w:val="003661D4"/>
    <w:rsid w:val="0036724A"/>
    <w:rsid w:val="003672F4"/>
    <w:rsid w:val="003708CC"/>
    <w:rsid w:val="003712FA"/>
    <w:rsid w:val="0037187E"/>
    <w:rsid w:val="00371B46"/>
    <w:rsid w:val="00372679"/>
    <w:rsid w:val="00372B2F"/>
    <w:rsid w:val="00372DF7"/>
    <w:rsid w:val="00373157"/>
    <w:rsid w:val="003745FF"/>
    <w:rsid w:val="00374DDD"/>
    <w:rsid w:val="0037571A"/>
    <w:rsid w:val="00375C9E"/>
    <w:rsid w:val="00375D04"/>
    <w:rsid w:val="0037631C"/>
    <w:rsid w:val="00377768"/>
    <w:rsid w:val="003814D9"/>
    <w:rsid w:val="00381EBF"/>
    <w:rsid w:val="00382587"/>
    <w:rsid w:val="00382FD7"/>
    <w:rsid w:val="003835CB"/>
    <w:rsid w:val="003852A7"/>
    <w:rsid w:val="003864C8"/>
    <w:rsid w:val="00386973"/>
    <w:rsid w:val="00387254"/>
    <w:rsid w:val="003901AC"/>
    <w:rsid w:val="00390824"/>
    <w:rsid w:val="003920A6"/>
    <w:rsid w:val="003935E2"/>
    <w:rsid w:val="00393A7E"/>
    <w:rsid w:val="003948A3"/>
    <w:rsid w:val="003956F5"/>
    <w:rsid w:val="003970AC"/>
    <w:rsid w:val="00397C9A"/>
    <w:rsid w:val="003A002A"/>
    <w:rsid w:val="003A0046"/>
    <w:rsid w:val="003A1BD3"/>
    <w:rsid w:val="003A290F"/>
    <w:rsid w:val="003A2F0F"/>
    <w:rsid w:val="003A3058"/>
    <w:rsid w:val="003A40C9"/>
    <w:rsid w:val="003A4949"/>
    <w:rsid w:val="003A5991"/>
    <w:rsid w:val="003B0867"/>
    <w:rsid w:val="003B0900"/>
    <w:rsid w:val="003B0A42"/>
    <w:rsid w:val="003B0D33"/>
    <w:rsid w:val="003B1BA2"/>
    <w:rsid w:val="003B2133"/>
    <w:rsid w:val="003B2B51"/>
    <w:rsid w:val="003B2DCD"/>
    <w:rsid w:val="003B30AA"/>
    <w:rsid w:val="003B3D1B"/>
    <w:rsid w:val="003B5BEB"/>
    <w:rsid w:val="003B60F6"/>
    <w:rsid w:val="003B721D"/>
    <w:rsid w:val="003B7EAB"/>
    <w:rsid w:val="003C0749"/>
    <w:rsid w:val="003C0E1E"/>
    <w:rsid w:val="003C1794"/>
    <w:rsid w:val="003C21E2"/>
    <w:rsid w:val="003C241F"/>
    <w:rsid w:val="003C2935"/>
    <w:rsid w:val="003C33DA"/>
    <w:rsid w:val="003C3AEB"/>
    <w:rsid w:val="003C45DF"/>
    <w:rsid w:val="003C5216"/>
    <w:rsid w:val="003C57AC"/>
    <w:rsid w:val="003C6AE3"/>
    <w:rsid w:val="003C7E8A"/>
    <w:rsid w:val="003D00E3"/>
    <w:rsid w:val="003D140A"/>
    <w:rsid w:val="003D3E5B"/>
    <w:rsid w:val="003D4018"/>
    <w:rsid w:val="003D61F9"/>
    <w:rsid w:val="003D6B3C"/>
    <w:rsid w:val="003D7146"/>
    <w:rsid w:val="003D79F1"/>
    <w:rsid w:val="003E0048"/>
    <w:rsid w:val="003E03C7"/>
    <w:rsid w:val="003E2E6A"/>
    <w:rsid w:val="003E4F0E"/>
    <w:rsid w:val="003E5F73"/>
    <w:rsid w:val="003E64CB"/>
    <w:rsid w:val="003E6BCB"/>
    <w:rsid w:val="003E70E1"/>
    <w:rsid w:val="003E7E24"/>
    <w:rsid w:val="003F0D88"/>
    <w:rsid w:val="003F1235"/>
    <w:rsid w:val="003F345F"/>
    <w:rsid w:val="003F564F"/>
    <w:rsid w:val="003F7EDC"/>
    <w:rsid w:val="00400AE7"/>
    <w:rsid w:val="0040118E"/>
    <w:rsid w:val="0040122F"/>
    <w:rsid w:val="00401686"/>
    <w:rsid w:val="00401760"/>
    <w:rsid w:val="00403059"/>
    <w:rsid w:val="00403CCA"/>
    <w:rsid w:val="004046CB"/>
    <w:rsid w:val="00404D38"/>
    <w:rsid w:val="00406179"/>
    <w:rsid w:val="00407FA6"/>
    <w:rsid w:val="0041086B"/>
    <w:rsid w:val="0041150A"/>
    <w:rsid w:val="00411F59"/>
    <w:rsid w:val="0041215F"/>
    <w:rsid w:val="004131CD"/>
    <w:rsid w:val="00413A6D"/>
    <w:rsid w:val="00413BA5"/>
    <w:rsid w:val="0041451A"/>
    <w:rsid w:val="00414F55"/>
    <w:rsid w:val="0041524A"/>
    <w:rsid w:val="00417114"/>
    <w:rsid w:val="00417130"/>
    <w:rsid w:val="0042037A"/>
    <w:rsid w:val="0042095F"/>
    <w:rsid w:val="00420962"/>
    <w:rsid w:val="0042103B"/>
    <w:rsid w:val="00421CF7"/>
    <w:rsid w:val="00422509"/>
    <w:rsid w:val="00422DE5"/>
    <w:rsid w:val="00423697"/>
    <w:rsid w:val="00423BF9"/>
    <w:rsid w:val="00424099"/>
    <w:rsid w:val="004240CB"/>
    <w:rsid w:val="00424D74"/>
    <w:rsid w:val="00426D1E"/>
    <w:rsid w:val="00427E8C"/>
    <w:rsid w:val="0043123D"/>
    <w:rsid w:val="00431CAA"/>
    <w:rsid w:val="00432EFA"/>
    <w:rsid w:val="004335FB"/>
    <w:rsid w:val="00433717"/>
    <w:rsid w:val="00433A8F"/>
    <w:rsid w:val="00433B34"/>
    <w:rsid w:val="00433D73"/>
    <w:rsid w:val="00434EE9"/>
    <w:rsid w:val="0043754D"/>
    <w:rsid w:val="004375ED"/>
    <w:rsid w:val="004403CA"/>
    <w:rsid w:val="00440BCF"/>
    <w:rsid w:val="00440D7A"/>
    <w:rsid w:val="00442599"/>
    <w:rsid w:val="004426DD"/>
    <w:rsid w:val="0044429E"/>
    <w:rsid w:val="004444DC"/>
    <w:rsid w:val="00444E25"/>
    <w:rsid w:val="0044681B"/>
    <w:rsid w:val="00446B54"/>
    <w:rsid w:val="00446F50"/>
    <w:rsid w:val="004471B2"/>
    <w:rsid w:val="004506CF"/>
    <w:rsid w:val="00450822"/>
    <w:rsid w:val="00451F03"/>
    <w:rsid w:val="004536FB"/>
    <w:rsid w:val="004545AC"/>
    <w:rsid w:val="00454FFB"/>
    <w:rsid w:val="00455CB4"/>
    <w:rsid w:val="00456952"/>
    <w:rsid w:val="00460F25"/>
    <w:rsid w:val="004613C6"/>
    <w:rsid w:val="004618CE"/>
    <w:rsid w:val="00461E4E"/>
    <w:rsid w:val="00462E00"/>
    <w:rsid w:val="0046452B"/>
    <w:rsid w:val="00464875"/>
    <w:rsid w:val="004654D2"/>
    <w:rsid w:val="00467AB2"/>
    <w:rsid w:val="0047030B"/>
    <w:rsid w:val="00470628"/>
    <w:rsid w:val="00470D74"/>
    <w:rsid w:val="00471F49"/>
    <w:rsid w:val="004724E5"/>
    <w:rsid w:val="004727D6"/>
    <w:rsid w:val="00472E3A"/>
    <w:rsid w:val="0047361E"/>
    <w:rsid w:val="00473B99"/>
    <w:rsid w:val="0047419F"/>
    <w:rsid w:val="0047438C"/>
    <w:rsid w:val="00475929"/>
    <w:rsid w:val="00475E7D"/>
    <w:rsid w:val="00476E04"/>
    <w:rsid w:val="004770B3"/>
    <w:rsid w:val="00481355"/>
    <w:rsid w:val="00481D57"/>
    <w:rsid w:val="00483974"/>
    <w:rsid w:val="00484084"/>
    <w:rsid w:val="00484342"/>
    <w:rsid w:val="00485391"/>
    <w:rsid w:val="00485778"/>
    <w:rsid w:val="004863AA"/>
    <w:rsid w:val="00487B09"/>
    <w:rsid w:val="0049006A"/>
    <w:rsid w:val="004912C9"/>
    <w:rsid w:val="004914A8"/>
    <w:rsid w:val="0049173B"/>
    <w:rsid w:val="00491A59"/>
    <w:rsid w:val="0049396A"/>
    <w:rsid w:val="004948CC"/>
    <w:rsid w:val="00494F92"/>
    <w:rsid w:val="004952A3"/>
    <w:rsid w:val="00496178"/>
    <w:rsid w:val="004969DD"/>
    <w:rsid w:val="00497088"/>
    <w:rsid w:val="004970D8"/>
    <w:rsid w:val="004A1161"/>
    <w:rsid w:val="004A1966"/>
    <w:rsid w:val="004A20E8"/>
    <w:rsid w:val="004A3CB7"/>
    <w:rsid w:val="004A43EF"/>
    <w:rsid w:val="004A4A66"/>
    <w:rsid w:val="004A5353"/>
    <w:rsid w:val="004A5434"/>
    <w:rsid w:val="004A6C18"/>
    <w:rsid w:val="004A745C"/>
    <w:rsid w:val="004A7C33"/>
    <w:rsid w:val="004B0E8D"/>
    <w:rsid w:val="004B1A2F"/>
    <w:rsid w:val="004B42A3"/>
    <w:rsid w:val="004B50C4"/>
    <w:rsid w:val="004B6245"/>
    <w:rsid w:val="004B6870"/>
    <w:rsid w:val="004B7942"/>
    <w:rsid w:val="004B7C6D"/>
    <w:rsid w:val="004C00B1"/>
    <w:rsid w:val="004C0750"/>
    <w:rsid w:val="004C0B67"/>
    <w:rsid w:val="004C1EE5"/>
    <w:rsid w:val="004C23DC"/>
    <w:rsid w:val="004C2483"/>
    <w:rsid w:val="004C2975"/>
    <w:rsid w:val="004C3AAC"/>
    <w:rsid w:val="004C3C79"/>
    <w:rsid w:val="004C56C8"/>
    <w:rsid w:val="004D0110"/>
    <w:rsid w:val="004D0B79"/>
    <w:rsid w:val="004D15AE"/>
    <w:rsid w:val="004D19CE"/>
    <w:rsid w:val="004D433E"/>
    <w:rsid w:val="004D4375"/>
    <w:rsid w:val="004D46CB"/>
    <w:rsid w:val="004D6E27"/>
    <w:rsid w:val="004E065C"/>
    <w:rsid w:val="004E2C2A"/>
    <w:rsid w:val="004E2D07"/>
    <w:rsid w:val="004E3617"/>
    <w:rsid w:val="004E44AA"/>
    <w:rsid w:val="004E7182"/>
    <w:rsid w:val="004F11B7"/>
    <w:rsid w:val="004F1B1E"/>
    <w:rsid w:val="004F2B49"/>
    <w:rsid w:val="004F3429"/>
    <w:rsid w:val="004F3476"/>
    <w:rsid w:val="004F3DEF"/>
    <w:rsid w:val="004F569A"/>
    <w:rsid w:val="004F5EF2"/>
    <w:rsid w:val="004F630A"/>
    <w:rsid w:val="004F6BA1"/>
    <w:rsid w:val="004F76CA"/>
    <w:rsid w:val="005006F3"/>
    <w:rsid w:val="00500EAB"/>
    <w:rsid w:val="00501038"/>
    <w:rsid w:val="00501E52"/>
    <w:rsid w:val="00502A1F"/>
    <w:rsid w:val="00502DE6"/>
    <w:rsid w:val="00503CC6"/>
    <w:rsid w:val="00503DFE"/>
    <w:rsid w:val="00504CEA"/>
    <w:rsid w:val="00505826"/>
    <w:rsid w:val="00506349"/>
    <w:rsid w:val="005065A0"/>
    <w:rsid w:val="0050702C"/>
    <w:rsid w:val="005078F5"/>
    <w:rsid w:val="00507FA6"/>
    <w:rsid w:val="00510F05"/>
    <w:rsid w:val="00511B3F"/>
    <w:rsid w:val="0051354A"/>
    <w:rsid w:val="0051358D"/>
    <w:rsid w:val="005142DF"/>
    <w:rsid w:val="00515802"/>
    <w:rsid w:val="00515BC2"/>
    <w:rsid w:val="0051626A"/>
    <w:rsid w:val="005175F7"/>
    <w:rsid w:val="00517727"/>
    <w:rsid w:val="005201E1"/>
    <w:rsid w:val="00521946"/>
    <w:rsid w:val="00522061"/>
    <w:rsid w:val="0052261C"/>
    <w:rsid w:val="0052338E"/>
    <w:rsid w:val="005239E4"/>
    <w:rsid w:val="00523A11"/>
    <w:rsid w:val="00524EDA"/>
    <w:rsid w:val="00525583"/>
    <w:rsid w:val="00525763"/>
    <w:rsid w:val="0052674C"/>
    <w:rsid w:val="00526C88"/>
    <w:rsid w:val="005272BD"/>
    <w:rsid w:val="00530F01"/>
    <w:rsid w:val="005318E5"/>
    <w:rsid w:val="00531E57"/>
    <w:rsid w:val="00532BD8"/>
    <w:rsid w:val="0053324F"/>
    <w:rsid w:val="0053618E"/>
    <w:rsid w:val="005365D4"/>
    <w:rsid w:val="005367AF"/>
    <w:rsid w:val="005368D2"/>
    <w:rsid w:val="00536906"/>
    <w:rsid w:val="0053695B"/>
    <w:rsid w:val="00536E41"/>
    <w:rsid w:val="00540679"/>
    <w:rsid w:val="005408D4"/>
    <w:rsid w:val="00540E99"/>
    <w:rsid w:val="0054192A"/>
    <w:rsid w:val="0054240D"/>
    <w:rsid w:val="005451F7"/>
    <w:rsid w:val="00551760"/>
    <w:rsid w:val="00551A74"/>
    <w:rsid w:val="00551E43"/>
    <w:rsid w:val="00553335"/>
    <w:rsid w:val="00554654"/>
    <w:rsid w:val="00554CAA"/>
    <w:rsid w:val="00554F37"/>
    <w:rsid w:val="00555918"/>
    <w:rsid w:val="005559AA"/>
    <w:rsid w:val="00556488"/>
    <w:rsid w:val="005569EA"/>
    <w:rsid w:val="00557BA3"/>
    <w:rsid w:val="00557E11"/>
    <w:rsid w:val="00560A06"/>
    <w:rsid w:val="00561D9B"/>
    <w:rsid w:val="00561DBD"/>
    <w:rsid w:val="005620CA"/>
    <w:rsid w:val="00563659"/>
    <w:rsid w:val="00563EE5"/>
    <w:rsid w:val="005650C9"/>
    <w:rsid w:val="0056512A"/>
    <w:rsid w:val="005663E3"/>
    <w:rsid w:val="005707B8"/>
    <w:rsid w:val="0057129E"/>
    <w:rsid w:val="005715ED"/>
    <w:rsid w:val="00571656"/>
    <w:rsid w:val="00572521"/>
    <w:rsid w:val="00572D9F"/>
    <w:rsid w:val="00573587"/>
    <w:rsid w:val="0057369F"/>
    <w:rsid w:val="00573E3D"/>
    <w:rsid w:val="0057414B"/>
    <w:rsid w:val="005741E5"/>
    <w:rsid w:val="00574673"/>
    <w:rsid w:val="00574BD1"/>
    <w:rsid w:val="00575695"/>
    <w:rsid w:val="00575A41"/>
    <w:rsid w:val="005772E2"/>
    <w:rsid w:val="00577883"/>
    <w:rsid w:val="005818EF"/>
    <w:rsid w:val="00582108"/>
    <w:rsid w:val="005828E8"/>
    <w:rsid w:val="0058394C"/>
    <w:rsid w:val="00583DE6"/>
    <w:rsid w:val="005855B8"/>
    <w:rsid w:val="0058579A"/>
    <w:rsid w:val="00585D8E"/>
    <w:rsid w:val="00586251"/>
    <w:rsid w:val="00586A83"/>
    <w:rsid w:val="00590739"/>
    <w:rsid w:val="00592EC9"/>
    <w:rsid w:val="00593033"/>
    <w:rsid w:val="005939CF"/>
    <w:rsid w:val="005943F4"/>
    <w:rsid w:val="00594E1F"/>
    <w:rsid w:val="0059654E"/>
    <w:rsid w:val="00597088"/>
    <w:rsid w:val="005976A8"/>
    <w:rsid w:val="005A0251"/>
    <w:rsid w:val="005A1672"/>
    <w:rsid w:val="005A2611"/>
    <w:rsid w:val="005A2907"/>
    <w:rsid w:val="005A2AF4"/>
    <w:rsid w:val="005A2C5F"/>
    <w:rsid w:val="005A30CA"/>
    <w:rsid w:val="005A371A"/>
    <w:rsid w:val="005A5CCC"/>
    <w:rsid w:val="005A639A"/>
    <w:rsid w:val="005A651D"/>
    <w:rsid w:val="005A6DC5"/>
    <w:rsid w:val="005A6F3A"/>
    <w:rsid w:val="005A71F8"/>
    <w:rsid w:val="005B34B0"/>
    <w:rsid w:val="005B3A82"/>
    <w:rsid w:val="005B3E66"/>
    <w:rsid w:val="005B4BFA"/>
    <w:rsid w:val="005B511F"/>
    <w:rsid w:val="005B588F"/>
    <w:rsid w:val="005B619D"/>
    <w:rsid w:val="005B7027"/>
    <w:rsid w:val="005B71B0"/>
    <w:rsid w:val="005B754A"/>
    <w:rsid w:val="005B7BD3"/>
    <w:rsid w:val="005C3068"/>
    <w:rsid w:val="005C459D"/>
    <w:rsid w:val="005C5A9A"/>
    <w:rsid w:val="005C635C"/>
    <w:rsid w:val="005C6382"/>
    <w:rsid w:val="005D1DA3"/>
    <w:rsid w:val="005D411E"/>
    <w:rsid w:val="005D4155"/>
    <w:rsid w:val="005D4426"/>
    <w:rsid w:val="005D5A2C"/>
    <w:rsid w:val="005D5E63"/>
    <w:rsid w:val="005D695A"/>
    <w:rsid w:val="005D6CB6"/>
    <w:rsid w:val="005D6FA1"/>
    <w:rsid w:val="005D70CB"/>
    <w:rsid w:val="005D7ADE"/>
    <w:rsid w:val="005E099E"/>
    <w:rsid w:val="005E0C9D"/>
    <w:rsid w:val="005E126A"/>
    <w:rsid w:val="005E1757"/>
    <w:rsid w:val="005E24E3"/>
    <w:rsid w:val="005E301A"/>
    <w:rsid w:val="005E4A49"/>
    <w:rsid w:val="005E5609"/>
    <w:rsid w:val="005E5868"/>
    <w:rsid w:val="005F0B20"/>
    <w:rsid w:val="005F3749"/>
    <w:rsid w:val="005F4381"/>
    <w:rsid w:val="005F558E"/>
    <w:rsid w:val="005F5DDD"/>
    <w:rsid w:val="005F6C7C"/>
    <w:rsid w:val="006005E1"/>
    <w:rsid w:val="00602233"/>
    <w:rsid w:val="00602CE5"/>
    <w:rsid w:val="00603531"/>
    <w:rsid w:val="00603C7C"/>
    <w:rsid w:val="00604F60"/>
    <w:rsid w:val="0060502B"/>
    <w:rsid w:val="0060613C"/>
    <w:rsid w:val="0060614D"/>
    <w:rsid w:val="006100CC"/>
    <w:rsid w:val="00610D7D"/>
    <w:rsid w:val="00611B1F"/>
    <w:rsid w:val="00612B5C"/>
    <w:rsid w:val="00613165"/>
    <w:rsid w:val="00613241"/>
    <w:rsid w:val="00613A5B"/>
    <w:rsid w:val="006143EF"/>
    <w:rsid w:val="00614964"/>
    <w:rsid w:val="00615226"/>
    <w:rsid w:val="00615CA3"/>
    <w:rsid w:val="0061748C"/>
    <w:rsid w:val="00617E59"/>
    <w:rsid w:val="00620B45"/>
    <w:rsid w:val="006214F5"/>
    <w:rsid w:val="00621753"/>
    <w:rsid w:val="00622834"/>
    <w:rsid w:val="006244E8"/>
    <w:rsid w:val="00624B2A"/>
    <w:rsid w:val="00624D90"/>
    <w:rsid w:val="00625573"/>
    <w:rsid w:val="006255D1"/>
    <w:rsid w:val="0062596C"/>
    <w:rsid w:val="00625C8C"/>
    <w:rsid w:val="00626053"/>
    <w:rsid w:val="006264CC"/>
    <w:rsid w:val="006266A6"/>
    <w:rsid w:val="006271FD"/>
    <w:rsid w:val="00630472"/>
    <w:rsid w:val="006313FD"/>
    <w:rsid w:val="006315A3"/>
    <w:rsid w:val="006325FD"/>
    <w:rsid w:val="00632B35"/>
    <w:rsid w:val="0063381D"/>
    <w:rsid w:val="00633AFE"/>
    <w:rsid w:val="00634E17"/>
    <w:rsid w:val="00635AAD"/>
    <w:rsid w:val="006360E9"/>
    <w:rsid w:val="0063613A"/>
    <w:rsid w:val="00637544"/>
    <w:rsid w:val="0064050E"/>
    <w:rsid w:val="00640733"/>
    <w:rsid w:val="0064157F"/>
    <w:rsid w:val="00641A51"/>
    <w:rsid w:val="00642E3F"/>
    <w:rsid w:val="006435A9"/>
    <w:rsid w:val="00643D0C"/>
    <w:rsid w:val="00643EB9"/>
    <w:rsid w:val="00644EFD"/>
    <w:rsid w:val="006455BB"/>
    <w:rsid w:val="00645913"/>
    <w:rsid w:val="00645969"/>
    <w:rsid w:val="00646408"/>
    <w:rsid w:val="00647B0F"/>
    <w:rsid w:val="00647FD1"/>
    <w:rsid w:val="00650133"/>
    <w:rsid w:val="006527AE"/>
    <w:rsid w:val="0065363A"/>
    <w:rsid w:val="00653C33"/>
    <w:rsid w:val="00656694"/>
    <w:rsid w:val="00657688"/>
    <w:rsid w:val="006579C5"/>
    <w:rsid w:val="00662B2B"/>
    <w:rsid w:val="0066476A"/>
    <w:rsid w:val="00664AE1"/>
    <w:rsid w:val="00665041"/>
    <w:rsid w:val="0066529C"/>
    <w:rsid w:val="00665652"/>
    <w:rsid w:val="006657BD"/>
    <w:rsid w:val="00665A3D"/>
    <w:rsid w:val="00670029"/>
    <w:rsid w:val="00670403"/>
    <w:rsid w:val="00670582"/>
    <w:rsid w:val="00670D56"/>
    <w:rsid w:val="00670F84"/>
    <w:rsid w:val="00672A8B"/>
    <w:rsid w:val="0067330E"/>
    <w:rsid w:val="006736BD"/>
    <w:rsid w:val="00673DBD"/>
    <w:rsid w:val="00673F4D"/>
    <w:rsid w:val="00673F6A"/>
    <w:rsid w:val="00674757"/>
    <w:rsid w:val="00675182"/>
    <w:rsid w:val="00675225"/>
    <w:rsid w:val="00675D2C"/>
    <w:rsid w:val="00676824"/>
    <w:rsid w:val="0068023C"/>
    <w:rsid w:val="006804A2"/>
    <w:rsid w:val="00680E2B"/>
    <w:rsid w:val="006813FD"/>
    <w:rsid w:val="00681D75"/>
    <w:rsid w:val="006820D2"/>
    <w:rsid w:val="00682148"/>
    <w:rsid w:val="00682B5B"/>
    <w:rsid w:val="00682DA3"/>
    <w:rsid w:val="00682E06"/>
    <w:rsid w:val="00684023"/>
    <w:rsid w:val="00685E12"/>
    <w:rsid w:val="006863CB"/>
    <w:rsid w:val="0068670A"/>
    <w:rsid w:val="006924D7"/>
    <w:rsid w:val="00693380"/>
    <w:rsid w:val="00694327"/>
    <w:rsid w:val="00695743"/>
    <w:rsid w:val="00695B82"/>
    <w:rsid w:val="0069631A"/>
    <w:rsid w:val="00696CC0"/>
    <w:rsid w:val="00696DF5"/>
    <w:rsid w:val="006A1D85"/>
    <w:rsid w:val="006A254E"/>
    <w:rsid w:val="006A31D6"/>
    <w:rsid w:val="006A4347"/>
    <w:rsid w:val="006A51DB"/>
    <w:rsid w:val="006A5AE6"/>
    <w:rsid w:val="006A5DC3"/>
    <w:rsid w:val="006A6CEC"/>
    <w:rsid w:val="006A7226"/>
    <w:rsid w:val="006A7791"/>
    <w:rsid w:val="006B062A"/>
    <w:rsid w:val="006B0C1E"/>
    <w:rsid w:val="006B19FC"/>
    <w:rsid w:val="006B1A21"/>
    <w:rsid w:val="006B2383"/>
    <w:rsid w:val="006B30C2"/>
    <w:rsid w:val="006B30CC"/>
    <w:rsid w:val="006B35E9"/>
    <w:rsid w:val="006B3C16"/>
    <w:rsid w:val="006C2802"/>
    <w:rsid w:val="006C296F"/>
    <w:rsid w:val="006C3085"/>
    <w:rsid w:val="006C404A"/>
    <w:rsid w:val="006C5DA9"/>
    <w:rsid w:val="006D0A96"/>
    <w:rsid w:val="006D188A"/>
    <w:rsid w:val="006D394A"/>
    <w:rsid w:val="006D39DD"/>
    <w:rsid w:val="006D3C9C"/>
    <w:rsid w:val="006D47F4"/>
    <w:rsid w:val="006D4D7D"/>
    <w:rsid w:val="006D5CCD"/>
    <w:rsid w:val="006E0C8B"/>
    <w:rsid w:val="006E1FDF"/>
    <w:rsid w:val="006E2D35"/>
    <w:rsid w:val="006E3B14"/>
    <w:rsid w:val="006E529B"/>
    <w:rsid w:val="006E5E60"/>
    <w:rsid w:val="006E771A"/>
    <w:rsid w:val="006E7E0D"/>
    <w:rsid w:val="006F0156"/>
    <w:rsid w:val="006F1A77"/>
    <w:rsid w:val="006F2B3B"/>
    <w:rsid w:val="006F2E0E"/>
    <w:rsid w:val="006F35C6"/>
    <w:rsid w:val="006F3B63"/>
    <w:rsid w:val="006F61D1"/>
    <w:rsid w:val="006F7E02"/>
    <w:rsid w:val="00700B55"/>
    <w:rsid w:val="0070102C"/>
    <w:rsid w:val="00702802"/>
    <w:rsid w:val="00702A53"/>
    <w:rsid w:val="00702AF9"/>
    <w:rsid w:val="007031B8"/>
    <w:rsid w:val="007043D8"/>
    <w:rsid w:val="007055DD"/>
    <w:rsid w:val="00705DF6"/>
    <w:rsid w:val="00706B29"/>
    <w:rsid w:val="00710F58"/>
    <w:rsid w:val="007120A1"/>
    <w:rsid w:val="0071211B"/>
    <w:rsid w:val="00712651"/>
    <w:rsid w:val="00712969"/>
    <w:rsid w:val="00713BBA"/>
    <w:rsid w:val="00716062"/>
    <w:rsid w:val="007160BC"/>
    <w:rsid w:val="0071617E"/>
    <w:rsid w:val="007168E1"/>
    <w:rsid w:val="00717979"/>
    <w:rsid w:val="007209A6"/>
    <w:rsid w:val="00720D47"/>
    <w:rsid w:val="007232B7"/>
    <w:rsid w:val="00723796"/>
    <w:rsid w:val="00723C19"/>
    <w:rsid w:val="00724AE7"/>
    <w:rsid w:val="00724CF4"/>
    <w:rsid w:val="00726689"/>
    <w:rsid w:val="00726DF1"/>
    <w:rsid w:val="00727487"/>
    <w:rsid w:val="00727D85"/>
    <w:rsid w:val="007301F7"/>
    <w:rsid w:val="0073074F"/>
    <w:rsid w:val="00730CB8"/>
    <w:rsid w:val="007315F5"/>
    <w:rsid w:val="0073171B"/>
    <w:rsid w:val="00731B77"/>
    <w:rsid w:val="00732F26"/>
    <w:rsid w:val="007335F8"/>
    <w:rsid w:val="00733D29"/>
    <w:rsid w:val="007356AC"/>
    <w:rsid w:val="00736A99"/>
    <w:rsid w:val="007374AB"/>
    <w:rsid w:val="00737930"/>
    <w:rsid w:val="00740577"/>
    <w:rsid w:val="00740644"/>
    <w:rsid w:val="00740DB9"/>
    <w:rsid w:val="0074322C"/>
    <w:rsid w:val="00743C44"/>
    <w:rsid w:val="007443B5"/>
    <w:rsid w:val="00744C4C"/>
    <w:rsid w:val="007452D4"/>
    <w:rsid w:val="00745982"/>
    <w:rsid w:val="007467D3"/>
    <w:rsid w:val="00746C15"/>
    <w:rsid w:val="00751473"/>
    <w:rsid w:val="007516B8"/>
    <w:rsid w:val="007518CD"/>
    <w:rsid w:val="007526C9"/>
    <w:rsid w:val="00753CB5"/>
    <w:rsid w:val="00753CC6"/>
    <w:rsid w:val="00753CF2"/>
    <w:rsid w:val="00754065"/>
    <w:rsid w:val="00754978"/>
    <w:rsid w:val="00754AC0"/>
    <w:rsid w:val="00757433"/>
    <w:rsid w:val="00757FC9"/>
    <w:rsid w:val="0076095D"/>
    <w:rsid w:val="00760F0E"/>
    <w:rsid w:val="007627D2"/>
    <w:rsid w:val="00763D13"/>
    <w:rsid w:val="00764794"/>
    <w:rsid w:val="00764B01"/>
    <w:rsid w:val="00764E9C"/>
    <w:rsid w:val="00766231"/>
    <w:rsid w:val="00766E53"/>
    <w:rsid w:val="007674C7"/>
    <w:rsid w:val="00767966"/>
    <w:rsid w:val="00767F42"/>
    <w:rsid w:val="007703C3"/>
    <w:rsid w:val="007707AE"/>
    <w:rsid w:val="007722AE"/>
    <w:rsid w:val="00772F6F"/>
    <w:rsid w:val="0077383E"/>
    <w:rsid w:val="0077474E"/>
    <w:rsid w:val="00774FBE"/>
    <w:rsid w:val="007776B4"/>
    <w:rsid w:val="00777E2F"/>
    <w:rsid w:val="00781177"/>
    <w:rsid w:val="00781C2C"/>
    <w:rsid w:val="00782869"/>
    <w:rsid w:val="0078509F"/>
    <w:rsid w:val="00785BD5"/>
    <w:rsid w:val="007865C3"/>
    <w:rsid w:val="00787BF4"/>
    <w:rsid w:val="0079093A"/>
    <w:rsid w:val="00790954"/>
    <w:rsid w:val="00791872"/>
    <w:rsid w:val="007918B7"/>
    <w:rsid w:val="00792490"/>
    <w:rsid w:val="00792CEE"/>
    <w:rsid w:val="00793BD7"/>
    <w:rsid w:val="00794052"/>
    <w:rsid w:val="0079422B"/>
    <w:rsid w:val="00795B09"/>
    <w:rsid w:val="007966E6"/>
    <w:rsid w:val="007A0F5D"/>
    <w:rsid w:val="007A2C18"/>
    <w:rsid w:val="007A432F"/>
    <w:rsid w:val="007A50E7"/>
    <w:rsid w:val="007A5418"/>
    <w:rsid w:val="007A5ECB"/>
    <w:rsid w:val="007A608B"/>
    <w:rsid w:val="007A6A52"/>
    <w:rsid w:val="007A7032"/>
    <w:rsid w:val="007A72E7"/>
    <w:rsid w:val="007A79E0"/>
    <w:rsid w:val="007B020D"/>
    <w:rsid w:val="007B077F"/>
    <w:rsid w:val="007B0BD6"/>
    <w:rsid w:val="007B1058"/>
    <w:rsid w:val="007B22C9"/>
    <w:rsid w:val="007B23F2"/>
    <w:rsid w:val="007B2B23"/>
    <w:rsid w:val="007B2C87"/>
    <w:rsid w:val="007B2FB0"/>
    <w:rsid w:val="007B3802"/>
    <w:rsid w:val="007B3A52"/>
    <w:rsid w:val="007B3BF0"/>
    <w:rsid w:val="007B550C"/>
    <w:rsid w:val="007B688E"/>
    <w:rsid w:val="007B6DBE"/>
    <w:rsid w:val="007B6E63"/>
    <w:rsid w:val="007B701A"/>
    <w:rsid w:val="007B713E"/>
    <w:rsid w:val="007C1310"/>
    <w:rsid w:val="007C20DC"/>
    <w:rsid w:val="007C4A2D"/>
    <w:rsid w:val="007C4B55"/>
    <w:rsid w:val="007C5AF4"/>
    <w:rsid w:val="007C6675"/>
    <w:rsid w:val="007C6712"/>
    <w:rsid w:val="007C678D"/>
    <w:rsid w:val="007C679D"/>
    <w:rsid w:val="007C76A5"/>
    <w:rsid w:val="007D0847"/>
    <w:rsid w:val="007D0E65"/>
    <w:rsid w:val="007D10A7"/>
    <w:rsid w:val="007D15F8"/>
    <w:rsid w:val="007D325D"/>
    <w:rsid w:val="007D36F7"/>
    <w:rsid w:val="007D3B64"/>
    <w:rsid w:val="007D3FF6"/>
    <w:rsid w:val="007D6453"/>
    <w:rsid w:val="007D7C56"/>
    <w:rsid w:val="007E01E5"/>
    <w:rsid w:val="007E090E"/>
    <w:rsid w:val="007E1C16"/>
    <w:rsid w:val="007E20A4"/>
    <w:rsid w:val="007E30FB"/>
    <w:rsid w:val="007E340E"/>
    <w:rsid w:val="007E3B82"/>
    <w:rsid w:val="007E4127"/>
    <w:rsid w:val="007E4252"/>
    <w:rsid w:val="007E670B"/>
    <w:rsid w:val="007E6A58"/>
    <w:rsid w:val="007E6D4E"/>
    <w:rsid w:val="007E76F4"/>
    <w:rsid w:val="007E7A36"/>
    <w:rsid w:val="007F09BF"/>
    <w:rsid w:val="007F111F"/>
    <w:rsid w:val="007F27CC"/>
    <w:rsid w:val="007F2837"/>
    <w:rsid w:val="007F31FA"/>
    <w:rsid w:val="007F4207"/>
    <w:rsid w:val="007F4234"/>
    <w:rsid w:val="007F4E5E"/>
    <w:rsid w:val="007F5768"/>
    <w:rsid w:val="007F66A8"/>
    <w:rsid w:val="007F7E0A"/>
    <w:rsid w:val="008006BB"/>
    <w:rsid w:val="00801596"/>
    <w:rsid w:val="008032FB"/>
    <w:rsid w:val="00804587"/>
    <w:rsid w:val="008049FB"/>
    <w:rsid w:val="008053AD"/>
    <w:rsid w:val="00805614"/>
    <w:rsid w:val="008056AC"/>
    <w:rsid w:val="00805ECC"/>
    <w:rsid w:val="00807EBC"/>
    <w:rsid w:val="00810A26"/>
    <w:rsid w:val="008119F2"/>
    <w:rsid w:val="00811F34"/>
    <w:rsid w:val="00813EA0"/>
    <w:rsid w:val="00814143"/>
    <w:rsid w:val="00814F83"/>
    <w:rsid w:val="00814FC6"/>
    <w:rsid w:val="00815CB9"/>
    <w:rsid w:val="0081695D"/>
    <w:rsid w:val="0081790C"/>
    <w:rsid w:val="00821BBF"/>
    <w:rsid w:val="00821D31"/>
    <w:rsid w:val="00822478"/>
    <w:rsid w:val="00822F2E"/>
    <w:rsid w:val="008235FD"/>
    <w:rsid w:val="008242F2"/>
    <w:rsid w:val="00825080"/>
    <w:rsid w:val="008251EE"/>
    <w:rsid w:val="00831971"/>
    <w:rsid w:val="00832BB9"/>
    <w:rsid w:val="00833332"/>
    <w:rsid w:val="008334BE"/>
    <w:rsid w:val="008336C3"/>
    <w:rsid w:val="00834A91"/>
    <w:rsid w:val="00835113"/>
    <w:rsid w:val="00836109"/>
    <w:rsid w:val="00836163"/>
    <w:rsid w:val="008379B3"/>
    <w:rsid w:val="00837D51"/>
    <w:rsid w:val="00840E99"/>
    <w:rsid w:val="0084141C"/>
    <w:rsid w:val="008415AE"/>
    <w:rsid w:val="0084267E"/>
    <w:rsid w:val="0084312B"/>
    <w:rsid w:val="008447C9"/>
    <w:rsid w:val="00846A42"/>
    <w:rsid w:val="00846DD2"/>
    <w:rsid w:val="00847B1E"/>
    <w:rsid w:val="00851153"/>
    <w:rsid w:val="008516DB"/>
    <w:rsid w:val="008530A6"/>
    <w:rsid w:val="00853FE7"/>
    <w:rsid w:val="00855C49"/>
    <w:rsid w:val="0085697C"/>
    <w:rsid w:val="0085797D"/>
    <w:rsid w:val="00860C1F"/>
    <w:rsid w:val="00860CDF"/>
    <w:rsid w:val="00860EE7"/>
    <w:rsid w:val="00861047"/>
    <w:rsid w:val="008611F9"/>
    <w:rsid w:val="00861680"/>
    <w:rsid w:val="008627D2"/>
    <w:rsid w:val="00862ACF"/>
    <w:rsid w:val="00862DEA"/>
    <w:rsid w:val="00863AC3"/>
    <w:rsid w:val="00863D3E"/>
    <w:rsid w:val="00864035"/>
    <w:rsid w:val="0086424E"/>
    <w:rsid w:val="0087195D"/>
    <w:rsid w:val="00871F92"/>
    <w:rsid w:val="00872235"/>
    <w:rsid w:val="0087311B"/>
    <w:rsid w:val="008734E9"/>
    <w:rsid w:val="008763D0"/>
    <w:rsid w:val="00876F3F"/>
    <w:rsid w:val="0087749E"/>
    <w:rsid w:val="008813AE"/>
    <w:rsid w:val="008816FD"/>
    <w:rsid w:val="0088224D"/>
    <w:rsid w:val="00882A33"/>
    <w:rsid w:val="00882B2E"/>
    <w:rsid w:val="0088365F"/>
    <w:rsid w:val="008846FD"/>
    <w:rsid w:val="00885148"/>
    <w:rsid w:val="00885ECD"/>
    <w:rsid w:val="00886330"/>
    <w:rsid w:val="008876D7"/>
    <w:rsid w:val="008876EE"/>
    <w:rsid w:val="00890034"/>
    <w:rsid w:val="00892650"/>
    <w:rsid w:val="0089472A"/>
    <w:rsid w:val="00894BD9"/>
    <w:rsid w:val="00896773"/>
    <w:rsid w:val="008A05F1"/>
    <w:rsid w:val="008A1127"/>
    <w:rsid w:val="008A2704"/>
    <w:rsid w:val="008A27A9"/>
    <w:rsid w:val="008A3395"/>
    <w:rsid w:val="008A4A77"/>
    <w:rsid w:val="008A5194"/>
    <w:rsid w:val="008A792A"/>
    <w:rsid w:val="008A7D5C"/>
    <w:rsid w:val="008B15D5"/>
    <w:rsid w:val="008B3613"/>
    <w:rsid w:val="008B3B07"/>
    <w:rsid w:val="008B3C96"/>
    <w:rsid w:val="008B42A9"/>
    <w:rsid w:val="008B42CD"/>
    <w:rsid w:val="008B4988"/>
    <w:rsid w:val="008B506F"/>
    <w:rsid w:val="008B54E0"/>
    <w:rsid w:val="008B6831"/>
    <w:rsid w:val="008B6BFB"/>
    <w:rsid w:val="008B6CC7"/>
    <w:rsid w:val="008B7825"/>
    <w:rsid w:val="008C0210"/>
    <w:rsid w:val="008C1E3E"/>
    <w:rsid w:val="008C1EF1"/>
    <w:rsid w:val="008C32BE"/>
    <w:rsid w:val="008C32F3"/>
    <w:rsid w:val="008C3781"/>
    <w:rsid w:val="008C4472"/>
    <w:rsid w:val="008C4B5A"/>
    <w:rsid w:val="008C70BD"/>
    <w:rsid w:val="008C740D"/>
    <w:rsid w:val="008D0038"/>
    <w:rsid w:val="008D0277"/>
    <w:rsid w:val="008D0A05"/>
    <w:rsid w:val="008D0A20"/>
    <w:rsid w:val="008D1414"/>
    <w:rsid w:val="008D1E7F"/>
    <w:rsid w:val="008D1EE9"/>
    <w:rsid w:val="008D1FFE"/>
    <w:rsid w:val="008D2008"/>
    <w:rsid w:val="008D2558"/>
    <w:rsid w:val="008D2FF6"/>
    <w:rsid w:val="008D3E37"/>
    <w:rsid w:val="008D3FDE"/>
    <w:rsid w:val="008D485E"/>
    <w:rsid w:val="008D5E38"/>
    <w:rsid w:val="008D634E"/>
    <w:rsid w:val="008D756C"/>
    <w:rsid w:val="008E150B"/>
    <w:rsid w:val="008E1580"/>
    <w:rsid w:val="008E2703"/>
    <w:rsid w:val="008E27E3"/>
    <w:rsid w:val="008F047B"/>
    <w:rsid w:val="008F05CB"/>
    <w:rsid w:val="008F37AF"/>
    <w:rsid w:val="008F7CF7"/>
    <w:rsid w:val="008F7CFA"/>
    <w:rsid w:val="00901201"/>
    <w:rsid w:val="00901EFC"/>
    <w:rsid w:val="00903F14"/>
    <w:rsid w:val="009055F4"/>
    <w:rsid w:val="00905799"/>
    <w:rsid w:val="00905BD8"/>
    <w:rsid w:val="009071E2"/>
    <w:rsid w:val="009071F9"/>
    <w:rsid w:val="009074EA"/>
    <w:rsid w:val="00907669"/>
    <w:rsid w:val="00911D2E"/>
    <w:rsid w:val="00911E99"/>
    <w:rsid w:val="00912026"/>
    <w:rsid w:val="0091223E"/>
    <w:rsid w:val="00914778"/>
    <w:rsid w:val="00914E3C"/>
    <w:rsid w:val="00915508"/>
    <w:rsid w:val="00915838"/>
    <w:rsid w:val="00917922"/>
    <w:rsid w:val="009234FF"/>
    <w:rsid w:val="0092425F"/>
    <w:rsid w:val="00924A4C"/>
    <w:rsid w:val="00924B28"/>
    <w:rsid w:val="00927BE4"/>
    <w:rsid w:val="00927C21"/>
    <w:rsid w:val="009300E9"/>
    <w:rsid w:val="009304AB"/>
    <w:rsid w:val="009322ED"/>
    <w:rsid w:val="00933844"/>
    <w:rsid w:val="009339D6"/>
    <w:rsid w:val="009343A4"/>
    <w:rsid w:val="00934752"/>
    <w:rsid w:val="00934BDB"/>
    <w:rsid w:val="00934F06"/>
    <w:rsid w:val="009358EA"/>
    <w:rsid w:val="0093682F"/>
    <w:rsid w:val="00936ACC"/>
    <w:rsid w:val="00937B6B"/>
    <w:rsid w:val="009427AA"/>
    <w:rsid w:val="009429CA"/>
    <w:rsid w:val="009433ED"/>
    <w:rsid w:val="00943A11"/>
    <w:rsid w:val="00943E2E"/>
    <w:rsid w:val="009446ED"/>
    <w:rsid w:val="00944EF6"/>
    <w:rsid w:val="00946365"/>
    <w:rsid w:val="009463F2"/>
    <w:rsid w:val="00947EDB"/>
    <w:rsid w:val="0095061E"/>
    <w:rsid w:val="0095081E"/>
    <w:rsid w:val="0095093D"/>
    <w:rsid w:val="009509A5"/>
    <w:rsid w:val="009517AF"/>
    <w:rsid w:val="00951EA1"/>
    <w:rsid w:val="00952234"/>
    <w:rsid w:val="009525B3"/>
    <w:rsid w:val="009529E8"/>
    <w:rsid w:val="00952DD3"/>
    <w:rsid w:val="00955766"/>
    <w:rsid w:val="00955898"/>
    <w:rsid w:val="00955B6D"/>
    <w:rsid w:val="00955C2E"/>
    <w:rsid w:val="00956011"/>
    <w:rsid w:val="009566C4"/>
    <w:rsid w:val="00957B70"/>
    <w:rsid w:val="009616BC"/>
    <w:rsid w:val="009618BC"/>
    <w:rsid w:val="009619A3"/>
    <w:rsid w:val="00961E22"/>
    <w:rsid w:val="0096387C"/>
    <w:rsid w:val="00963E76"/>
    <w:rsid w:val="00966AA0"/>
    <w:rsid w:val="009675DD"/>
    <w:rsid w:val="009705A0"/>
    <w:rsid w:val="009716CC"/>
    <w:rsid w:val="00972B3F"/>
    <w:rsid w:val="00973568"/>
    <w:rsid w:val="00974922"/>
    <w:rsid w:val="0097494A"/>
    <w:rsid w:val="00974B9B"/>
    <w:rsid w:val="00975342"/>
    <w:rsid w:val="0097623B"/>
    <w:rsid w:val="009778F7"/>
    <w:rsid w:val="00977CEE"/>
    <w:rsid w:val="00980123"/>
    <w:rsid w:val="00981AE3"/>
    <w:rsid w:val="0098347C"/>
    <w:rsid w:val="00983FA6"/>
    <w:rsid w:val="009843DD"/>
    <w:rsid w:val="00984801"/>
    <w:rsid w:val="0098526E"/>
    <w:rsid w:val="0098650E"/>
    <w:rsid w:val="009867CB"/>
    <w:rsid w:val="00987655"/>
    <w:rsid w:val="009879FC"/>
    <w:rsid w:val="00987D61"/>
    <w:rsid w:val="00990712"/>
    <w:rsid w:val="009912A4"/>
    <w:rsid w:val="009912CB"/>
    <w:rsid w:val="009922BA"/>
    <w:rsid w:val="00992539"/>
    <w:rsid w:val="0099393D"/>
    <w:rsid w:val="009950AE"/>
    <w:rsid w:val="009969DE"/>
    <w:rsid w:val="00997476"/>
    <w:rsid w:val="00997D7C"/>
    <w:rsid w:val="00997E0B"/>
    <w:rsid w:val="009A0499"/>
    <w:rsid w:val="009A0D32"/>
    <w:rsid w:val="009A1512"/>
    <w:rsid w:val="009A313C"/>
    <w:rsid w:val="009A3A36"/>
    <w:rsid w:val="009A4EF8"/>
    <w:rsid w:val="009A51E9"/>
    <w:rsid w:val="009A5611"/>
    <w:rsid w:val="009A5F77"/>
    <w:rsid w:val="009A697C"/>
    <w:rsid w:val="009A6AF1"/>
    <w:rsid w:val="009B1147"/>
    <w:rsid w:val="009B21AB"/>
    <w:rsid w:val="009B2410"/>
    <w:rsid w:val="009B2B14"/>
    <w:rsid w:val="009B3B76"/>
    <w:rsid w:val="009B5124"/>
    <w:rsid w:val="009B5382"/>
    <w:rsid w:val="009B5680"/>
    <w:rsid w:val="009B65AE"/>
    <w:rsid w:val="009B695E"/>
    <w:rsid w:val="009C152F"/>
    <w:rsid w:val="009C1A2F"/>
    <w:rsid w:val="009C24AC"/>
    <w:rsid w:val="009C34CC"/>
    <w:rsid w:val="009C382A"/>
    <w:rsid w:val="009C43DF"/>
    <w:rsid w:val="009C49BB"/>
    <w:rsid w:val="009C4BDA"/>
    <w:rsid w:val="009C5000"/>
    <w:rsid w:val="009C6BB6"/>
    <w:rsid w:val="009C6ED3"/>
    <w:rsid w:val="009C79DF"/>
    <w:rsid w:val="009D07F2"/>
    <w:rsid w:val="009D1378"/>
    <w:rsid w:val="009D160B"/>
    <w:rsid w:val="009D2226"/>
    <w:rsid w:val="009D3890"/>
    <w:rsid w:val="009D3F0C"/>
    <w:rsid w:val="009D4A40"/>
    <w:rsid w:val="009D59C5"/>
    <w:rsid w:val="009D59F7"/>
    <w:rsid w:val="009D62CB"/>
    <w:rsid w:val="009D65DA"/>
    <w:rsid w:val="009D674C"/>
    <w:rsid w:val="009D6B03"/>
    <w:rsid w:val="009D7944"/>
    <w:rsid w:val="009D7F94"/>
    <w:rsid w:val="009E07DE"/>
    <w:rsid w:val="009E153B"/>
    <w:rsid w:val="009E2BA7"/>
    <w:rsid w:val="009E335B"/>
    <w:rsid w:val="009E3A4A"/>
    <w:rsid w:val="009E49EC"/>
    <w:rsid w:val="009E6213"/>
    <w:rsid w:val="009E6A5A"/>
    <w:rsid w:val="009E74BC"/>
    <w:rsid w:val="009E7CDF"/>
    <w:rsid w:val="009F09A0"/>
    <w:rsid w:val="009F178F"/>
    <w:rsid w:val="009F1C59"/>
    <w:rsid w:val="009F1F1A"/>
    <w:rsid w:val="009F2A53"/>
    <w:rsid w:val="009F43CB"/>
    <w:rsid w:val="009F54D8"/>
    <w:rsid w:val="009F55DB"/>
    <w:rsid w:val="009F57A7"/>
    <w:rsid w:val="009F620D"/>
    <w:rsid w:val="009F6687"/>
    <w:rsid w:val="009F6AA1"/>
    <w:rsid w:val="009F7F76"/>
    <w:rsid w:val="00A0178F"/>
    <w:rsid w:val="00A024D6"/>
    <w:rsid w:val="00A02BC5"/>
    <w:rsid w:val="00A02BD1"/>
    <w:rsid w:val="00A05965"/>
    <w:rsid w:val="00A079E5"/>
    <w:rsid w:val="00A101B3"/>
    <w:rsid w:val="00A10571"/>
    <w:rsid w:val="00A106D4"/>
    <w:rsid w:val="00A1142F"/>
    <w:rsid w:val="00A12DF2"/>
    <w:rsid w:val="00A13ACD"/>
    <w:rsid w:val="00A13BE3"/>
    <w:rsid w:val="00A14DA9"/>
    <w:rsid w:val="00A1597B"/>
    <w:rsid w:val="00A15DE1"/>
    <w:rsid w:val="00A16767"/>
    <w:rsid w:val="00A20ED5"/>
    <w:rsid w:val="00A210A4"/>
    <w:rsid w:val="00A21322"/>
    <w:rsid w:val="00A22B07"/>
    <w:rsid w:val="00A22C77"/>
    <w:rsid w:val="00A234C9"/>
    <w:rsid w:val="00A2373D"/>
    <w:rsid w:val="00A24ADE"/>
    <w:rsid w:val="00A25A2A"/>
    <w:rsid w:val="00A25F02"/>
    <w:rsid w:val="00A25F06"/>
    <w:rsid w:val="00A26F05"/>
    <w:rsid w:val="00A3083D"/>
    <w:rsid w:val="00A33864"/>
    <w:rsid w:val="00A33AB6"/>
    <w:rsid w:val="00A33F12"/>
    <w:rsid w:val="00A36FE1"/>
    <w:rsid w:val="00A370DA"/>
    <w:rsid w:val="00A37308"/>
    <w:rsid w:val="00A37CA7"/>
    <w:rsid w:val="00A426A2"/>
    <w:rsid w:val="00A42BD9"/>
    <w:rsid w:val="00A454DF"/>
    <w:rsid w:val="00A45624"/>
    <w:rsid w:val="00A4597D"/>
    <w:rsid w:val="00A466C3"/>
    <w:rsid w:val="00A46F34"/>
    <w:rsid w:val="00A46FC4"/>
    <w:rsid w:val="00A474FF"/>
    <w:rsid w:val="00A47C87"/>
    <w:rsid w:val="00A50695"/>
    <w:rsid w:val="00A50DD5"/>
    <w:rsid w:val="00A51999"/>
    <w:rsid w:val="00A52305"/>
    <w:rsid w:val="00A528C0"/>
    <w:rsid w:val="00A53188"/>
    <w:rsid w:val="00A533EA"/>
    <w:rsid w:val="00A534DD"/>
    <w:rsid w:val="00A53C10"/>
    <w:rsid w:val="00A53CB8"/>
    <w:rsid w:val="00A54134"/>
    <w:rsid w:val="00A54637"/>
    <w:rsid w:val="00A55AED"/>
    <w:rsid w:val="00A55BF1"/>
    <w:rsid w:val="00A5769A"/>
    <w:rsid w:val="00A607DC"/>
    <w:rsid w:val="00A60970"/>
    <w:rsid w:val="00A6212A"/>
    <w:rsid w:val="00A623F4"/>
    <w:rsid w:val="00A62849"/>
    <w:rsid w:val="00A63BC1"/>
    <w:rsid w:val="00A63DA8"/>
    <w:rsid w:val="00A642B2"/>
    <w:rsid w:val="00A6470B"/>
    <w:rsid w:val="00A64761"/>
    <w:rsid w:val="00A6481C"/>
    <w:rsid w:val="00A65317"/>
    <w:rsid w:val="00A67F26"/>
    <w:rsid w:val="00A700A9"/>
    <w:rsid w:val="00A7060C"/>
    <w:rsid w:val="00A70C29"/>
    <w:rsid w:val="00A71483"/>
    <w:rsid w:val="00A74301"/>
    <w:rsid w:val="00A74373"/>
    <w:rsid w:val="00A74926"/>
    <w:rsid w:val="00A75AA3"/>
    <w:rsid w:val="00A75FDD"/>
    <w:rsid w:val="00A771E5"/>
    <w:rsid w:val="00A778A0"/>
    <w:rsid w:val="00A778A7"/>
    <w:rsid w:val="00A77A00"/>
    <w:rsid w:val="00A8080A"/>
    <w:rsid w:val="00A8126C"/>
    <w:rsid w:val="00A81898"/>
    <w:rsid w:val="00A82A42"/>
    <w:rsid w:val="00A82F40"/>
    <w:rsid w:val="00A867BD"/>
    <w:rsid w:val="00A86CD6"/>
    <w:rsid w:val="00A8763F"/>
    <w:rsid w:val="00A87808"/>
    <w:rsid w:val="00A87825"/>
    <w:rsid w:val="00A90684"/>
    <w:rsid w:val="00A90911"/>
    <w:rsid w:val="00A90D23"/>
    <w:rsid w:val="00A92297"/>
    <w:rsid w:val="00A927B4"/>
    <w:rsid w:val="00A9349E"/>
    <w:rsid w:val="00A93E28"/>
    <w:rsid w:val="00A95329"/>
    <w:rsid w:val="00A954E9"/>
    <w:rsid w:val="00A97544"/>
    <w:rsid w:val="00A97B82"/>
    <w:rsid w:val="00AA0F54"/>
    <w:rsid w:val="00AA2131"/>
    <w:rsid w:val="00AA3AE3"/>
    <w:rsid w:val="00AA4255"/>
    <w:rsid w:val="00AA46F0"/>
    <w:rsid w:val="00AA5573"/>
    <w:rsid w:val="00AB0F3F"/>
    <w:rsid w:val="00AB13B8"/>
    <w:rsid w:val="00AB1ED8"/>
    <w:rsid w:val="00AB23D7"/>
    <w:rsid w:val="00AB2A4F"/>
    <w:rsid w:val="00AB2F6F"/>
    <w:rsid w:val="00AB351F"/>
    <w:rsid w:val="00AB35EF"/>
    <w:rsid w:val="00AB6543"/>
    <w:rsid w:val="00AB65F0"/>
    <w:rsid w:val="00AC0A21"/>
    <w:rsid w:val="00AC1C64"/>
    <w:rsid w:val="00AC1F85"/>
    <w:rsid w:val="00AC25C2"/>
    <w:rsid w:val="00AC512D"/>
    <w:rsid w:val="00AC595A"/>
    <w:rsid w:val="00AC59A5"/>
    <w:rsid w:val="00AC5D69"/>
    <w:rsid w:val="00AC6433"/>
    <w:rsid w:val="00AC6C80"/>
    <w:rsid w:val="00AC7023"/>
    <w:rsid w:val="00AC75B0"/>
    <w:rsid w:val="00AC7F4F"/>
    <w:rsid w:val="00AC7FA5"/>
    <w:rsid w:val="00AD0B63"/>
    <w:rsid w:val="00AD0C22"/>
    <w:rsid w:val="00AD1309"/>
    <w:rsid w:val="00AD1EB2"/>
    <w:rsid w:val="00AD39B5"/>
    <w:rsid w:val="00AD3C4E"/>
    <w:rsid w:val="00AD457A"/>
    <w:rsid w:val="00AD4E8B"/>
    <w:rsid w:val="00AD50CD"/>
    <w:rsid w:val="00AD600E"/>
    <w:rsid w:val="00AD70A0"/>
    <w:rsid w:val="00AD71A5"/>
    <w:rsid w:val="00AD757F"/>
    <w:rsid w:val="00AE01F0"/>
    <w:rsid w:val="00AE072F"/>
    <w:rsid w:val="00AE0A0D"/>
    <w:rsid w:val="00AE2EFF"/>
    <w:rsid w:val="00AE4D1B"/>
    <w:rsid w:val="00AE5050"/>
    <w:rsid w:val="00AE5976"/>
    <w:rsid w:val="00AE7509"/>
    <w:rsid w:val="00AF06C0"/>
    <w:rsid w:val="00AF08B9"/>
    <w:rsid w:val="00AF10FF"/>
    <w:rsid w:val="00AF11B2"/>
    <w:rsid w:val="00AF12C8"/>
    <w:rsid w:val="00AF2087"/>
    <w:rsid w:val="00AF2A9A"/>
    <w:rsid w:val="00AF30D1"/>
    <w:rsid w:val="00AF3F2D"/>
    <w:rsid w:val="00AF50BB"/>
    <w:rsid w:val="00AF640A"/>
    <w:rsid w:val="00AF7A58"/>
    <w:rsid w:val="00B00351"/>
    <w:rsid w:val="00B006BE"/>
    <w:rsid w:val="00B00C7F"/>
    <w:rsid w:val="00B0116A"/>
    <w:rsid w:val="00B02902"/>
    <w:rsid w:val="00B02A18"/>
    <w:rsid w:val="00B02F19"/>
    <w:rsid w:val="00B036E9"/>
    <w:rsid w:val="00B03A21"/>
    <w:rsid w:val="00B04C7A"/>
    <w:rsid w:val="00B04D91"/>
    <w:rsid w:val="00B0508E"/>
    <w:rsid w:val="00B05E82"/>
    <w:rsid w:val="00B10755"/>
    <w:rsid w:val="00B12008"/>
    <w:rsid w:val="00B1288C"/>
    <w:rsid w:val="00B13335"/>
    <w:rsid w:val="00B13652"/>
    <w:rsid w:val="00B143BA"/>
    <w:rsid w:val="00B14B3A"/>
    <w:rsid w:val="00B166D2"/>
    <w:rsid w:val="00B1678E"/>
    <w:rsid w:val="00B1785F"/>
    <w:rsid w:val="00B20E8B"/>
    <w:rsid w:val="00B21D50"/>
    <w:rsid w:val="00B21F96"/>
    <w:rsid w:val="00B22972"/>
    <w:rsid w:val="00B23B0E"/>
    <w:rsid w:val="00B23EEA"/>
    <w:rsid w:val="00B24572"/>
    <w:rsid w:val="00B25DFB"/>
    <w:rsid w:val="00B25ED1"/>
    <w:rsid w:val="00B26257"/>
    <w:rsid w:val="00B279B3"/>
    <w:rsid w:val="00B27A5E"/>
    <w:rsid w:val="00B30BA5"/>
    <w:rsid w:val="00B30F6B"/>
    <w:rsid w:val="00B314EA"/>
    <w:rsid w:val="00B3247A"/>
    <w:rsid w:val="00B325BC"/>
    <w:rsid w:val="00B32BE5"/>
    <w:rsid w:val="00B32C39"/>
    <w:rsid w:val="00B33207"/>
    <w:rsid w:val="00B3375A"/>
    <w:rsid w:val="00B33837"/>
    <w:rsid w:val="00B3473B"/>
    <w:rsid w:val="00B367C1"/>
    <w:rsid w:val="00B37C0D"/>
    <w:rsid w:val="00B40A24"/>
    <w:rsid w:val="00B40F0A"/>
    <w:rsid w:val="00B41692"/>
    <w:rsid w:val="00B42B10"/>
    <w:rsid w:val="00B45CB0"/>
    <w:rsid w:val="00B46AD4"/>
    <w:rsid w:val="00B46FC5"/>
    <w:rsid w:val="00B478E6"/>
    <w:rsid w:val="00B47F93"/>
    <w:rsid w:val="00B50E89"/>
    <w:rsid w:val="00B51245"/>
    <w:rsid w:val="00B51502"/>
    <w:rsid w:val="00B52575"/>
    <w:rsid w:val="00B54154"/>
    <w:rsid w:val="00B559D3"/>
    <w:rsid w:val="00B56C74"/>
    <w:rsid w:val="00B56D7C"/>
    <w:rsid w:val="00B60F52"/>
    <w:rsid w:val="00B61389"/>
    <w:rsid w:val="00B613B5"/>
    <w:rsid w:val="00B61A50"/>
    <w:rsid w:val="00B634D1"/>
    <w:rsid w:val="00B645BC"/>
    <w:rsid w:val="00B64905"/>
    <w:rsid w:val="00B64CFF"/>
    <w:rsid w:val="00B65744"/>
    <w:rsid w:val="00B66C9B"/>
    <w:rsid w:val="00B66DF7"/>
    <w:rsid w:val="00B70CB6"/>
    <w:rsid w:val="00B7114B"/>
    <w:rsid w:val="00B73C41"/>
    <w:rsid w:val="00B75064"/>
    <w:rsid w:val="00B757B3"/>
    <w:rsid w:val="00B75932"/>
    <w:rsid w:val="00B75B80"/>
    <w:rsid w:val="00B760BB"/>
    <w:rsid w:val="00B76D8C"/>
    <w:rsid w:val="00B77300"/>
    <w:rsid w:val="00B774BD"/>
    <w:rsid w:val="00B779EB"/>
    <w:rsid w:val="00B77BD8"/>
    <w:rsid w:val="00B800C3"/>
    <w:rsid w:val="00B802B5"/>
    <w:rsid w:val="00B803FB"/>
    <w:rsid w:val="00B8119D"/>
    <w:rsid w:val="00B82760"/>
    <w:rsid w:val="00B8368C"/>
    <w:rsid w:val="00B8549E"/>
    <w:rsid w:val="00B862C9"/>
    <w:rsid w:val="00B87063"/>
    <w:rsid w:val="00B871AC"/>
    <w:rsid w:val="00B91E59"/>
    <w:rsid w:val="00B92A39"/>
    <w:rsid w:val="00B92B64"/>
    <w:rsid w:val="00B935D1"/>
    <w:rsid w:val="00B93BEA"/>
    <w:rsid w:val="00B941EC"/>
    <w:rsid w:val="00B944BA"/>
    <w:rsid w:val="00B94D63"/>
    <w:rsid w:val="00B95871"/>
    <w:rsid w:val="00B95DFB"/>
    <w:rsid w:val="00B96009"/>
    <w:rsid w:val="00B96102"/>
    <w:rsid w:val="00B969C8"/>
    <w:rsid w:val="00BA0B8F"/>
    <w:rsid w:val="00BA0D30"/>
    <w:rsid w:val="00BA4108"/>
    <w:rsid w:val="00BA45A6"/>
    <w:rsid w:val="00BA4850"/>
    <w:rsid w:val="00BA5892"/>
    <w:rsid w:val="00BA5DE0"/>
    <w:rsid w:val="00BA6AD7"/>
    <w:rsid w:val="00BA6C2E"/>
    <w:rsid w:val="00BA7E5F"/>
    <w:rsid w:val="00BB09F6"/>
    <w:rsid w:val="00BB1964"/>
    <w:rsid w:val="00BB1982"/>
    <w:rsid w:val="00BB1B03"/>
    <w:rsid w:val="00BB2532"/>
    <w:rsid w:val="00BB2783"/>
    <w:rsid w:val="00BB2827"/>
    <w:rsid w:val="00BB3473"/>
    <w:rsid w:val="00BB3B40"/>
    <w:rsid w:val="00BB42BA"/>
    <w:rsid w:val="00BB4C92"/>
    <w:rsid w:val="00BB52A6"/>
    <w:rsid w:val="00BB5618"/>
    <w:rsid w:val="00BC0FA8"/>
    <w:rsid w:val="00BC2535"/>
    <w:rsid w:val="00BC2A62"/>
    <w:rsid w:val="00BC2FCB"/>
    <w:rsid w:val="00BC3D6E"/>
    <w:rsid w:val="00BC3DCA"/>
    <w:rsid w:val="00BC7613"/>
    <w:rsid w:val="00BC7FCC"/>
    <w:rsid w:val="00BD049E"/>
    <w:rsid w:val="00BD07F3"/>
    <w:rsid w:val="00BD0F14"/>
    <w:rsid w:val="00BD11CA"/>
    <w:rsid w:val="00BD15E5"/>
    <w:rsid w:val="00BD1C62"/>
    <w:rsid w:val="00BD24D2"/>
    <w:rsid w:val="00BD26C6"/>
    <w:rsid w:val="00BD3B01"/>
    <w:rsid w:val="00BD4266"/>
    <w:rsid w:val="00BD4C25"/>
    <w:rsid w:val="00BD7257"/>
    <w:rsid w:val="00BD79AE"/>
    <w:rsid w:val="00BD7B6C"/>
    <w:rsid w:val="00BE020C"/>
    <w:rsid w:val="00BE0341"/>
    <w:rsid w:val="00BE0ABE"/>
    <w:rsid w:val="00BE0CBA"/>
    <w:rsid w:val="00BE10B3"/>
    <w:rsid w:val="00BE1903"/>
    <w:rsid w:val="00BE3128"/>
    <w:rsid w:val="00BE3557"/>
    <w:rsid w:val="00BE3B2F"/>
    <w:rsid w:val="00BE4719"/>
    <w:rsid w:val="00BE4DEE"/>
    <w:rsid w:val="00BE6704"/>
    <w:rsid w:val="00BE7664"/>
    <w:rsid w:val="00BF056F"/>
    <w:rsid w:val="00BF07FF"/>
    <w:rsid w:val="00BF0B06"/>
    <w:rsid w:val="00BF1B5D"/>
    <w:rsid w:val="00BF3B6D"/>
    <w:rsid w:val="00BF3BDE"/>
    <w:rsid w:val="00BF4319"/>
    <w:rsid w:val="00BF4344"/>
    <w:rsid w:val="00BF51CF"/>
    <w:rsid w:val="00BF5B0A"/>
    <w:rsid w:val="00BF6955"/>
    <w:rsid w:val="00C011E3"/>
    <w:rsid w:val="00C01418"/>
    <w:rsid w:val="00C022B7"/>
    <w:rsid w:val="00C0240A"/>
    <w:rsid w:val="00C02791"/>
    <w:rsid w:val="00C0279A"/>
    <w:rsid w:val="00C04871"/>
    <w:rsid w:val="00C04B5D"/>
    <w:rsid w:val="00C05743"/>
    <w:rsid w:val="00C06CCE"/>
    <w:rsid w:val="00C06DFA"/>
    <w:rsid w:val="00C07B69"/>
    <w:rsid w:val="00C07B70"/>
    <w:rsid w:val="00C11170"/>
    <w:rsid w:val="00C11B77"/>
    <w:rsid w:val="00C11F6B"/>
    <w:rsid w:val="00C134E1"/>
    <w:rsid w:val="00C14FDB"/>
    <w:rsid w:val="00C15B13"/>
    <w:rsid w:val="00C16266"/>
    <w:rsid w:val="00C16449"/>
    <w:rsid w:val="00C168E0"/>
    <w:rsid w:val="00C1728E"/>
    <w:rsid w:val="00C20863"/>
    <w:rsid w:val="00C209BF"/>
    <w:rsid w:val="00C244D0"/>
    <w:rsid w:val="00C24B55"/>
    <w:rsid w:val="00C2572E"/>
    <w:rsid w:val="00C25D33"/>
    <w:rsid w:val="00C26661"/>
    <w:rsid w:val="00C26966"/>
    <w:rsid w:val="00C26D12"/>
    <w:rsid w:val="00C26EAB"/>
    <w:rsid w:val="00C279C0"/>
    <w:rsid w:val="00C30101"/>
    <w:rsid w:val="00C30F5D"/>
    <w:rsid w:val="00C3151A"/>
    <w:rsid w:val="00C31608"/>
    <w:rsid w:val="00C318AA"/>
    <w:rsid w:val="00C31B28"/>
    <w:rsid w:val="00C31F50"/>
    <w:rsid w:val="00C3282B"/>
    <w:rsid w:val="00C346C2"/>
    <w:rsid w:val="00C34AE6"/>
    <w:rsid w:val="00C34E9B"/>
    <w:rsid w:val="00C34FFD"/>
    <w:rsid w:val="00C35EB8"/>
    <w:rsid w:val="00C35EBD"/>
    <w:rsid w:val="00C36C2B"/>
    <w:rsid w:val="00C375F5"/>
    <w:rsid w:val="00C40693"/>
    <w:rsid w:val="00C42BE3"/>
    <w:rsid w:val="00C434EA"/>
    <w:rsid w:val="00C449FE"/>
    <w:rsid w:val="00C450D1"/>
    <w:rsid w:val="00C4600E"/>
    <w:rsid w:val="00C46031"/>
    <w:rsid w:val="00C466F1"/>
    <w:rsid w:val="00C473B3"/>
    <w:rsid w:val="00C50085"/>
    <w:rsid w:val="00C509F5"/>
    <w:rsid w:val="00C50E46"/>
    <w:rsid w:val="00C51776"/>
    <w:rsid w:val="00C520BB"/>
    <w:rsid w:val="00C52183"/>
    <w:rsid w:val="00C53159"/>
    <w:rsid w:val="00C533F7"/>
    <w:rsid w:val="00C56266"/>
    <w:rsid w:val="00C57725"/>
    <w:rsid w:val="00C57B01"/>
    <w:rsid w:val="00C60A9C"/>
    <w:rsid w:val="00C615A2"/>
    <w:rsid w:val="00C62E7C"/>
    <w:rsid w:val="00C65BDF"/>
    <w:rsid w:val="00C67187"/>
    <w:rsid w:val="00C7128A"/>
    <w:rsid w:val="00C718FE"/>
    <w:rsid w:val="00C732B6"/>
    <w:rsid w:val="00C73342"/>
    <w:rsid w:val="00C771F8"/>
    <w:rsid w:val="00C809B2"/>
    <w:rsid w:val="00C8133D"/>
    <w:rsid w:val="00C81ADC"/>
    <w:rsid w:val="00C81E97"/>
    <w:rsid w:val="00C8247D"/>
    <w:rsid w:val="00C8639D"/>
    <w:rsid w:val="00C86E82"/>
    <w:rsid w:val="00C87AEC"/>
    <w:rsid w:val="00C87EF3"/>
    <w:rsid w:val="00C90047"/>
    <w:rsid w:val="00C907AB"/>
    <w:rsid w:val="00C909A3"/>
    <w:rsid w:val="00C9140B"/>
    <w:rsid w:val="00C916D6"/>
    <w:rsid w:val="00C91A57"/>
    <w:rsid w:val="00C92328"/>
    <w:rsid w:val="00C92539"/>
    <w:rsid w:val="00C9305E"/>
    <w:rsid w:val="00C93F5A"/>
    <w:rsid w:val="00C94140"/>
    <w:rsid w:val="00C9446C"/>
    <w:rsid w:val="00C94AB1"/>
    <w:rsid w:val="00C94D32"/>
    <w:rsid w:val="00C95A11"/>
    <w:rsid w:val="00C95BB6"/>
    <w:rsid w:val="00C95C0D"/>
    <w:rsid w:val="00C9687A"/>
    <w:rsid w:val="00C9724D"/>
    <w:rsid w:val="00C9765B"/>
    <w:rsid w:val="00C97C47"/>
    <w:rsid w:val="00CA0A61"/>
    <w:rsid w:val="00CA0F9F"/>
    <w:rsid w:val="00CA1F41"/>
    <w:rsid w:val="00CA22F6"/>
    <w:rsid w:val="00CA302A"/>
    <w:rsid w:val="00CA341D"/>
    <w:rsid w:val="00CA3F6E"/>
    <w:rsid w:val="00CA4928"/>
    <w:rsid w:val="00CA561A"/>
    <w:rsid w:val="00CA723F"/>
    <w:rsid w:val="00CB0496"/>
    <w:rsid w:val="00CB0557"/>
    <w:rsid w:val="00CB08C2"/>
    <w:rsid w:val="00CB09D0"/>
    <w:rsid w:val="00CB0BDE"/>
    <w:rsid w:val="00CB0F54"/>
    <w:rsid w:val="00CB20A9"/>
    <w:rsid w:val="00CB2AED"/>
    <w:rsid w:val="00CB38D0"/>
    <w:rsid w:val="00CB49EA"/>
    <w:rsid w:val="00CB56AD"/>
    <w:rsid w:val="00CB5977"/>
    <w:rsid w:val="00CB608B"/>
    <w:rsid w:val="00CB628D"/>
    <w:rsid w:val="00CB6939"/>
    <w:rsid w:val="00CB7187"/>
    <w:rsid w:val="00CC01A0"/>
    <w:rsid w:val="00CC024B"/>
    <w:rsid w:val="00CC0C9A"/>
    <w:rsid w:val="00CC1134"/>
    <w:rsid w:val="00CC1F3D"/>
    <w:rsid w:val="00CC328C"/>
    <w:rsid w:val="00CC3C2E"/>
    <w:rsid w:val="00CC4042"/>
    <w:rsid w:val="00CC4B24"/>
    <w:rsid w:val="00CC5243"/>
    <w:rsid w:val="00CC5751"/>
    <w:rsid w:val="00CC5FC3"/>
    <w:rsid w:val="00CC630B"/>
    <w:rsid w:val="00CC6F9C"/>
    <w:rsid w:val="00CC73C1"/>
    <w:rsid w:val="00CC7E9F"/>
    <w:rsid w:val="00CD1187"/>
    <w:rsid w:val="00CD17D3"/>
    <w:rsid w:val="00CD1CEE"/>
    <w:rsid w:val="00CD24EB"/>
    <w:rsid w:val="00CD28BA"/>
    <w:rsid w:val="00CD3149"/>
    <w:rsid w:val="00CD36E1"/>
    <w:rsid w:val="00CD3DDD"/>
    <w:rsid w:val="00CD4702"/>
    <w:rsid w:val="00CD6975"/>
    <w:rsid w:val="00CD6C23"/>
    <w:rsid w:val="00CE0E54"/>
    <w:rsid w:val="00CE18D3"/>
    <w:rsid w:val="00CE3161"/>
    <w:rsid w:val="00CE4BDE"/>
    <w:rsid w:val="00CE4FF7"/>
    <w:rsid w:val="00CE5008"/>
    <w:rsid w:val="00CE5E9C"/>
    <w:rsid w:val="00CE6E1C"/>
    <w:rsid w:val="00CE7258"/>
    <w:rsid w:val="00CE7D98"/>
    <w:rsid w:val="00CE7F53"/>
    <w:rsid w:val="00CF1047"/>
    <w:rsid w:val="00CF1109"/>
    <w:rsid w:val="00CF1A1A"/>
    <w:rsid w:val="00CF1A5F"/>
    <w:rsid w:val="00CF20AD"/>
    <w:rsid w:val="00CF22DF"/>
    <w:rsid w:val="00CF250A"/>
    <w:rsid w:val="00CF2E82"/>
    <w:rsid w:val="00CF465E"/>
    <w:rsid w:val="00CF5A87"/>
    <w:rsid w:val="00CF6C29"/>
    <w:rsid w:val="00D00745"/>
    <w:rsid w:val="00D00891"/>
    <w:rsid w:val="00D01658"/>
    <w:rsid w:val="00D01B9D"/>
    <w:rsid w:val="00D02519"/>
    <w:rsid w:val="00D02611"/>
    <w:rsid w:val="00D034E8"/>
    <w:rsid w:val="00D0358E"/>
    <w:rsid w:val="00D03FFA"/>
    <w:rsid w:val="00D04199"/>
    <w:rsid w:val="00D041FD"/>
    <w:rsid w:val="00D05AC5"/>
    <w:rsid w:val="00D05BE5"/>
    <w:rsid w:val="00D05EF6"/>
    <w:rsid w:val="00D06DD9"/>
    <w:rsid w:val="00D06F1B"/>
    <w:rsid w:val="00D07308"/>
    <w:rsid w:val="00D101C4"/>
    <w:rsid w:val="00D10327"/>
    <w:rsid w:val="00D10B15"/>
    <w:rsid w:val="00D111FC"/>
    <w:rsid w:val="00D11834"/>
    <w:rsid w:val="00D12528"/>
    <w:rsid w:val="00D12728"/>
    <w:rsid w:val="00D12D92"/>
    <w:rsid w:val="00D13891"/>
    <w:rsid w:val="00D13C3B"/>
    <w:rsid w:val="00D15934"/>
    <w:rsid w:val="00D16ED7"/>
    <w:rsid w:val="00D226E6"/>
    <w:rsid w:val="00D23213"/>
    <w:rsid w:val="00D236FA"/>
    <w:rsid w:val="00D239DE"/>
    <w:rsid w:val="00D24AF4"/>
    <w:rsid w:val="00D24F36"/>
    <w:rsid w:val="00D263BF"/>
    <w:rsid w:val="00D27977"/>
    <w:rsid w:val="00D27EDB"/>
    <w:rsid w:val="00D30DCA"/>
    <w:rsid w:val="00D31BC4"/>
    <w:rsid w:val="00D31F4B"/>
    <w:rsid w:val="00D32231"/>
    <w:rsid w:val="00D32417"/>
    <w:rsid w:val="00D3348A"/>
    <w:rsid w:val="00D3436D"/>
    <w:rsid w:val="00D34BE7"/>
    <w:rsid w:val="00D35AA5"/>
    <w:rsid w:val="00D35BC3"/>
    <w:rsid w:val="00D36AD8"/>
    <w:rsid w:val="00D403F6"/>
    <w:rsid w:val="00D40C51"/>
    <w:rsid w:val="00D40FA3"/>
    <w:rsid w:val="00D41083"/>
    <w:rsid w:val="00D417A2"/>
    <w:rsid w:val="00D42FA0"/>
    <w:rsid w:val="00D441C1"/>
    <w:rsid w:val="00D44473"/>
    <w:rsid w:val="00D44C8E"/>
    <w:rsid w:val="00D5045A"/>
    <w:rsid w:val="00D508A8"/>
    <w:rsid w:val="00D519C4"/>
    <w:rsid w:val="00D52817"/>
    <w:rsid w:val="00D5424A"/>
    <w:rsid w:val="00D54269"/>
    <w:rsid w:val="00D54BE5"/>
    <w:rsid w:val="00D5665B"/>
    <w:rsid w:val="00D575EF"/>
    <w:rsid w:val="00D60B62"/>
    <w:rsid w:val="00D61084"/>
    <w:rsid w:val="00D622B3"/>
    <w:rsid w:val="00D6347E"/>
    <w:rsid w:val="00D63F22"/>
    <w:rsid w:val="00D64610"/>
    <w:rsid w:val="00D64A3F"/>
    <w:rsid w:val="00D65481"/>
    <w:rsid w:val="00D65DD3"/>
    <w:rsid w:val="00D65E2F"/>
    <w:rsid w:val="00D66387"/>
    <w:rsid w:val="00D66F5C"/>
    <w:rsid w:val="00D672CD"/>
    <w:rsid w:val="00D67680"/>
    <w:rsid w:val="00D678EB"/>
    <w:rsid w:val="00D7025D"/>
    <w:rsid w:val="00D71148"/>
    <w:rsid w:val="00D71C9A"/>
    <w:rsid w:val="00D725CD"/>
    <w:rsid w:val="00D726E5"/>
    <w:rsid w:val="00D7287C"/>
    <w:rsid w:val="00D728DB"/>
    <w:rsid w:val="00D743F3"/>
    <w:rsid w:val="00D74557"/>
    <w:rsid w:val="00D77B6A"/>
    <w:rsid w:val="00D816C0"/>
    <w:rsid w:val="00D81B29"/>
    <w:rsid w:val="00D81DE5"/>
    <w:rsid w:val="00D82E8D"/>
    <w:rsid w:val="00D85692"/>
    <w:rsid w:val="00D90AE5"/>
    <w:rsid w:val="00D914E2"/>
    <w:rsid w:val="00D91513"/>
    <w:rsid w:val="00D92F17"/>
    <w:rsid w:val="00D936D9"/>
    <w:rsid w:val="00D93957"/>
    <w:rsid w:val="00D939F1"/>
    <w:rsid w:val="00D93F8B"/>
    <w:rsid w:val="00D940A7"/>
    <w:rsid w:val="00D9477B"/>
    <w:rsid w:val="00D94F1B"/>
    <w:rsid w:val="00D97A5E"/>
    <w:rsid w:val="00DA02B8"/>
    <w:rsid w:val="00DA0ADC"/>
    <w:rsid w:val="00DA0DF8"/>
    <w:rsid w:val="00DA0F5D"/>
    <w:rsid w:val="00DA1297"/>
    <w:rsid w:val="00DA2DEF"/>
    <w:rsid w:val="00DA44C1"/>
    <w:rsid w:val="00DA4813"/>
    <w:rsid w:val="00DA6EC0"/>
    <w:rsid w:val="00DA70C0"/>
    <w:rsid w:val="00DA76D5"/>
    <w:rsid w:val="00DA7764"/>
    <w:rsid w:val="00DA7F64"/>
    <w:rsid w:val="00DB07BE"/>
    <w:rsid w:val="00DB1566"/>
    <w:rsid w:val="00DB1960"/>
    <w:rsid w:val="00DB1A41"/>
    <w:rsid w:val="00DB4287"/>
    <w:rsid w:val="00DB4D8A"/>
    <w:rsid w:val="00DB525B"/>
    <w:rsid w:val="00DB5611"/>
    <w:rsid w:val="00DB5BB5"/>
    <w:rsid w:val="00DB60DD"/>
    <w:rsid w:val="00DB6F39"/>
    <w:rsid w:val="00DC0008"/>
    <w:rsid w:val="00DC05A7"/>
    <w:rsid w:val="00DC148F"/>
    <w:rsid w:val="00DC2A34"/>
    <w:rsid w:val="00DC2D5B"/>
    <w:rsid w:val="00DC3B94"/>
    <w:rsid w:val="00DC3CF4"/>
    <w:rsid w:val="00DC5958"/>
    <w:rsid w:val="00DC5D52"/>
    <w:rsid w:val="00DC69D0"/>
    <w:rsid w:val="00DD08AA"/>
    <w:rsid w:val="00DD1826"/>
    <w:rsid w:val="00DD25AC"/>
    <w:rsid w:val="00DD3928"/>
    <w:rsid w:val="00DD53EE"/>
    <w:rsid w:val="00DD5E87"/>
    <w:rsid w:val="00DD6C16"/>
    <w:rsid w:val="00DE03F6"/>
    <w:rsid w:val="00DE0F31"/>
    <w:rsid w:val="00DE0FAE"/>
    <w:rsid w:val="00DE310A"/>
    <w:rsid w:val="00DE4192"/>
    <w:rsid w:val="00DE4579"/>
    <w:rsid w:val="00DE5585"/>
    <w:rsid w:val="00DE6C24"/>
    <w:rsid w:val="00DF10B4"/>
    <w:rsid w:val="00DF12BE"/>
    <w:rsid w:val="00DF192C"/>
    <w:rsid w:val="00DF19CB"/>
    <w:rsid w:val="00DF1ABD"/>
    <w:rsid w:val="00DF1B65"/>
    <w:rsid w:val="00DF2FD6"/>
    <w:rsid w:val="00DF35AB"/>
    <w:rsid w:val="00DF4147"/>
    <w:rsid w:val="00DF428D"/>
    <w:rsid w:val="00DF4A7E"/>
    <w:rsid w:val="00DF4BEC"/>
    <w:rsid w:val="00DF4E95"/>
    <w:rsid w:val="00DF6639"/>
    <w:rsid w:val="00DF7736"/>
    <w:rsid w:val="00DF79EC"/>
    <w:rsid w:val="00E0112D"/>
    <w:rsid w:val="00E01D8C"/>
    <w:rsid w:val="00E059EF"/>
    <w:rsid w:val="00E074A0"/>
    <w:rsid w:val="00E10358"/>
    <w:rsid w:val="00E107DE"/>
    <w:rsid w:val="00E1172D"/>
    <w:rsid w:val="00E12B17"/>
    <w:rsid w:val="00E13E7B"/>
    <w:rsid w:val="00E14E7A"/>
    <w:rsid w:val="00E15BF5"/>
    <w:rsid w:val="00E16162"/>
    <w:rsid w:val="00E16E38"/>
    <w:rsid w:val="00E204C9"/>
    <w:rsid w:val="00E20D2D"/>
    <w:rsid w:val="00E21317"/>
    <w:rsid w:val="00E21F03"/>
    <w:rsid w:val="00E2229C"/>
    <w:rsid w:val="00E24261"/>
    <w:rsid w:val="00E2467B"/>
    <w:rsid w:val="00E254F1"/>
    <w:rsid w:val="00E2553D"/>
    <w:rsid w:val="00E259C7"/>
    <w:rsid w:val="00E25BA9"/>
    <w:rsid w:val="00E269BA"/>
    <w:rsid w:val="00E26D76"/>
    <w:rsid w:val="00E27E52"/>
    <w:rsid w:val="00E303C8"/>
    <w:rsid w:val="00E30F63"/>
    <w:rsid w:val="00E31757"/>
    <w:rsid w:val="00E332F2"/>
    <w:rsid w:val="00E3639A"/>
    <w:rsid w:val="00E36B76"/>
    <w:rsid w:val="00E37687"/>
    <w:rsid w:val="00E40F78"/>
    <w:rsid w:val="00E415C7"/>
    <w:rsid w:val="00E41BBC"/>
    <w:rsid w:val="00E4214C"/>
    <w:rsid w:val="00E430A6"/>
    <w:rsid w:val="00E43D9E"/>
    <w:rsid w:val="00E43ECD"/>
    <w:rsid w:val="00E4565D"/>
    <w:rsid w:val="00E459D9"/>
    <w:rsid w:val="00E45D9A"/>
    <w:rsid w:val="00E509B9"/>
    <w:rsid w:val="00E50D52"/>
    <w:rsid w:val="00E532D4"/>
    <w:rsid w:val="00E53627"/>
    <w:rsid w:val="00E55570"/>
    <w:rsid w:val="00E55A45"/>
    <w:rsid w:val="00E55C89"/>
    <w:rsid w:val="00E55CC0"/>
    <w:rsid w:val="00E55E3C"/>
    <w:rsid w:val="00E561A7"/>
    <w:rsid w:val="00E56561"/>
    <w:rsid w:val="00E57488"/>
    <w:rsid w:val="00E57B76"/>
    <w:rsid w:val="00E62707"/>
    <w:rsid w:val="00E62B1C"/>
    <w:rsid w:val="00E62E97"/>
    <w:rsid w:val="00E63236"/>
    <w:rsid w:val="00E633EC"/>
    <w:rsid w:val="00E63737"/>
    <w:rsid w:val="00E64A92"/>
    <w:rsid w:val="00E64AEB"/>
    <w:rsid w:val="00E65BC4"/>
    <w:rsid w:val="00E65F2B"/>
    <w:rsid w:val="00E660BA"/>
    <w:rsid w:val="00E666D9"/>
    <w:rsid w:val="00E66A32"/>
    <w:rsid w:val="00E66DE1"/>
    <w:rsid w:val="00E66E1B"/>
    <w:rsid w:val="00E67779"/>
    <w:rsid w:val="00E67881"/>
    <w:rsid w:val="00E70BB1"/>
    <w:rsid w:val="00E730C3"/>
    <w:rsid w:val="00E762D9"/>
    <w:rsid w:val="00E7678C"/>
    <w:rsid w:val="00E76D4B"/>
    <w:rsid w:val="00E77855"/>
    <w:rsid w:val="00E77D70"/>
    <w:rsid w:val="00E80B16"/>
    <w:rsid w:val="00E8126C"/>
    <w:rsid w:val="00E82AF7"/>
    <w:rsid w:val="00E82B2D"/>
    <w:rsid w:val="00E82C35"/>
    <w:rsid w:val="00E83105"/>
    <w:rsid w:val="00E83398"/>
    <w:rsid w:val="00E83514"/>
    <w:rsid w:val="00E83AE7"/>
    <w:rsid w:val="00E84E86"/>
    <w:rsid w:val="00E85536"/>
    <w:rsid w:val="00E85561"/>
    <w:rsid w:val="00E85CEA"/>
    <w:rsid w:val="00E868EB"/>
    <w:rsid w:val="00E8757E"/>
    <w:rsid w:val="00E877E3"/>
    <w:rsid w:val="00E91CAA"/>
    <w:rsid w:val="00E92E3B"/>
    <w:rsid w:val="00E9320D"/>
    <w:rsid w:val="00E93870"/>
    <w:rsid w:val="00E93CD1"/>
    <w:rsid w:val="00E94C81"/>
    <w:rsid w:val="00E9728A"/>
    <w:rsid w:val="00E975D1"/>
    <w:rsid w:val="00E97A59"/>
    <w:rsid w:val="00EA1BAC"/>
    <w:rsid w:val="00EA1DE5"/>
    <w:rsid w:val="00EA247A"/>
    <w:rsid w:val="00EA25E6"/>
    <w:rsid w:val="00EA3709"/>
    <w:rsid w:val="00EA38ED"/>
    <w:rsid w:val="00EA3EC9"/>
    <w:rsid w:val="00EA3FA1"/>
    <w:rsid w:val="00EA4D9C"/>
    <w:rsid w:val="00EA51DD"/>
    <w:rsid w:val="00EA7041"/>
    <w:rsid w:val="00EA71E6"/>
    <w:rsid w:val="00EA7852"/>
    <w:rsid w:val="00EB04F3"/>
    <w:rsid w:val="00EB0B5D"/>
    <w:rsid w:val="00EB2D1A"/>
    <w:rsid w:val="00EB2E35"/>
    <w:rsid w:val="00EB382B"/>
    <w:rsid w:val="00EB419E"/>
    <w:rsid w:val="00EB4362"/>
    <w:rsid w:val="00EB5B9C"/>
    <w:rsid w:val="00EB6757"/>
    <w:rsid w:val="00EB7F1F"/>
    <w:rsid w:val="00EC2D8F"/>
    <w:rsid w:val="00EC4105"/>
    <w:rsid w:val="00EC49A2"/>
    <w:rsid w:val="00EC4D48"/>
    <w:rsid w:val="00EC5967"/>
    <w:rsid w:val="00EC6370"/>
    <w:rsid w:val="00EC75A7"/>
    <w:rsid w:val="00ED0604"/>
    <w:rsid w:val="00ED06FC"/>
    <w:rsid w:val="00ED08EC"/>
    <w:rsid w:val="00ED1E7D"/>
    <w:rsid w:val="00ED3271"/>
    <w:rsid w:val="00ED3400"/>
    <w:rsid w:val="00ED4D2D"/>
    <w:rsid w:val="00ED56C0"/>
    <w:rsid w:val="00ED5AF9"/>
    <w:rsid w:val="00ED621C"/>
    <w:rsid w:val="00ED6431"/>
    <w:rsid w:val="00ED6AA9"/>
    <w:rsid w:val="00ED735F"/>
    <w:rsid w:val="00EE0B3A"/>
    <w:rsid w:val="00EE0C0A"/>
    <w:rsid w:val="00EE10E8"/>
    <w:rsid w:val="00EE1297"/>
    <w:rsid w:val="00EE2776"/>
    <w:rsid w:val="00EE2F59"/>
    <w:rsid w:val="00EE36BC"/>
    <w:rsid w:val="00EE45D7"/>
    <w:rsid w:val="00EE5BBE"/>
    <w:rsid w:val="00EE6BBD"/>
    <w:rsid w:val="00EE7300"/>
    <w:rsid w:val="00EE745C"/>
    <w:rsid w:val="00EE7CEB"/>
    <w:rsid w:val="00EF07A5"/>
    <w:rsid w:val="00EF1318"/>
    <w:rsid w:val="00EF21B8"/>
    <w:rsid w:val="00EF3CCF"/>
    <w:rsid w:val="00EF693D"/>
    <w:rsid w:val="00EF70FF"/>
    <w:rsid w:val="00F009F7"/>
    <w:rsid w:val="00F00B86"/>
    <w:rsid w:val="00F012E6"/>
    <w:rsid w:val="00F01579"/>
    <w:rsid w:val="00F0222A"/>
    <w:rsid w:val="00F02419"/>
    <w:rsid w:val="00F031DC"/>
    <w:rsid w:val="00F035E4"/>
    <w:rsid w:val="00F04E2E"/>
    <w:rsid w:val="00F05A4C"/>
    <w:rsid w:val="00F07075"/>
    <w:rsid w:val="00F0736D"/>
    <w:rsid w:val="00F1008C"/>
    <w:rsid w:val="00F109D0"/>
    <w:rsid w:val="00F10D3F"/>
    <w:rsid w:val="00F10EC4"/>
    <w:rsid w:val="00F10F23"/>
    <w:rsid w:val="00F1355D"/>
    <w:rsid w:val="00F13770"/>
    <w:rsid w:val="00F14009"/>
    <w:rsid w:val="00F14B5D"/>
    <w:rsid w:val="00F16E37"/>
    <w:rsid w:val="00F17190"/>
    <w:rsid w:val="00F17E28"/>
    <w:rsid w:val="00F2008B"/>
    <w:rsid w:val="00F22C90"/>
    <w:rsid w:val="00F231EF"/>
    <w:rsid w:val="00F23396"/>
    <w:rsid w:val="00F2385A"/>
    <w:rsid w:val="00F23F80"/>
    <w:rsid w:val="00F242CA"/>
    <w:rsid w:val="00F2465E"/>
    <w:rsid w:val="00F24950"/>
    <w:rsid w:val="00F24B0A"/>
    <w:rsid w:val="00F26134"/>
    <w:rsid w:val="00F26B46"/>
    <w:rsid w:val="00F30416"/>
    <w:rsid w:val="00F309F3"/>
    <w:rsid w:val="00F30FBD"/>
    <w:rsid w:val="00F3103D"/>
    <w:rsid w:val="00F32359"/>
    <w:rsid w:val="00F32484"/>
    <w:rsid w:val="00F34781"/>
    <w:rsid w:val="00F34D5C"/>
    <w:rsid w:val="00F35090"/>
    <w:rsid w:val="00F35528"/>
    <w:rsid w:val="00F363BB"/>
    <w:rsid w:val="00F36B1D"/>
    <w:rsid w:val="00F37C76"/>
    <w:rsid w:val="00F37E96"/>
    <w:rsid w:val="00F40D65"/>
    <w:rsid w:val="00F41351"/>
    <w:rsid w:val="00F42A1B"/>
    <w:rsid w:val="00F42D7E"/>
    <w:rsid w:val="00F433F3"/>
    <w:rsid w:val="00F43C09"/>
    <w:rsid w:val="00F43CD7"/>
    <w:rsid w:val="00F44C4E"/>
    <w:rsid w:val="00F44D30"/>
    <w:rsid w:val="00F47205"/>
    <w:rsid w:val="00F479B6"/>
    <w:rsid w:val="00F5027D"/>
    <w:rsid w:val="00F50BAB"/>
    <w:rsid w:val="00F50D95"/>
    <w:rsid w:val="00F50E96"/>
    <w:rsid w:val="00F51695"/>
    <w:rsid w:val="00F522A4"/>
    <w:rsid w:val="00F52F99"/>
    <w:rsid w:val="00F53F6A"/>
    <w:rsid w:val="00F62873"/>
    <w:rsid w:val="00F638D3"/>
    <w:rsid w:val="00F6548B"/>
    <w:rsid w:val="00F65B67"/>
    <w:rsid w:val="00F6620C"/>
    <w:rsid w:val="00F671C6"/>
    <w:rsid w:val="00F67FE5"/>
    <w:rsid w:val="00F70C14"/>
    <w:rsid w:val="00F737B7"/>
    <w:rsid w:val="00F73CD3"/>
    <w:rsid w:val="00F74B9B"/>
    <w:rsid w:val="00F74E33"/>
    <w:rsid w:val="00F76A3F"/>
    <w:rsid w:val="00F76ABB"/>
    <w:rsid w:val="00F777AD"/>
    <w:rsid w:val="00F777DA"/>
    <w:rsid w:val="00F77CC0"/>
    <w:rsid w:val="00F77CD0"/>
    <w:rsid w:val="00F80251"/>
    <w:rsid w:val="00F803A1"/>
    <w:rsid w:val="00F8152E"/>
    <w:rsid w:val="00F828FE"/>
    <w:rsid w:val="00F83192"/>
    <w:rsid w:val="00F84534"/>
    <w:rsid w:val="00F85842"/>
    <w:rsid w:val="00F86F45"/>
    <w:rsid w:val="00F916E4"/>
    <w:rsid w:val="00F926F9"/>
    <w:rsid w:val="00F92FEF"/>
    <w:rsid w:val="00F93231"/>
    <w:rsid w:val="00F94B8F"/>
    <w:rsid w:val="00F94FA7"/>
    <w:rsid w:val="00F955F7"/>
    <w:rsid w:val="00F95B49"/>
    <w:rsid w:val="00F95BDD"/>
    <w:rsid w:val="00F95FF3"/>
    <w:rsid w:val="00F96113"/>
    <w:rsid w:val="00FA0B6B"/>
    <w:rsid w:val="00FA1AA5"/>
    <w:rsid w:val="00FA22F7"/>
    <w:rsid w:val="00FA3451"/>
    <w:rsid w:val="00FA351A"/>
    <w:rsid w:val="00FA36E5"/>
    <w:rsid w:val="00FA3B49"/>
    <w:rsid w:val="00FA44D4"/>
    <w:rsid w:val="00FA4FBF"/>
    <w:rsid w:val="00FA6123"/>
    <w:rsid w:val="00FA6CE2"/>
    <w:rsid w:val="00FA6E54"/>
    <w:rsid w:val="00FA6E9A"/>
    <w:rsid w:val="00FA7544"/>
    <w:rsid w:val="00FA75C2"/>
    <w:rsid w:val="00FA7D3C"/>
    <w:rsid w:val="00FB0D9F"/>
    <w:rsid w:val="00FB3625"/>
    <w:rsid w:val="00FB3C73"/>
    <w:rsid w:val="00FB48D9"/>
    <w:rsid w:val="00FB564A"/>
    <w:rsid w:val="00FB597E"/>
    <w:rsid w:val="00FB6390"/>
    <w:rsid w:val="00FB7D9D"/>
    <w:rsid w:val="00FC01F6"/>
    <w:rsid w:val="00FC1C4F"/>
    <w:rsid w:val="00FC1C57"/>
    <w:rsid w:val="00FC2D71"/>
    <w:rsid w:val="00FC3106"/>
    <w:rsid w:val="00FC3627"/>
    <w:rsid w:val="00FC36BC"/>
    <w:rsid w:val="00FC42FA"/>
    <w:rsid w:val="00FC5262"/>
    <w:rsid w:val="00FC53F2"/>
    <w:rsid w:val="00FC56AB"/>
    <w:rsid w:val="00FC5A10"/>
    <w:rsid w:val="00FC6279"/>
    <w:rsid w:val="00FC6778"/>
    <w:rsid w:val="00FC6831"/>
    <w:rsid w:val="00FC7729"/>
    <w:rsid w:val="00FC7AA8"/>
    <w:rsid w:val="00FD0FFF"/>
    <w:rsid w:val="00FD3318"/>
    <w:rsid w:val="00FD4FC4"/>
    <w:rsid w:val="00FD538C"/>
    <w:rsid w:val="00FD61A5"/>
    <w:rsid w:val="00FD63AB"/>
    <w:rsid w:val="00FD7C45"/>
    <w:rsid w:val="00FD7CA6"/>
    <w:rsid w:val="00FE043E"/>
    <w:rsid w:val="00FE1484"/>
    <w:rsid w:val="00FE15D3"/>
    <w:rsid w:val="00FE177E"/>
    <w:rsid w:val="00FE26D8"/>
    <w:rsid w:val="00FE34A2"/>
    <w:rsid w:val="00FE6C1A"/>
    <w:rsid w:val="00FE75FA"/>
    <w:rsid w:val="00FF096E"/>
    <w:rsid w:val="00FF0983"/>
    <w:rsid w:val="00FF1AAD"/>
    <w:rsid w:val="00FF27E5"/>
    <w:rsid w:val="00FF3F36"/>
    <w:rsid w:val="00FF45B8"/>
    <w:rsid w:val="00FF4F2E"/>
    <w:rsid w:val="00FF5AA4"/>
    <w:rsid w:val="00FF5C60"/>
    <w:rsid w:val="00FF608B"/>
    <w:rsid w:val="00FF6750"/>
    <w:rsid w:val="00FF78B6"/>
    <w:rsid w:val="061E3500"/>
    <w:rsid w:val="28757E61"/>
    <w:rsid w:val="3FD04BFF"/>
    <w:rsid w:val="509364E5"/>
    <w:rsid w:val="590D5D3B"/>
    <w:rsid w:val="75F917E8"/>
    <w:rsid w:val="7F6FB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3">
    <w:name w:val="heading 1"/>
    <w:basedOn w:val="1"/>
    <w:next w:val="1"/>
    <w:link w:val="38"/>
    <w:qFormat/>
    <w:uiPriority w:val="9"/>
    <w:pPr>
      <w:keepNext/>
      <w:keepLines/>
      <w:spacing w:line="640" w:lineRule="exact"/>
      <w:jc w:val="left"/>
      <w:outlineLvl w:val="0"/>
    </w:pPr>
    <w:rPr>
      <w:rFonts w:eastAsia="黑体" w:cs="Times New Roman"/>
      <w:bCs/>
      <w:kern w:val="44"/>
      <w:szCs w:val="44"/>
    </w:rPr>
  </w:style>
  <w:style w:type="paragraph" w:styleId="4">
    <w:name w:val="heading 2"/>
    <w:basedOn w:val="1"/>
    <w:next w:val="1"/>
    <w:link w:val="39"/>
    <w:qFormat/>
    <w:uiPriority w:val="0"/>
    <w:pPr>
      <w:outlineLvl w:val="1"/>
    </w:pPr>
    <w:rPr>
      <w:rFonts w:eastAsia="楷体_GB2312" w:cs="Times New Roman"/>
      <w:szCs w:val="24"/>
    </w:rPr>
  </w:style>
  <w:style w:type="paragraph" w:styleId="5">
    <w:name w:val="heading 3"/>
    <w:basedOn w:val="1"/>
    <w:next w:val="1"/>
    <w:link w:val="40"/>
    <w:qFormat/>
    <w:uiPriority w:val="0"/>
    <w:pPr>
      <w:outlineLvl w:val="2"/>
    </w:pPr>
    <w:rPr>
      <w:rFonts w:cs="Times New Roman"/>
      <w:szCs w:val="24"/>
    </w:rPr>
  </w:style>
  <w:style w:type="paragraph" w:styleId="6">
    <w:name w:val="heading 4"/>
    <w:basedOn w:val="1"/>
    <w:next w:val="1"/>
    <w:link w:val="41"/>
    <w:unhideWhenUsed/>
    <w:qFormat/>
    <w:uiPriority w:val="9"/>
    <w:pPr>
      <w:adjustRightInd w:val="0"/>
      <w:outlineLvl w:val="3"/>
    </w:pPr>
    <w:rPr>
      <w:rFonts w:cstheme="majorBidi"/>
      <w:bCs/>
      <w:szCs w:val="28"/>
    </w:rPr>
  </w:style>
  <w:style w:type="paragraph" w:styleId="7">
    <w:name w:val="heading 5"/>
    <w:basedOn w:val="1"/>
    <w:next w:val="1"/>
    <w:link w:val="42"/>
    <w:unhideWhenUsed/>
    <w:qFormat/>
    <w:uiPriority w:val="9"/>
    <w:pPr>
      <w:keepNext/>
      <w:keepLines/>
      <w:spacing w:before="280" w:after="290" w:line="376" w:lineRule="auto"/>
      <w:outlineLvl w:val="4"/>
    </w:pPr>
    <w:rPr>
      <w:b/>
      <w:bCs/>
      <w:szCs w:val="28"/>
    </w:rPr>
  </w:style>
  <w:style w:type="paragraph" w:styleId="8">
    <w:name w:val="heading 6"/>
    <w:basedOn w:val="1"/>
    <w:next w:val="1"/>
    <w:link w:val="43"/>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spacing w:line="240" w:lineRule="auto"/>
      <w:ind w:firstLine="0" w:firstLineChars="0"/>
    </w:pPr>
    <w:rPr>
      <w:rFonts w:ascii="Calibri" w:hAnsi="Calibri" w:eastAsia="仿宋_GB2312" w:cs="Times New Roman"/>
      <w:kern w:val="2"/>
      <w:szCs w:val="22"/>
    </w:rPr>
  </w:style>
  <w:style w:type="paragraph" w:styleId="9">
    <w:name w:val="toc 7"/>
    <w:basedOn w:val="1"/>
    <w:next w:val="1"/>
    <w:unhideWhenUsed/>
    <w:qFormat/>
    <w:uiPriority w:val="39"/>
    <w:pPr>
      <w:ind w:left="1920"/>
      <w:jc w:val="left"/>
    </w:pPr>
    <w:rPr>
      <w:rFonts w:asciiTheme="minorHAnsi" w:eastAsiaTheme="minorHAnsi"/>
      <w:sz w:val="18"/>
      <w:szCs w:val="18"/>
    </w:rPr>
  </w:style>
  <w:style w:type="paragraph" w:styleId="10">
    <w:name w:val="caption"/>
    <w:basedOn w:val="1"/>
    <w:next w:val="1"/>
    <w:qFormat/>
    <w:uiPriority w:val="99"/>
    <w:rPr>
      <w:rFonts w:ascii="Calibri Light" w:hAnsi="Calibri Light" w:eastAsia="黑体" w:cs="Times New Roman"/>
      <w:sz w:val="20"/>
      <w:szCs w:val="20"/>
    </w:rPr>
  </w:style>
  <w:style w:type="paragraph" w:styleId="11">
    <w:name w:val="Document Map"/>
    <w:basedOn w:val="1"/>
    <w:link w:val="50"/>
    <w:unhideWhenUsed/>
    <w:qFormat/>
    <w:uiPriority w:val="99"/>
    <w:rPr>
      <w:rFonts w:ascii="宋体" w:eastAsia="宋体"/>
      <w:sz w:val="18"/>
      <w:szCs w:val="18"/>
    </w:rPr>
  </w:style>
  <w:style w:type="paragraph" w:styleId="12">
    <w:name w:val="annotation text"/>
    <w:basedOn w:val="1"/>
    <w:link w:val="47"/>
    <w:unhideWhenUsed/>
    <w:qFormat/>
    <w:uiPriority w:val="0"/>
    <w:pPr>
      <w:jc w:val="left"/>
    </w:pPr>
  </w:style>
  <w:style w:type="paragraph" w:styleId="13">
    <w:name w:val="Body Text"/>
    <w:basedOn w:val="1"/>
    <w:next w:val="1"/>
    <w:link w:val="61"/>
    <w:semiHidden/>
    <w:unhideWhenUsed/>
    <w:qFormat/>
    <w:uiPriority w:val="99"/>
    <w:pPr>
      <w:spacing w:after="120"/>
    </w:pPr>
  </w:style>
  <w:style w:type="paragraph" w:styleId="14">
    <w:name w:val="Body Text Indent"/>
    <w:basedOn w:val="1"/>
    <w:link w:val="51"/>
    <w:semiHidden/>
    <w:unhideWhenUsed/>
    <w:qFormat/>
    <w:uiPriority w:val="99"/>
    <w:pPr>
      <w:spacing w:after="120"/>
      <w:ind w:left="420" w:leftChars="200"/>
    </w:pPr>
  </w:style>
  <w:style w:type="paragraph" w:styleId="15">
    <w:name w:val="toc 5"/>
    <w:basedOn w:val="1"/>
    <w:next w:val="1"/>
    <w:unhideWhenUsed/>
    <w:qFormat/>
    <w:uiPriority w:val="39"/>
    <w:pPr>
      <w:ind w:left="1280"/>
      <w:jc w:val="left"/>
    </w:pPr>
    <w:rPr>
      <w:rFonts w:asciiTheme="minorHAnsi" w:eastAsiaTheme="minorHAnsi"/>
      <w:sz w:val="18"/>
      <w:szCs w:val="18"/>
    </w:rPr>
  </w:style>
  <w:style w:type="paragraph" w:styleId="16">
    <w:name w:val="toc 3"/>
    <w:basedOn w:val="1"/>
    <w:next w:val="1"/>
    <w:unhideWhenUsed/>
    <w:qFormat/>
    <w:uiPriority w:val="39"/>
    <w:pPr>
      <w:tabs>
        <w:tab w:val="right" w:leader="dot" w:pos="8720"/>
      </w:tabs>
      <w:ind w:firstLine="0" w:firstLineChars="0"/>
      <w:jc w:val="left"/>
    </w:pPr>
    <w:rPr>
      <w:b/>
      <w:iCs/>
      <w:sz w:val="28"/>
      <w:szCs w:val="20"/>
    </w:rPr>
  </w:style>
  <w:style w:type="paragraph" w:styleId="17">
    <w:name w:val="Plain Text"/>
    <w:basedOn w:val="1"/>
    <w:qFormat/>
    <w:uiPriority w:val="0"/>
    <w:rPr>
      <w:rFonts w:ascii="宋体" w:hAnsi="Courier New"/>
    </w:rPr>
  </w:style>
  <w:style w:type="paragraph" w:styleId="18">
    <w:name w:val="toc 8"/>
    <w:basedOn w:val="1"/>
    <w:next w:val="1"/>
    <w:unhideWhenUsed/>
    <w:qFormat/>
    <w:uiPriority w:val="39"/>
    <w:pPr>
      <w:ind w:left="2240"/>
      <w:jc w:val="left"/>
    </w:pPr>
    <w:rPr>
      <w:rFonts w:asciiTheme="minorHAnsi" w:eastAsiaTheme="minorHAnsi"/>
      <w:sz w:val="18"/>
      <w:szCs w:val="18"/>
    </w:rPr>
  </w:style>
  <w:style w:type="paragraph" w:styleId="19">
    <w:name w:val="Date"/>
    <w:basedOn w:val="1"/>
    <w:next w:val="1"/>
    <w:link w:val="75"/>
    <w:semiHidden/>
    <w:unhideWhenUsed/>
    <w:qFormat/>
    <w:uiPriority w:val="99"/>
    <w:pPr>
      <w:ind w:left="100" w:leftChars="2500"/>
    </w:pPr>
  </w:style>
  <w:style w:type="paragraph" w:styleId="20">
    <w:name w:val="Balloon Text"/>
    <w:basedOn w:val="1"/>
    <w:link w:val="49"/>
    <w:semiHidden/>
    <w:unhideWhenUsed/>
    <w:qFormat/>
    <w:uiPriority w:val="99"/>
    <w:rPr>
      <w:sz w:val="18"/>
      <w:szCs w:val="18"/>
    </w:rPr>
  </w:style>
  <w:style w:type="paragraph" w:styleId="21">
    <w:name w:val="footer"/>
    <w:basedOn w:val="1"/>
    <w:link w:val="45"/>
    <w:unhideWhenUsed/>
    <w:qFormat/>
    <w:uiPriority w:val="99"/>
    <w:pPr>
      <w:tabs>
        <w:tab w:val="center" w:pos="4153"/>
        <w:tab w:val="right" w:pos="8306"/>
      </w:tabs>
      <w:snapToGrid w:val="0"/>
      <w:jc w:val="left"/>
    </w:pPr>
    <w:rPr>
      <w:sz w:val="18"/>
      <w:szCs w:val="18"/>
    </w:rPr>
  </w:style>
  <w:style w:type="paragraph" w:styleId="22">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unhideWhenUsed/>
    <w:qFormat/>
    <w:uiPriority w:val="39"/>
    <w:pPr>
      <w:tabs>
        <w:tab w:val="right" w:leader="dot" w:pos="8720"/>
      </w:tabs>
      <w:ind w:firstLine="0" w:firstLineChars="0"/>
      <w:jc w:val="left"/>
    </w:pPr>
    <w:rPr>
      <w:rFonts w:eastAsia="黑体"/>
      <w:bCs/>
      <w:caps/>
      <w:sz w:val="30"/>
      <w:szCs w:val="20"/>
    </w:rPr>
  </w:style>
  <w:style w:type="paragraph" w:styleId="24">
    <w:name w:val="toc 4"/>
    <w:basedOn w:val="1"/>
    <w:next w:val="1"/>
    <w:unhideWhenUsed/>
    <w:qFormat/>
    <w:uiPriority w:val="39"/>
    <w:pPr>
      <w:ind w:left="960"/>
      <w:jc w:val="left"/>
    </w:pPr>
    <w:rPr>
      <w:rFonts w:asciiTheme="minorHAnsi" w:eastAsiaTheme="minorHAnsi"/>
      <w:sz w:val="18"/>
      <w:szCs w:val="18"/>
    </w:rPr>
  </w:style>
  <w:style w:type="paragraph" w:styleId="25">
    <w:name w:val="footnote text"/>
    <w:basedOn w:val="1"/>
    <w:next w:val="13"/>
    <w:link w:val="60"/>
    <w:semiHidden/>
    <w:unhideWhenUsed/>
    <w:qFormat/>
    <w:uiPriority w:val="99"/>
    <w:pPr>
      <w:snapToGrid w:val="0"/>
      <w:ind w:firstLine="0" w:firstLineChars="0"/>
      <w:jc w:val="left"/>
    </w:pPr>
    <w:rPr>
      <w:rFonts w:asciiTheme="minorHAnsi" w:hAnsiTheme="minorHAnsi" w:eastAsiaTheme="minorEastAsia"/>
      <w:sz w:val="18"/>
      <w:szCs w:val="18"/>
    </w:rPr>
  </w:style>
  <w:style w:type="paragraph" w:styleId="26">
    <w:name w:val="toc 6"/>
    <w:basedOn w:val="1"/>
    <w:next w:val="1"/>
    <w:unhideWhenUsed/>
    <w:qFormat/>
    <w:uiPriority w:val="39"/>
    <w:pPr>
      <w:ind w:left="1600"/>
      <w:jc w:val="left"/>
    </w:pPr>
    <w:rPr>
      <w:rFonts w:asciiTheme="minorHAnsi" w:eastAsiaTheme="minorHAnsi"/>
      <w:sz w:val="18"/>
      <w:szCs w:val="18"/>
    </w:rPr>
  </w:style>
  <w:style w:type="paragraph" w:styleId="27">
    <w:name w:val="toc 2"/>
    <w:basedOn w:val="1"/>
    <w:next w:val="1"/>
    <w:unhideWhenUsed/>
    <w:qFormat/>
    <w:uiPriority w:val="39"/>
    <w:pPr>
      <w:ind w:firstLine="0" w:firstLineChars="0"/>
      <w:jc w:val="left"/>
    </w:pPr>
    <w:rPr>
      <w:rFonts w:eastAsia="楷体_GB2312"/>
      <w:b/>
      <w:smallCaps/>
      <w:sz w:val="30"/>
      <w:szCs w:val="20"/>
    </w:rPr>
  </w:style>
  <w:style w:type="paragraph" w:styleId="28">
    <w:name w:val="toc 9"/>
    <w:basedOn w:val="1"/>
    <w:next w:val="1"/>
    <w:unhideWhenUsed/>
    <w:qFormat/>
    <w:uiPriority w:val="39"/>
    <w:pPr>
      <w:ind w:left="2560"/>
      <w:jc w:val="left"/>
    </w:pPr>
    <w:rPr>
      <w:rFonts w:asciiTheme="minorHAnsi" w:eastAsiaTheme="minorHAnsi"/>
      <w:sz w:val="18"/>
      <w:szCs w:val="18"/>
    </w:rPr>
  </w:style>
  <w:style w:type="paragraph" w:styleId="29">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30">
    <w:name w:val="annotation subject"/>
    <w:basedOn w:val="12"/>
    <w:next w:val="12"/>
    <w:link w:val="48"/>
    <w:semiHidden/>
    <w:unhideWhenUsed/>
    <w:qFormat/>
    <w:uiPriority w:val="99"/>
    <w:rPr>
      <w:b/>
      <w:bCs/>
    </w:rPr>
  </w:style>
  <w:style w:type="paragraph" w:styleId="31">
    <w:name w:val="Body Text First Indent 2"/>
    <w:basedOn w:val="14"/>
    <w:link w:val="52"/>
    <w:unhideWhenUsed/>
    <w:qFormat/>
    <w:uiPriority w:val="0"/>
    <w:pPr>
      <w:ind w:firstLine="420"/>
    </w:pPr>
    <w:rPr>
      <w:rFonts w:cs="Times New Roman"/>
      <w:szCs w:val="24"/>
    </w:rPr>
  </w:style>
  <w:style w:type="table" w:styleId="33">
    <w:name w:val="Table Grid"/>
    <w:basedOn w:val="32"/>
    <w:qFormat/>
    <w:uiPriority w:val="3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Hyperlink"/>
    <w:basedOn w:val="34"/>
    <w:unhideWhenUsed/>
    <w:qFormat/>
    <w:uiPriority w:val="99"/>
    <w:rPr>
      <w:color w:val="0563C1" w:themeColor="hyperlink"/>
      <w:u w:val="single"/>
      <w14:textFill>
        <w14:solidFill>
          <w14:schemeClr w14:val="hlink"/>
        </w14:solidFill>
      </w14:textFill>
    </w:rPr>
  </w:style>
  <w:style w:type="character" w:styleId="36">
    <w:name w:val="annotation reference"/>
    <w:basedOn w:val="34"/>
    <w:unhideWhenUsed/>
    <w:qFormat/>
    <w:uiPriority w:val="0"/>
    <w:rPr>
      <w:sz w:val="21"/>
      <w:szCs w:val="21"/>
    </w:rPr>
  </w:style>
  <w:style w:type="character" w:styleId="37">
    <w:name w:val="footnote reference"/>
    <w:basedOn w:val="34"/>
    <w:semiHidden/>
    <w:unhideWhenUsed/>
    <w:qFormat/>
    <w:uiPriority w:val="99"/>
    <w:rPr>
      <w:vertAlign w:val="superscript"/>
    </w:rPr>
  </w:style>
  <w:style w:type="character" w:customStyle="1" w:styleId="38">
    <w:name w:val="标题 1 字符"/>
    <w:basedOn w:val="34"/>
    <w:link w:val="3"/>
    <w:qFormat/>
    <w:uiPriority w:val="9"/>
    <w:rPr>
      <w:rFonts w:ascii="Times New Roman" w:hAnsi="Times New Roman" w:eastAsia="黑体" w:cs="Times New Roman"/>
      <w:bCs/>
      <w:kern w:val="44"/>
      <w:sz w:val="32"/>
      <w:szCs w:val="44"/>
    </w:rPr>
  </w:style>
  <w:style w:type="character" w:customStyle="1" w:styleId="39">
    <w:name w:val="标题 2 字符"/>
    <w:basedOn w:val="34"/>
    <w:link w:val="4"/>
    <w:qFormat/>
    <w:uiPriority w:val="0"/>
    <w:rPr>
      <w:rFonts w:ascii="Times New Roman" w:hAnsi="Times New Roman" w:eastAsia="楷体_GB2312" w:cs="Times New Roman"/>
      <w:sz w:val="32"/>
      <w:szCs w:val="24"/>
    </w:rPr>
  </w:style>
  <w:style w:type="character" w:customStyle="1" w:styleId="40">
    <w:name w:val="标题 3 字符1"/>
    <w:link w:val="5"/>
    <w:qFormat/>
    <w:uiPriority w:val="0"/>
    <w:rPr>
      <w:rFonts w:ascii="Times New Roman" w:hAnsi="Times New Roman" w:eastAsia="仿宋_GB2312" w:cs="Times New Roman"/>
      <w:sz w:val="32"/>
      <w:szCs w:val="24"/>
    </w:rPr>
  </w:style>
  <w:style w:type="character" w:customStyle="1" w:styleId="41">
    <w:name w:val="标题 4 字符"/>
    <w:basedOn w:val="34"/>
    <w:link w:val="6"/>
    <w:qFormat/>
    <w:uiPriority w:val="9"/>
    <w:rPr>
      <w:rFonts w:ascii="Times New Roman" w:hAnsi="Times New Roman" w:eastAsia="仿宋_GB2312" w:cstheme="majorBidi"/>
      <w:bCs/>
      <w:sz w:val="32"/>
      <w:szCs w:val="28"/>
    </w:rPr>
  </w:style>
  <w:style w:type="character" w:customStyle="1" w:styleId="42">
    <w:name w:val="标题 5 字符"/>
    <w:basedOn w:val="34"/>
    <w:link w:val="7"/>
    <w:qFormat/>
    <w:uiPriority w:val="9"/>
    <w:rPr>
      <w:rFonts w:ascii="Times New Roman" w:hAnsi="Times New Roman" w:eastAsia="仿宋_GB2312"/>
      <w:b/>
      <w:bCs/>
      <w:sz w:val="28"/>
      <w:szCs w:val="28"/>
    </w:rPr>
  </w:style>
  <w:style w:type="character" w:customStyle="1" w:styleId="43">
    <w:name w:val="标题 6 字符"/>
    <w:basedOn w:val="34"/>
    <w:link w:val="8"/>
    <w:qFormat/>
    <w:uiPriority w:val="9"/>
    <w:rPr>
      <w:rFonts w:asciiTheme="majorHAnsi" w:hAnsiTheme="majorHAnsi" w:eastAsiaTheme="majorEastAsia" w:cstheme="majorBidi"/>
      <w:b/>
      <w:bCs/>
      <w:sz w:val="24"/>
      <w:szCs w:val="24"/>
    </w:rPr>
  </w:style>
  <w:style w:type="character" w:customStyle="1" w:styleId="44">
    <w:name w:val="页眉 字符"/>
    <w:basedOn w:val="34"/>
    <w:link w:val="22"/>
    <w:qFormat/>
    <w:uiPriority w:val="99"/>
    <w:rPr>
      <w:sz w:val="18"/>
      <w:szCs w:val="18"/>
    </w:rPr>
  </w:style>
  <w:style w:type="character" w:customStyle="1" w:styleId="45">
    <w:name w:val="页脚 字符"/>
    <w:basedOn w:val="34"/>
    <w:link w:val="21"/>
    <w:qFormat/>
    <w:uiPriority w:val="99"/>
    <w:rPr>
      <w:sz w:val="18"/>
      <w:szCs w:val="18"/>
    </w:rPr>
  </w:style>
  <w:style w:type="character" w:customStyle="1" w:styleId="46">
    <w:name w:val="标题 3 字符"/>
    <w:basedOn w:val="34"/>
    <w:semiHidden/>
    <w:qFormat/>
    <w:uiPriority w:val="9"/>
    <w:rPr>
      <w:b/>
      <w:bCs/>
      <w:sz w:val="32"/>
      <w:szCs w:val="32"/>
    </w:rPr>
  </w:style>
  <w:style w:type="character" w:customStyle="1" w:styleId="47">
    <w:name w:val="批注文字 字符"/>
    <w:basedOn w:val="34"/>
    <w:link w:val="12"/>
    <w:qFormat/>
    <w:uiPriority w:val="0"/>
  </w:style>
  <w:style w:type="character" w:customStyle="1" w:styleId="48">
    <w:name w:val="批注主题 字符"/>
    <w:basedOn w:val="47"/>
    <w:link w:val="30"/>
    <w:semiHidden/>
    <w:qFormat/>
    <w:uiPriority w:val="99"/>
    <w:rPr>
      <w:b/>
      <w:bCs/>
    </w:rPr>
  </w:style>
  <w:style w:type="character" w:customStyle="1" w:styleId="49">
    <w:name w:val="批注框文本 字符"/>
    <w:basedOn w:val="34"/>
    <w:link w:val="20"/>
    <w:semiHidden/>
    <w:qFormat/>
    <w:uiPriority w:val="99"/>
    <w:rPr>
      <w:sz w:val="18"/>
      <w:szCs w:val="18"/>
    </w:rPr>
  </w:style>
  <w:style w:type="character" w:customStyle="1" w:styleId="50">
    <w:name w:val="文档结构图 字符"/>
    <w:basedOn w:val="34"/>
    <w:link w:val="11"/>
    <w:qFormat/>
    <w:uiPriority w:val="99"/>
    <w:rPr>
      <w:rFonts w:ascii="宋体" w:eastAsia="宋体"/>
      <w:sz w:val="18"/>
      <w:szCs w:val="18"/>
    </w:rPr>
  </w:style>
  <w:style w:type="character" w:customStyle="1" w:styleId="51">
    <w:name w:val="正文文本缩进 字符"/>
    <w:basedOn w:val="34"/>
    <w:link w:val="14"/>
    <w:semiHidden/>
    <w:qFormat/>
    <w:uiPriority w:val="99"/>
    <w:rPr>
      <w:rFonts w:ascii="Times New Roman" w:hAnsi="Times New Roman" w:eastAsia="仿宋_GB2312"/>
      <w:sz w:val="28"/>
    </w:rPr>
  </w:style>
  <w:style w:type="character" w:customStyle="1" w:styleId="52">
    <w:name w:val="正文首行缩进 2 字符"/>
    <w:basedOn w:val="51"/>
    <w:link w:val="31"/>
    <w:qFormat/>
    <w:uiPriority w:val="0"/>
    <w:rPr>
      <w:rFonts w:ascii="Times New Roman" w:hAnsi="Times New Roman" w:eastAsia="仿宋_GB2312" w:cs="Times New Roman"/>
      <w:sz w:val="28"/>
      <w:szCs w:val="24"/>
    </w:rPr>
  </w:style>
  <w:style w:type="paragraph" w:customStyle="1" w:styleId="53">
    <w:name w:val="Table Paragraph"/>
    <w:basedOn w:val="1"/>
    <w:qFormat/>
    <w:uiPriority w:val="1"/>
    <w:pPr>
      <w:ind w:firstLine="0" w:firstLineChars="0"/>
      <w:jc w:val="center"/>
    </w:pPr>
    <w:rPr>
      <w:rFonts w:cs="Times New Roman"/>
      <w:sz w:val="21"/>
      <w:szCs w:val="24"/>
    </w:rPr>
  </w:style>
  <w:style w:type="paragraph" w:styleId="54">
    <w:name w:val="List Paragraph"/>
    <w:basedOn w:val="1"/>
    <w:qFormat/>
    <w:uiPriority w:val="34"/>
    <w:pPr>
      <w:ind w:firstLine="420"/>
    </w:pPr>
  </w:style>
  <w:style w:type="table" w:customStyle="1" w:styleId="55">
    <w:name w:val="网格型2"/>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6">
    <w:name w:val="No Spacing"/>
    <w:qFormat/>
    <w:uiPriority w:val="1"/>
    <w:pPr>
      <w:widowControl w:val="0"/>
      <w:ind w:firstLine="200" w:firstLineChars="200"/>
      <w:jc w:val="both"/>
    </w:pPr>
    <w:rPr>
      <w:rFonts w:ascii="Times New Roman" w:hAnsi="Times New Roman" w:eastAsia="仿宋_GB2312" w:cstheme="minorBidi"/>
      <w:kern w:val="2"/>
      <w:sz w:val="28"/>
      <w:szCs w:val="22"/>
      <w:lang w:val="en-US" w:eastAsia="zh-CN" w:bidi="ar-SA"/>
    </w:rPr>
  </w:style>
  <w:style w:type="character" w:customStyle="1" w:styleId="57">
    <w:name w:val="bjh-p"/>
    <w:basedOn w:val="34"/>
    <w:qFormat/>
    <w:uiPriority w:val="0"/>
  </w:style>
  <w:style w:type="table" w:customStyle="1" w:styleId="58">
    <w:name w:val="网格型21"/>
    <w:basedOn w:val="32"/>
    <w:qFormat/>
    <w:uiPriority w:val="39"/>
    <w:pPr>
      <w:widowControl w:val="0"/>
      <w:jc w:val="both"/>
    </w:pPr>
    <w:rPr>
      <w:rFonts w:ascii="宋体" w:hAnsi="宋体" w:eastAsia="宋体"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批注文字 字符1"/>
    <w:qFormat/>
    <w:uiPriority w:val="0"/>
    <w:rPr>
      <w:rFonts w:ascii="Calibri" w:hAnsi="Calibri" w:eastAsia="宋体" w:cs="Times New Roman"/>
      <w:sz w:val="28"/>
      <w:szCs w:val="24"/>
    </w:rPr>
  </w:style>
  <w:style w:type="character" w:customStyle="1" w:styleId="60">
    <w:name w:val="脚注文本 字符"/>
    <w:basedOn w:val="34"/>
    <w:link w:val="25"/>
    <w:semiHidden/>
    <w:qFormat/>
    <w:uiPriority w:val="99"/>
    <w:rPr>
      <w:sz w:val="18"/>
      <w:szCs w:val="18"/>
    </w:rPr>
  </w:style>
  <w:style w:type="character" w:customStyle="1" w:styleId="61">
    <w:name w:val="正文文本 字符"/>
    <w:basedOn w:val="34"/>
    <w:link w:val="13"/>
    <w:semiHidden/>
    <w:qFormat/>
    <w:uiPriority w:val="99"/>
    <w:rPr>
      <w:rFonts w:ascii="Times New Roman" w:hAnsi="Times New Roman" w:eastAsia="仿宋_GB2312"/>
      <w:sz w:val="28"/>
    </w:rPr>
  </w:style>
  <w:style w:type="paragraph" w:customStyle="1" w:styleId="62">
    <w:name w:val="TOC 标题1"/>
    <w:basedOn w:val="3"/>
    <w:next w:val="1"/>
    <w:unhideWhenUsed/>
    <w:qFormat/>
    <w:uiPriority w:val="39"/>
    <w:pPr>
      <w:widowControl/>
      <w:spacing w:before="240" w:line="259" w:lineRule="auto"/>
      <w:outlineLvl w:val="9"/>
    </w:pPr>
    <w:rPr>
      <w:rFonts w:asciiTheme="majorHAnsi" w:hAnsiTheme="majorHAnsi" w:eastAsiaTheme="majorEastAsia" w:cstheme="majorBidi"/>
      <w:bCs w:val="0"/>
      <w:color w:val="2F5597" w:themeColor="accent1" w:themeShade="BF"/>
      <w:kern w:val="0"/>
      <w:szCs w:val="32"/>
    </w:rPr>
  </w:style>
  <w:style w:type="character" w:customStyle="1" w:styleId="63">
    <w:name w:val="未处理的提及1"/>
    <w:basedOn w:val="34"/>
    <w:semiHidden/>
    <w:unhideWhenUsed/>
    <w:qFormat/>
    <w:uiPriority w:val="99"/>
    <w:rPr>
      <w:color w:val="605E5C"/>
      <w:shd w:val="clear" w:color="auto" w:fill="E1DFDD"/>
    </w:rPr>
  </w:style>
  <w:style w:type="paragraph" w:customStyle="1" w:styleId="64">
    <w:name w:val="修订1"/>
    <w:hidden/>
    <w:semiHidden/>
    <w:qFormat/>
    <w:uiPriority w:val="99"/>
    <w:rPr>
      <w:rFonts w:ascii="Times New Roman" w:hAnsi="Times New Roman" w:eastAsia="仿宋_GB2312" w:cstheme="minorBidi"/>
      <w:kern w:val="2"/>
      <w:sz w:val="28"/>
      <w:szCs w:val="22"/>
      <w:lang w:val="en-US" w:eastAsia="zh-CN" w:bidi="ar-SA"/>
    </w:rPr>
  </w:style>
  <w:style w:type="character" w:customStyle="1" w:styleId="65">
    <w:name w:val="font01"/>
    <w:basedOn w:val="34"/>
    <w:qFormat/>
    <w:uiPriority w:val="0"/>
    <w:rPr>
      <w:rFonts w:hint="eastAsia" w:ascii="仿宋_GB2312" w:eastAsia="仿宋_GB2312"/>
      <w:color w:val="000000"/>
      <w:sz w:val="22"/>
      <w:szCs w:val="22"/>
      <w:u w:val="none"/>
    </w:rPr>
  </w:style>
  <w:style w:type="character" w:customStyle="1" w:styleId="66">
    <w:name w:val="font11"/>
    <w:basedOn w:val="34"/>
    <w:qFormat/>
    <w:uiPriority w:val="0"/>
    <w:rPr>
      <w:rFonts w:hint="default" w:ascii="Times New Roman" w:hAnsi="Times New Roman" w:cs="Times New Roman"/>
      <w:color w:val="000000"/>
      <w:sz w:val="22"/>
      <w:szCs w:val="22"/>
      <w:u w:val="none"/>
    </w:rPr>
  </w:style>
  <w:style w:type="character" w:customStyle="1" w:styleId="67">
    <w:name w:val="未处理的提及2"/>
    <w:basedOn w:val="34"/>
    <w:semiHidden/>
    <w:unhideWhenUsed/>
    <w:qFormat/>
    <w:uiPriority w:val="99"/>
    <w:rPr>
      <w:color w:val="605E5C"/>
      <w:shd w:val="clear" w:color="auto" w:fill="E1DFDD"/>
    </w:rPr>
  </w:style>
  <w:style w:type="character" w:customStyle="1" w:styleId="68">
    <w:name w:val="Unresolved Mention"/>
    <w:basedOn w:val="34"/>
    <w:semiHidden/>
    <w:unhideWhenUsed/>
    <w:qFormat/>
    <w:uiPriority w:val="99"/>
    <w:rPr>
      <w:color w:val="605E5C"/>
      <w:shd w:val="clear" w:color="auto" w:fill="E1DFDD"/>
    </w:rPr>
  </w:style>
  <w:style w:type="table" w:customStyle="1" w:styleId="69">
    <w:name w:val="网格型1"/>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网格型3"/>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
    <w:name w:val="网格型4"/>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网格型5"/>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网格型6"/>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网格型7"/>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5">
    <w:name w:val="日期 字符"/>
    <w:basedOn w:val="34"/>
    <w:link w:val="19"/>
    <w:semiHidden/>
    <w:qFormat/>
    <w:uiPriority w:val="99"/>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52</Pages>
  <Words>25402</Words>
  <Characters>26059</Characters>
  <Lines>189</Lines>
  <Paragraphs>53</Paragraphs>
  <TotalTime>50</TotalTime>
  <ScaleCrop>false</ScaleCrop>
  <LinksUpToDate>false</LinksUpToDate>
  <CharactersWithSpaces>26157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2023-03-15T10:27:00Z</dcterms:created>
  <dc:creator>微软</dc:creator>
  <cp:lastModifiedBy>嘎查</cp:lastModifiedBy>
  <cp:lastPrinted>2023-08-21T14:49:00Z</cp:lastPrinted>
  <dcterms:modified xsi:type="dcterms:W3CDTF">2023-08-24T17:48:57Z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A2710ED79B8247BAA073BE91D5970704_13</vt:lpwstr>
  </property>
</Properties>
</file>